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AADE1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吉林</w:t>
      </w:r>
      <w:r>
        <w:rPr>
          <w:rFonts w:hint="eastAsia" w:ascii="方正小标宋简体" w:hAnsi="方正小标宋简体" w:eastAsia="方正小标宋简体" w:cs="方正小标宋简体"/>
          <w:sz w:val="44"/>
          <w:szCs w:val="44"/>
        </w:rPr>
        <w:t>省</w:t>
      </w:r>
      <w:r>
        <w:rPr>
          <w:rFonts w:hint="default" w:ascii="方正小标宋简体" w:hAnsi="方正小标宋简体" w:eastAsia="方正小标宋简体" w:cs="方正小标宋简体"/>
          <w:sz w:val="44"/>
          <w:szCs w:val="44"/>
        </w:rPr>
        <w:t>道路客运班线</w:t>
      </w:r>
      <w:r>
        <w:rPr>
          <w:rFonts w:hint="eastAsia" w:ascii="方正小标宋简体" w:hAnsi="方正小标宋简体" w:eastAsia="方正小标宋简体" w:cs="方正小标宋简体"/>
          <w:sz w:val="44"/>
          <w:szCs w:val="44"/>
        </w:rPr>
        <w:t>公交化运营</w:t>
      </w:r>
    </w:p>
    <w:p w14:paraId="369C18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w:t>
      </w:r>
      <w:r>
        <w:rPr>
          <w:rFonts w:hint="default" w:ascii="方正小标宋简体" w:hAnsi="方正小标宋简体" w:eastAsia="方正小标宋简体" w:cs="方正小标宋简体"/>
          <w:sz w:val="44"/>
          <w:szCs w:val="44"/>
        </w:rPr>
        <w:t>及管理规范</w:t>
      </w:r>
    </w:p>
    <w:p w14:paraId="4A5E194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简体" w:hAnsi="方正小标宋简体" w:eastAsia="方正小标宋简体" w:cs="方正小标宋简体"/>
          <w:sz w:val="44"/>
          <w:szCs w:val="44"/>
          <w:lang w:eastAsia="zh-CN"/>
        </w:rPr>
      </w:pPr>
    </w:p>
    <w:p w14:paraId="7FBD2CDF">
      <w:pPr>
        <w:keepNext w:val="0"/>
        <w:keepLines w:val="0"/>
        <w:pageBreakBefore w:val="0"/>
        <w:numPr>
          <w:ilvl w:val="0"/>
          <w:numId w:val="0"/>
        </w:numPr>
        <w:kinsoku/>
        <w:wordWrap/>
        <w:overflowPunct/>
        <w:topLinePunct w:val="0"/>
        <w:autoSpaceDE/>
        <w:autoSpaceDN/>
        <w:bidi w:val="0"/>
        <w:adjustRightInd w:val="0"/>
        <w:snapToGrid w:val="0"/>
        <w:spacing w:line="576" w:lineRule="exact"/>
        <w:jc w:val="center"/>
        <w:textAlignment w:val="auto"/>
        <w:rPr>
          <w:rFonts w:hint="default" w:ascii="仿宋_GB2312" w:hAnsi="仿宋_GB2312" w:eastAsia="仿宋_GB2312" w:cs="仿宋_GB2312"/>
          <w:sz w:val="32"/>
          <w:szCs w:val="32"/>
        </w:rPr>
      </w:pPr>
      <w:r>
        <w:rPr>
          <w:rFonts w:hint="default" w:ascii="黑体" w:hAnsi="Times New Roman" w:eastAsia="黑体" w:cs="Times New Roman"/>
          <w:sz w:val="32"/>
          <w:szCs w:val="24"/>
        </w:rPr>
        <w:t>第一章 总则</w:t>
      </w:r>
    </w:p>
    <w:p w14:paraId="4F2734B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仿宋_GB2312" w:hAnsi="仿宋_GB2312" w:eastAsia="仿宋_GB2312" w:cs="仿宋_GB2312"/>
          <w:sz w:val="32"/>
          <w:szCs w:val="32"/>
        </w:rPr>
      </w:pPr>
      <w:r>
        <w:rPr>
          <w:rFonts w:hint="eastAsia" w:ascii="黑体" w:hAnsi="黑体" w:eastAsia="黑体" w:cs="黑体"/>
          <w:sz w:val="32"/>
          <w:szCs w:val="32"/>
        </w:rPr>
        <w:t>第一条</w:t>
      </w:r>
      <w:r>
        <w:rPr>
          <w:rFonts w:hint="default" w:ascii="仿宋_GB2312" w:hAnsi="仿宋_GB2312" w:eastAsia="仿宋_GB2312" w:cs="仿宋_GB2312"/>
          <w:sz w:val="32"/>
          <w:szCs w:val="32"/>
        </w:rPr>
        <w:t xml:space="preserve"> 为深入贯彻</w:t>
      </w:r>
      <w:r>
        <w:rPr>
          <w:rFonts w:hint="eastAsia" w:ascii="仿宋_GB2312" w:hAnsi="仿宋_GB2312" w:eastAsia="仿宋_GB2312" w:cs="仿宋_GB2312"/>
          <w:sz w:val="32"/>
          <w:szCs w:val="32"/>
          <w:lang w:eastAsia="zh-CN"/>
        </w:rPr>
        <w:t>《城市公共交通条例》</w:t>
      </w:r>
      <w:r>
        <w:rPr>
          <w:rFonts w:hint="default" w:ascii="仿宋_GB2312" w:hAnsi="仿宋_GB2312" w:eastAsia="仿宋_GB2312" w:cs="仿宋_GB2312"/>
          <w:sz w:val="32"/>
          <w:szCs w:val="32"/>
        </w:rPr>
        <w:t>《吉林省人民政府办公厅关于促进吉林省道路客运行业高质量发展的意见》（吉政办发〔2021〕23号）精神，全面提升公交化改造运营服务和安全管理水平，推动道路客运服务提质增效，满足人民群众出行新需求新期待，制定本规范。</w:t>
      </w:r>
    </w:p>
    <w:p w14:paraId="051E28F3">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000000"/>
          <w:sz w:val="32"/>
          <w:szCs w:val="24"/>
          <w:highlight w:val="none"/>
        </w:rPr>
      </w:pPr>
      <w:r>
        <w:rPr>
          <w:rFonts w:hint="default" w:ascii="黑体" w:hAnsi="黑体" w:eastAsia="黑体" w:cs="黑体"/>
          <w:color w:val="auto"/>
          <w:kern w:val="0"/>
          <w:sz w:val="32"/>
          <w:szCs w:val="32"/>
          <w:highlight w:val="none"/>
          <w:lang w:val="en-US" w:eastAsia="zh-CN" w:bidi="ar"/>
        </w:rPr>
        <w:t>第二条</w:t>
      </w:r>
      <w:r>
        <w:rPr>
          <w:rFonts w:hint="default" w:ascii="仿宋_GB2312" w:hAnsi="宋体" w:eastAsia="仿宋_GB2312" w:cs="Times New Roman"/>
          <w:color w:val="000000"/>
          <w:sz w:val="32"/>
          <w:szCs w:val="24"/>
          <w:highlight w:val="none"/>
        </w:rPr>
        <w:t xml:space="preserve"> 本规范适用于本省行政区域内道路客运班线公交化改造。</w:t>
      </w:r>
    </w:p>
    <w:p w14:paraId="6C0C364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000000"/>
          <w:sz w:val="32"/>
          <w:szCs w:val="24"/>
          <w:highlight w:val="none"/>
        </w:rPr>
      </w:pPr>
      <w:r>
        <w:rPr>
          <w:rFonts w:hint="eastAsia" w:ascii="仿宋_GB2312" w:hAnsi="宋体" w:eastAsia="仿宋_GB2312" w:cs="Times New Roman"/>
          <w:color w:val="000000"/>
          <w:sz w:val="32"/>
          <w:szCs w:val="24"/>
          <w:highlight w:val="none"/>
        </w:rPr>
        <w:t>本规范所称</w:t>
      </w:r>
      <w:r>
        <w:rPr>
          <w:rFonts w:hint="default" w:ascii="仿宋_GB2312" w:hAnsi="宋体" w:eastAsia="仿宋_GB2312" w:cs="Times New Roman"/>
          <w:color w:val="000000"/>
          <w:sz w:val="32"/>
          <w:szCs w:val="24"/>
          <w:highlight w:val="none"/>
        </w:rPr>
        <w:t>公交化改造</w:t>
      </w:r>
      <w:r>
        <w:rPr>
          <w:rFonts w:hint="eastAsia" w:ascii="仿宋_GB2312" w:hAnsi="宋体" w:eastAsia="仿宋_GB2312" w:cs="Times New Roman"/>
          <w:color w:val="000000"/>
          <w:sz w:val="32"/>
          <w:szCs w:val="24"/>
          <w:highlight w:val="none"/>
        </w:rPr>
        <w:t>是指</w:t>
      </w:r>
      <w:r>
        <w:rPr>
          <w:rFonts w:hint="default" w:ascii="仿宋_GB2312" w:hAnsi="宋体" w:eastAsia="仿宋_GB2312" w:cs="Times New Roman"/>
          <w:color w:val="000000"/>
          <w:sz w:val="32"/>
          <w:szCs w:val="24"/>
          <w:highlight w:val="none"/>
        </w:rPr>
        <w:t>道路客运班线参照</w:t>
      </w:r>
      <w:r>
        <w:rPr>
          <w:rFonts w:hint="eastAsia" w:ascii="仿宋_GB2312" w:hAnsi="宋体" w:eastAsia="仿宋_GB2312" w:cs="Times New Roman"/>
          <w:color w:val="000000"/>
          <w:sz w:val="32"/>
          <w:szCs w:val="24"/>
          <w:highlight w:val="none"/>
        </w:rPr>
        <w:t>城市公交</w:t>
      </w:r>
      <w:r>
        <w:rPr>
          <w:rFonts w:hint="default" w:ascii="仿宋_GB2312" w:hAnsi="宋体" w:eastAsia="仿宋_GB2312" w:cs="Times New Roman"/>
          <w:color w:val="000000"/>
          <w:sz w:val="32"/>
          <w:szCs w:val="24"/>
          <w:highlight w:val="none"/>
        </w:rPr>
        <w:t>模式</w:t>
      </w:r>
      <w:r>
        <w:rPr>
          <w:rFonts w:hint="eastAsia" w:ascii="仿宋_GB2312" w:hAnsi="宋体" w:eastAsia="仿宋_GB2312" w:cs="Times New Roman"/>
          <w:color w:val="000000"/>
          <w:sz w:val="32"/>
          <w:szCs w:val="24"/>
          <w:highlight w:val="none"/>
          <w:lang w:eastAsia="zh-CN"/>
        </w:rPr>
        <w:t>进行</w:t>
      </w:r>
      <w:r>
        <w:rPr>
          <w:rFonts w:hint="default" w:ascii="仿宋_GB2312" w:hAnsi="宋体" w:eastAsia="仿宋_GB2312" w:cs="Times New Roman"/>
          <w:color w:val="000000"/>
          <w:sz w:val="32"/>
          <w:szCs w:val="24"/>
          <w:highlight w:val="none"/>
        </w:rPr>
        <w:t>改造</w:t>
      </w:r>
      <w:r>
        <w:rPr>
          <w:rFonts w:hint="eastAsia" w:ascii="仿宋_GB2312" w:hAnsi="宋体" w:eastAsia="仿宋_GB2312" w:cs="Times New Roman"/>
          <w:color w:val="000000"/>
          <w:sz w:val="32"/>
          <w:szCs w:val="24"/>
          <w:highlight w:val="none"/>
          <w:lang w:eastAsia="zh-CN"/>
        </w:rPr>
        <w:t>和运营的</w:t>
      </w:r>
      <w:r>
        <w:rPr>
          <w:rFonts w:hint="default" w:ascii="仿宋_GB2312" w:hAnsi="宋体" w:eastAsia="仿宋_GB2312" w:cs="Times New Roman"/>
          <w:color w:val="000000"/>
          <w:sz w:val="32"/>
          <w:szCs w:val="24"/>
          <w:highlight w:val="none"/>
        </w:rPr>
        <w:t>运输</w:t>
      </w:r>
      <w:r>
        <w:rPr>
          <w:rFonts w:hint="eastAsia" w:ascii="仿宋_GB2312" w:hAnsi="宋体" w:eastAsia="仿宋_GB2312" w:cs="Times New Roman"/>
          <w:color w:val="000000"/>
          <w:sz w:val="32"/>
          <w:szCs w:val="24"/>
          <w:highlight w:val="none"/>
          <w:lang w:eastAsia="zh-CN"/>
        </w:rPr>
        <w:t>服务</w:t>
      </w:r>
      <w:r>
        <w:rPr>
          <w:rFonts w:hint="default" w:ascii="仿宋_GB2312" w:hAnsi="宋体" w:eastAsia="仿宋_GB2312" w:cs="Times New Roman"/>
          <w:color w:val="000000"/>
          <w:sz w:val="32"/>
          <w:szCs w:val="24"/>
          <w:highlight w:val="none"/>
        </w:rPr>
        <w:t>方式</w:t>
      </w:r>
      <w:r>
        <w:rPr>
          <w:rFonts w:hint="eastAsia" w:ascii="仿宋_GB2312" w:hAnsi="宋体" w:eastAsia="仿宋_GB2312" w:cs="Times New Roman"/>
          <w:color w:val="000000"/>
          <w:sz w:val="32"/>
          <w:szCs w:val="24"/>
          <w:highlight w:val="none"/>
        </w:rPr>
        <w:t>。</w:t>
      </w:r>
    </w:p>
    <w:p w14:paraId="16E802A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000000"/>
          <w:sz w:val="32"/>
          <w:szCs w:val="24"/>
          <w:lang w:eastAsia="zh-CN"/>
        </w:rPr>
      </w:pPr>
      <w:r>
        <w:rPr>
          <w:rFonts w:hint="default" w:ascii="黑体" w:hAnsi="黑体" w:eastAsia="黑体" w:cs="黑体"/>
          <w:color w:val="auto"/>
          <w:kern w:val="0"/>
          <w:sz w:val="32"/>
          <w:szCs w:val="32"/>
          <w:highlight w:val="none"/>
          <w:lang w:val="en-US" w:eastAsia="zh-CN" w:bidi="ar"/>
        </w:rPr>
        <w:t>第</w:t>
      </w:r>
      <w:r>
        <w:rPr>
          <w:rFonts w:hint="eastAsia" w:ascii="黑体" w:hAnsi="黑体" w:eastAsia="黑体" w:cs="黑体"/>
          <w:color w:val="auto"/>
          <w:kern w:val="0"/>
          <w:sz w:val="32"/>
          <w:szCs w:val="32"/>
          <w:highlight w:val="none"/>
          <w:lang w:val="en-US" w:eastAsia="zh-CN" w:bidi="ar"/>
        </w:rPr>
        <w:t>三</w:t>
      </w:r>
      <w:r>
        <w:rPr>
          <w:rFonts w:hint="default" w:ascii="黑体" w:hAnsi="黑体" w:eastAsia="黑体" w:cs="黑体"/>
          <w:color w:val="auto"/>
          <w:kern w:val="0"/>
          <w:sz w:val="32"/>
          <w:szCs w:val="32"/>
          <w:highlight w:val="none"/>
          <w:lang w:val="en-US" w:eastAsia="zh-CN" w:bidi="ar"/>
        </w:rPr>
        <w:t>条</w:t>
      </w:r>
      <w:r>
        <w:rPr>
          <w:rFonts w:hint="default" w:ascii="仿宋_GB2312" w:hAnsi="宋体" w:eastAsia="仿宋_GB2312" w:cs="Times New Roman"/>
          <w:color w:val="000000"/>
          <w:sz w:val="32"/>
          <w:szCs w:val="24"/>
          <w:highlight w:val="none"/>
        </w:rPr>
        <w:t xml:space="preserve"> 鼓</w:t>
      </w:r>
      <w:r>
        <w:rPr>
          <w:rFonts w:hint="default" w:ascii="仿宋_GB2312" w:hAnsi="宋体" w:eastAsia="仿宋_GB2312" w:cs="Times New Roman"/>
          <w:color w:val="000000"/>
          <w:sz w:val="32"/>
          <w:szCs w:val="24"/>
        </w:rPr>
        <w:t>励各地按照“市场运作、政府主导、部门推动、机制保障”的原则，推进道路客运班线公交化改造。</w:t>
      </w:r>
      <w:r>
        <w:rPr>
          <w:rFonts w:hint="eastAsia" w:ascii="仿宋_GB2312" w:hAnsi="宋体" w:eastAsia="仿宋_GB2312" w:cs="Times New Roman"/>
          <w:color w:val="000000"/>
          <w:sz w:val="32"/>
          <w:szCs w:val="24"/>
          <w:lang w:eastAsia="zh-CN"/>
        </w:rPr>
        <w:t>鼓励各地充分利用旅游资源、产业优势等打造具有本地特色的客运服务品牌。</w:t>
      </w:r>
    </w:p>
    <w:p w14:paraId="5E278BB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000000"/>
          <w:sz w:val="32"/>
          <w:szCs w:val="24"/>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四</w:t>
      </w:r>
      <w:r>
        <w:rPr>
          <w:rFonts w:hint="default" w:ascii="黑体" w:hAnsi="黑体" w:eastAsia="黑体" w:cs="黑体"/>
          <w:color w:val="auto"/>
          <w:kern w:val="0"/>
          <w:sz w:val="32"/>
          <w:szCs w:val="32"/>
          <w:lang w:val="en-US" w:eastAsia="zh-CN" w:bidi="ar"/>
        </w:rPr>
        <w:t>条</w:t>
      </w:r>
      <w:r>
        <w:rPr>
          <w:rFonts w:hint="default" w:ascii="仿宋_GB2312" w:hAnsi="宋体" w:eastAsia="仿宋_GB2312" w:cs="Times New Roman"/>
          <w:color w:val="000000"/>
          <w:sz w:val="32"/>
          <w:szCs w:val="24"/>
        </w:rPr>
        <w:t xml:space="preserve"> 客运班线公交化改造后具有公益属性，鼓励各地在用地、财政补贴、税费减免等方面给予政策资金支持。</w:t>
      </w:r>
    </w:p>
    <w:p w14:paraId="4DC5E4ED">
      <w:pPr>
        <w:keepNext w:val="0"/>
        <w:keepLines w:val="0"/>
        <w:pageBreakBefore w:val="0"/>
        <w:numPr>
          <w:ilvl w:val="0"/>
          <w:numId w:val="0"/>
        </w:numPr>
        <w:kinsoku/>
        <w:wordWrap/>
        <w:overflowPunct/>
        <w:topLinePunct w:val="0"/>
        <w:autoSpaceDE/>
        <w:autoSpaceDN/>
        <w:bidi w:val="0"/>
        <w:adjustRightInd w:val="0"/>
        <w:snapToGrid w:val="0"/>
        <w:spacing w:line="576" w:lineRule="exact"/>
        <w:ind w:left="0" w:firstLine="0" w:firstLineChars="0"/>
        <w:jc w:val="center"/>
        <w:textAlignment w:val="auto"/>
        <w:rPr>
          <w:rFonts w:hint="default" w:ascii="宋体" w:hAnsi="宋体" w:eastAsia="仿宋_GB2312" w:cs="Times New Roman"/>
          <w:color w:val="000000"/>
          <w:sz w:val="32"/>
          <w:szCs w:val="24"/>
        </w:rPr>
      </w:pPr>
      <w:r>
        <w:rPr>
          <w:rFonts w:hint="default" w:ascii="黑体" w:hAnsi="Times New Roman" w:eastAsia="黑体" w:cs="Times New Roman"/>
          <w:sz w:val="32"/>
          <w:szCs w:val="24"/>
        </w:rPr>
        <w:t>第二章 组织管理</w:t>
      </w:r>
    </w:p>
    <w:p w14:paraId="63031C48">
      <w:pPr>
        <w:keepNext w:val="0"/>
        <w:keepLines w:val="0"/>
        <w:pageBreakBefore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hint="eastAsia" w:ascii="宋体" w:hAnsi="宋体" w:eastAsia="仿宋_GB2312" w:cs="Times New Roman"/>
          <w:color w:val="000000"/>
          <w:sz w:val="32"/>
          <w:szCs w:val="24"/>
          <w:lang w:eastAsia="zh-CN"/>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五</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sz w:val="32"/>
          <w:szCs w:val="24"/>
        </w:rPr>
        <w:t xml:space="preserve"> </w:t>
      </w:r>
      <w:r>
        <w:rPr>
          <w:rFonts w:hint="eastAsia" w:ascii="宋体" w:hAnsi="宋体" w:eastAsia="仿宋_GB2312" w:cs="Times New Roman"/>
          <w:color w:val="000000"/>
          <w:sz w:val="32"/>
          <w:szCs w:val="24"/>
          <w:lang w:eastAsia="zh-CN"/>
        </w:rPr>
        <w:t>对于同一线路多个经营</w:t>
      </w:r>
      <w:r>
        <w:rPr>
          <w:rFonts w:hint="default" w:ascii="宋体" w:hAnsi="宋体" w:eastAsia="仿宋_GB2312" w:cs="Times New Roman"/>
          <w:color w:val="000000"/>
          <w:sz w:val="32"/>
          <w:szCs w:val="24"/>
          <w:lang w:eastAsia="zh-CN"/>
        </w:rPr>
        <w:t>者</w:t>
      </w:r>
      <w:r>
        <w:rPr>
          <w:rFonts w:hint="eastAsia" w:ascii="宋体" w:hAnsi="宋体" w:eastAsia="仿宋_GB2312" w:cs="Times New Roman"/>
          <w:color w:val="000000"/>
          <w:sz w:val="32"/>
          <w:szCs w:val="24"/>
          <w:lang w:eastAsia="zh-CN"/>
        </w:rPr>
        <w:t>未全部具备公交化改造条件的，始发地交通运输主管部门可优先支持具备条件的客运</w:t>
      </w:r>
      <w:r>
        <w:rPr>
          <w:rFonts w:hint="default" w:ascii="宋体" w:hAnsi="宋体" w:eastAsia="仿宋_GB2312" w:cs="Times New Roman"/>
          <w:color w:val="000000"/>
          <w:sz w:val="32"/>
          <w:szCs w:val="24"/>
          <w:lang w:eastAsia="zh-CN"/>
        </w:rPr>
        <w:t>经营者</w:t>
      </w:r>
      <w:r>
        <w:rPr>
          <w:rFonts w:hint="eastAsia" w:ascii="宋体" w:hAnsi="宋体" w:eastAsia="仿宋_GB2312" w:cs="Times New Roman"/>
          <w:color w:val="000000"/>
          <w:sz w:val="32"/>
          <w:szCs w:val="24"/>
          <w:lang w:eastAsia="zh-CN"/>
        </w:rPr>
        <w:t>采取合理的发车方式先行先试。</w:t>
      </w:r>
    </w:p>
    <w:p w14:paraId="68139A91">
      <w:pPr>
        <w:keepNext w:val="0"/>
        <w:keepLines w:val="0"/>
        <w:pageBreakBefore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hint="eastAsia" w:ascii="宋体" w:hAnsi="宋体" w:eastAsia="仿宋_GB2312" w:cs="Times New Roman"/>
          <w:color w:val="000000"/>
          <w:sz w:val="32"/>
          <w:szCs w:val="24"/>
          <w:lang w:eastAsia="zh-CN"/>
        </w:rPr>
      </w:pPr>
      <w:r>
        <w:rPr>
          <w:rFonts w:hint="default" w:ascii="黑体" w:hAnsi="黑体" w:eastAsia="黑体" w:cs="黑体"/>
          <w:color w:val="auto"/>
          <w:kern w:val="0"/>
          <w:sz w:val="32"/>
          <w:szCs w:val="32"/>
          <w:highlight w:val="none"/>
          <w:lang w:val="en-US" w:eastAsia="zh-CN" w:bidi="ar"/>
        </w:rPr>
        <w:t>第</w:t>
      </w:r>
      <w:r>
        <w:rPr>
          <w:rFonts w:hint="eastAsia" w:ascii="黑体" w:hAnsi="黑体" w:eastAsia="黑体" w:cs="黑体"/>
          <w:color w:val="auto"/>
          <w:kern w:val="0"/>
          <w:sz w:val="32"/>
          <w:szCs w:val="32"/>
          <w:highlight w:val="none"/>
          <w:lang w:val="en-US" w:eastAsia="zh-CN" w:bidi="ar"/>
        </w:rPr>
        <w:t>六</w:t>
      </w:r>
      <w:r>
        <w:rPr>
          <w:rFonts w:hint="default" w:ascii="黑体" w:hAnsi="黑体" w:eastAsia="黑体" w:cs="黑体"/>
          <w:color w:val="auto"/>
          <w:kern w:val="0"/>
          <w:sz w:val="32"/>
          <w:szCs w:val="32"/>
          <w:highlight w:val="none"/>
          <w:lang w:val="en-US" w:eastAsia="zh-CN" w:bidi="ar"/>
        </w:rPr>
        <w:t>条</w:t>
      </w:r>
      <w:r>
        <w:rPr>
          <w:rFonts w:hint="default" w:ascii="宋体" w:hAnsi="宋体" w:eastAsia="仿宋_GB2312" w:cs="Times New Roman"/>
          <w:color w:val="000000"/>
          <w:sz w:val="32"/>
          <w:szCs w:val="24"/>
          <w:highlight w:val="none"/>
          <w:lang w:eastAsia="zh-CN"/>
        </w:rPr>
        <w:t xml:space="preserve"> 公交化改造后的</w:t>
      </w:r>
      <w:r>
        <w:rPr>
          <w:rFonts w:hint="eastAsia" w:ascii="宋体" w:hAnsi="宋体" w:eastAsia="仿宋_GB2312" w:cs="Times New Roman"/>
          <w:color w:val="000000"/>
          <w:sz w:val="32"/>
          <w:szCs w:val="24"/>
          <w:highlight w:val="none"/>
          <w:lang w:eastAsia="zh-CN"/>
        </w:rPr>
        <w:t>票价参照</w:t>
      </w:r>
      <w:r>
        <w:rPr>
          <w:rFonts w:hint="default" w:ascii="宋体" w:hAnsi="宋体" w:eastAsia="仿宋_GB2312" w:cs="Times New Roman"/>
          <w:color w:val="000000"/>
          <w:sz w:val="32"/>
          <w:szCs w:val="24"/>
          <w:lang w:eastAsia="zh-CN"/>
        </w:rPr>
        <w:t>道路客运</w:t>
      </w:r>
      <w:r>
        <w:rPr>
          <w:rFonts w:hint="eastAsia" w:ascii="宋体" w:hAnsi="宋体" w:eastAsia="仿宋_GB2312" w:cs="Times New Roman"/>
          <w:color w:val="000000"/>
          <w:sz w:val="32"/>
          <w:szCs w:val="24"/>
          <w:lang w:eastAsia="zh-CN"/>
        </w:rPr>
        <w:t>班车的定价</w:t>
      </w:r>
      <w:r>
        <w:rPr>
          <w:rFonts w:hint="default" w:ascii="宋体" w:hAnsi="宋体" w:eastAsia="仿宋_GB2312" w:cs="Times New Roman"/>
          <w:color w:val="000000"/>
          <w:sz w:val="32"/>
          <w:szCs w:val="24"/>
          <w:lang w:eastAsia="zh-CN"/>
        </w:rPr>
        <w:t>机制，</w:t>
      </w:r>
      <w:r>
        <w:rPr>
          <w:rFonts w:hint="eastAsia" w:ascii="宋体" w:hAnsi="宋体" w:eastAsia="仿宋_GB2312" w:cs="Times New Roman"/>
          <w:color w:val="000000"/>
          <w:sz w:val="32"/>
          <w:szCs w:val="24"/>
          <w:lang w:eastAsia="zh-CN"/>
        </w:rPr>
        <w:t>合理确定票价，</w:t>
      </w:r>
      <w:r>
        <w:rPr>
          <w:rFonts w:hint="default" w:ascii="宋体" w:hAnsi="宋体" w:eastAsia="仿宋_GB2312" w:cs="Times New Roman"/>
          <w:color w:val="000000"/>
          <w:sz w:val="32"/>
          <w:szCs w:val="24"/>
          <w:lang w:eastAsia="zh-CN"/>
        </w:rPr>
        <w:t>鼓励</w:t>
      </w:r>
      <w:r>
        <w:rPr>
          <w:rFonts w:hint="eastAsia" w:ascii="宋体" w:hAnsi="宋体" w:eastAsia="仿宋_GB2312" w:cs="Times New Roman"/>
          <w:color w:val="000000"/>
          <w:sz w:val="32"/>
          <w:szCs w:val="24"/>
          <w:lang w:eastAsia="zh-CN"/>
        </w:rPr>
        <w:t>在原客运班车票价的基础上适当降低票价，让利于民。</w:t>
      </w:r>
      <w:r>
        <w:rPr>
          <w:rFonts w:hint="default" w:ascii="宋体" w:hAnsi="宋体" w:eastAsia="仿宋_GB2312" w:cs="Times New Roman"/>
          <w:color w:val="000000"/>
          <w:sz w:val="32"/>
          <w:szCs w:val="24"/>
          <w:lang w:eastAsia="zh-CN"/>
        </w:rPr>
        <w:t>原则上起讫地间上下行票价应一致。一方已经先行先试开展公交化改造的，其票价以先行改造的一方确定的票价为准</w:t>
      </w:r>
      <w:r>
        <w:rPr>
          <w:rFonts w:hint="eastAsia" w:ascii="宋体" w:hAnsi="宋体" w:eastAsia="仿宋_GB2312" w:cs="Times New Roman"/>
          <w:color w:val="000000"/>
          <w:sz w:val="32"/>
          <w:szCs w:val="24"/>
          <w:lang w:eastAsia="zh-CN"/>
        </w:rPr>
        <w:t>，企业不得擅自调价。</w:t>
      </w:r>
    </w:p>
    <w:p w14:paraId="013B249B">
      <w:pPr>
        <w:keepNext w:val="0"/>
        <w:keepLines w:val="0"/>
        <w:pageBreakBefore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hint="default"/>
          <w:lang w:val="en-US" w:eastAsia="zh-CN"/>
        </w:rPr>
      </w:pPr>
      <w:r>
        <w:rPr>
          <w:rFonts w:hint="eastAsia" w:ascii="宋体" w:hAnsi="宋体" w:eastAsia="仿宋_GB2312" w:cs="Times New Roman"/>
          <w:color w:val="000000"/>
          <w:sz w:val="32"/>
          <w:szCs w:val="24"/>
          <w:lang w:eastAsia="zh-CN"/>
        </w:rPr>
        <w:t>公交化改造线路的乘车优惠政策参照客运班线执行。</w:t>
      </w:r>
    </w:p>
    <w:p w14:paraId="5F674BA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宋体" w:hAnsi="宋体" w:eastAsia="仿宋_GB2312" w:cs="Times New Roman"/>
          <w:color w:val="000000"/>
          <w:sz w:val="32"/>
          <w:szCs w:val="24"/>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七</w:t>
      </w:r>
      <w:r>
        <w:rPr>
          <w:rFonts w:hint="default" w:ascii="黑体" w:hAnsi="黑体" w:eastAsia="黑体" w:cs="黑体"/>
          <w:color w:val="auto"/>
          <w:kern w:val="0"/>
          <w:sz w:val="32"/>
          <w:szCs w:val="32"/>
          <w:lang w:val="en-US" w:eastAsia="zh-CN" w:bidi="ar"/>
        </w:rPr>
        <w:t>条</w:t>
      </w:r>
      <w:r>
        <w:rPr>
          <w:rFonts w:hint="default" w:ascii="CESI楷体-GB18030" w:hAnsi="CESI楷体-GB18030" w:eastAsia="CESI楷体-GB18030" w:cs="CESI楷体-GB18030"/>
          <w:sz w:val="32"/>
          <w:szCs w:val="24"/>
        </w:rPr>
        <w:t xml:space="preserve"> </w:t>
      </w:r>
      <w:r>
        <w:rPr>
          <w:rFonts w:hint="default" w:ascii="宋体" w:hAnsi="宋体" w:eastAsia="仿宋_GB2312" w:cs="Times New Roman"/>
          <w:color w:val="000000"/>
          <w:sz w:val="32"/>
          <w:szCs w:val="24"/>
        </w:rPr>
        <w:t>道路客运班线公交化改造后应采取</w:t>
      </w:r>
      <w:r>
        <w:rPr>
          <w:rFonts w:hint="eastAsia" w:ascii="宋体" w:hAnsi="宋体" w:eastAsia="仿宋_GB2312" w:cs="Times New Roman"/>
          <w:color w:val="000000"/>
          <w:sz w:val="32"/>
          <w:szCs w:val="24"/>
          <w:lang w:eastAsia="zh-CN"/>
        </w:rPr>
        <w:t>公司化</w:t>
      </w:r>
      <w:r>
        <w:rPr>
          <w:rFonts w:hint="default" w:ascii="宋体" w:hAnsi="宋体" w:eastAsia="仿宋_GB2312" w:cs="Times New Roman"/>
          <w:color w:val="000000"/>
          <w:sz w:val="32"/>
          <w:szCs w:val="24"/>
        </w:rPr>
        <w:t>运营方式，提升公司化经营水平。</w:t>
      </w:r>
    </w:p>
    <w:p w14:paraId="5159EA1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仿宋_GB2312" w:cs="Times New Roman"/>
          <w:color w:val="000000"/>
          <w:sz w:val="32"/>
          <w:szCs w:val="24"/>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八</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sz w:val="32"/>
          <w:szCs w:val="24"/>
        </w:rPr>
        <w:t xml:space="preserve"> </w:t>
      </w:r>
      <w:r>
        <w:rPr>
          <w:rFonts w:hint="eastAsia" w:ascii="宋体" w:hAnsi="宋体" w:eastAsia="仿宋_GB2312" w:cs="Times New Roman"/>
          <w:color w:val="000000"/>
          <w:sz w:val="32"/>
          <w:szCs w:val="24"/>
          <w:lang w:eastAsia="zh-CN"/>
        </w:rPr>
        <w:t>实施</w:t>
      </w:r>
      <w:r>
        <w:rPr>
          <w:rFonts w:hint="default" w:ascii="仿宋_GB2312" w:hAnsi="宋体" w:eastAsia="仿宋_GB2312" w:cs="Times New Roman"/>
          <w:color w:val="000000"/>
          <w:sz w:val="32"/>
          <w:szCs w:val="24"/>
        </w:rPr>
        <w:t>公交化改造的</w:t>
      </w:r>
      <w:r>
        <w:rPr>
          <w:rFonts w:hint="eastAsia" w:ascii="仿宋_GB2312" w:hAnsi="宋体" w:eastAsia="仿宋_GB2312" w:cs="Times New Roman"/>
          <w:color w:val="000000"/>
          <w:sz w:val="32"/>
          <w:szCs w:val="24"/>
        </w:rPr>
        <w:t>同一线路</w:t>
      </w:r>
      <w:r>
        <w:rPr>
          <w:rFonts w:hint="default" w:ascii="仿宋_GB2312" w:hAnsi="宋体" w:eastAsia="仿宋_GB2312" w:cs="Times New Roman"/>
          <w:color w:val="000000"/>
          <w:sz w:val="32"/>
          <w:szCs w:val="24"/>
        </w:rPr>
        <w:t>原则上应</w:t>
      </w:r>
      <w:r>
        <w:rPr>
          <w:rFonts w:hint="eastAsia" w:ascii="仿宋_GB2312" w:hAnsi="宋体" w:eastAsia="仿宋_GB2312" w:cs="Times New Roman"/>
          <w:color w:val="000000"/>
          <w:sz w:val="32"/>
          <w:szCs w:val="24"/>
        </w:rPr>
        <w:t>统一站点</w:t>
      </w:r>
      <w:r>
        <w:rPr>
          <w:rFonts w:hint="eastAsia" w:ascii="宋体" w:hAnsi="宋体" w:eastAsia="仿宋_GB2312" w:cs="Times New Roman"/>
          <w:color w:val="000000"/>
          <w:sz w:val="32"/>
          <w:szCs w:val="24"/>
        </w:rPr>
        <w:t>、统一票价、统一服务、统一管理</w:t>
      </w:r>
      <w:r>
        <w:rPr>
          <w:rFonts w:hint="default" w:ascii="宋体" w:hAnsi="宋体" w:eastAsia="仿宋_GB2312" w:cs="Times New Roman"/>
          <w:color w:val="000000"/>
          <w:sz w:val="32"/>
          <w:szCs w:val="24"/>
        </w:rPr>
        <w:t>、统一车型</w:t>
      </w:r>
      <w:r>
        <w:rPr>
          <w:rFonts w:hint="eastAsia" w:ascii="宋体" w:hAnsi="宋体" w:eastAsia="仿宋_GB2312" w:cs="Times New Roman"/>
          <w:color w:val="000000"/>
          <w:sz w:val="32"/>
          <w:szCs w:val="24"/>
        </w:rPr>
        <w:t>。</w:t>
      </w:r>
    </w:p>
    <w:p w14:paraId="1CE46FC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宋体" w:hAnsi="宋体" w:eastAsia="仿宋_GB2312" w:cs="Times New Roman"/>
          <w:color w:val="000000"/>
          <w:sz w:val="32"/>
          <w:szCs w:val="24"/>
          <w:highlight w:val="none"/>
          <w:lang w:eastAsia="zh-CN"/>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九</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sz w:val="32"/>
          <w:szCs w:val="24"/>
          <w:highlight w:val="none"/>
          <w:lang w:eastAsia="zh-CN"/>
        </w:rPr>
        <w:t xml:space="preserve"> </w:t>
      </w:r>
      <w:r>
        <w:rPr>
          <w:rFonts w:hint="eastAsia" w:ascii="宋体" w:hAnsi="宋体" w:eastAsia="仿宋_GB2312" w:cs="Times New Roman"/>
          <w:color w:val="000000"/>
          <w:sz w:val="32"/>
          <w:szCs w:val="24"/>
          <w:highlight w:val="none"/>
          <w:lang w:eastAsia="zh-CN"/>
        </w:rPr>
        <w:t>公交化改造线路可继续在客运站始发。对不在客运站始发的，应由城市交通运输主管部门会同公安、城管等部门，按照出行便捷、换乘方便、布局合理的原则，合理设置站点。</w:t>
      </w:r>
    </w:p>
    <w:p w14:paraId="5E312698">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default" w:ascii="宋体" w:hAnsi="宋体" w:eastAsia="仿宋_GB2312" w:cs="Times New Roman"/>
          <w:color w:val="000000"/>
          <w:kern w:val="2"/>
          <w:sz w:val="32"/>
          <w:szCs w:val="24"/>
          <w:lang w:val="en-US" w:eastAsia="zh-CN" w:bidi="ar-SA"/>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十</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lang w:eastAsia="zh-CN" w:bidi="ar-SA"/>
        </w:rPr>
        <w:t xml:space="preserve"> 公交化改造线路应</w:t>
      </w:r>
      <w:r>
        <w:rPr>
          <w:rFonts w:hint="eastAsia" w:ascii="宋体" w:hAnsi="宋体" w:eastAsia="仿宋_GB2312" w:cs="Times New Roman"/>
          <w:color w:val="000000"/>
          <w:kern w:val="2"/>
          <w:sz w:val="32"/>
          <w:szCs w:val="24"/>
          <w:lang w:val="en-US" w:eastAsia="zh-CN" w:bidi="ar-SA"/>
        </w:rPr>
        <w:t>加强与城市轨道交通、主干公交线网的有机衔接，</w:t>
      </w:r>
      <w:r>
        <w:rPr>
          <w:rFonts w:hint="default" w:ascii="宋体" w:hAnsi="宋体" w:eastAsia="仿宋_GB2312" w:cs="Times New Roman"/>
          <w:color w:val="000000"/>
          <w:kern w:val="2"/>
          <w:sz w:val="32"/>
          <w:szCs w:val="24"/>
          <w:lang w:eastAsia="zh-CN" w:bidi="ar-SA"/>
        </w:rPr>
        <w:t>并可</w:t>
      </w:r>
      <w:r>
        <w:rPr>
          <w:rFonts w:hint="eastAsia" w:ascii="宋体" w:hAnsi="宋体" w:eastAsia="仿宋_GB2312" w:cs="Times New Roman"/>
          <w:color w:val="000000"/>
          <w:kern w:val="2"/>
          <w:sz w:val="32"/>
          <w:szCs w:val="24"/>
          <w:lang w:val="en-US" w:eastAsia="zh-CN" w:bidi="ar-SA"/>
        </w:rPr>
        <w:t>合理利用现有城市公交站点资源，为公交化运营车辆停靠提供便利条件</w:t>
      </w:r>
      <w:r>
        <w:rPr>
          <w:rFonts w:hint="default" w:ascii="宋体" w:hAnsi="宋体" w:eastAsia="仿宋_GB2312" w:cs="Times New Roman"/>
          <w:color w:val="000000"/>
          <w:kern w:val="2"/>
          <w:sz w:val="32"/>
          <w:szCs w:val="24"/>
          <w:lang w:val="en-US" w:eastAsia="zh-CN" w:bidi="ar-SA"/>
        </w:rPr>
        <w:t>。</w:t>
      </w:r>
    </w:p>
    <w:p w14:paraId="64612F27">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lang w:val="en-US" w:eastAsia="zh-CN" w:bidi="ar-SA"/>
        </w:rPr>
      </w:pPr>
      <w:r>
        <w:rPr>
          <w:rFonts w:hint="default" w:ascii="黑体" w:hAnsi="黑体" w:eastAsia="黑体" w:cs="黑体"/>
          <w:color w:val="auto"/>
          <w:kern w:val="0"/>
          <w:sz w:val="32"/>
          <w:szCs w:val="32"/>
          <w:highlight w:val="none"/>
          <w:lang w:val="en-US" w:eastAsia="zh-CN" w:bidi="ar"/>
        </w:rPr>
        <w:t>第</w:t>
      </w:r>
      <w:r>
        <w:rPr>
          <w:rFonts w:hint="eastAsia" w:ascii="黑体" w:hAnsi="黑体" w:eastAsia="黑体" w:cs="黑体"/>
          <w:color w:val="auto"/>
          <w:kern w:val="0"/>
          <w:sz w:val="32"/>
          <w:szCs w:val="32"/>
          <w:highlight w:val="none"/>
          <w:lang w:val="en-US" w:eastAsia="zh-CN" w:bidi="ar"/>
        </w:rPr>
        <w:t>十一</w:t>
      </w:r>
      <w:r>
        <w:rPr>
          <w:rFonts w:hint="default" w:ascii="黑体" w:hAnsi="黑体" w:eastAsia="黑体" w:cs="黑体"/>
          <w:color w:val="auto"/>
          <w:kern w:val="0"/>
          <w:sz w:val="32"/>
          <w:szCs w:val="32"/>
          <w:highlight w:val="none"/>
          <w:lang w:val="en-US" w:eastAsia="zh-CN" w:bidi="ar"/>
        </w:rPr>
        <w:t>条</w:t>
      </w:r>
      <w:r>
        <w:rPr>
          <w:rFonts w:hint="default" w:ascii="宋体" w:hAnsi="宋体" w:eastAsia="仿宋_GB2312" w:cs="Times New Roman"/>
          <w:color w:val="auto"/>
          <w:kern w:val="2"/>
          <w:sz w:val="32"/>
          <w:szCs w:val="24"/>
          <w:highlight w:val="none"/>
          <w:lang w:eastAsia="zh-CN" w:bidi="ar-SA"/>
        </w:rPr>
        <w:t xml:space="preserve"> </w:t>
      </w:r>
      <w:r>
        <w:rPr>
          <w:rFonts w:hint="eastAsia" w:ascii="宋体" w:hAnsi="宋体" w:eastAsia="仿宋_GB2312" w:cs="Times New Roman"/>
          <w:color w:val="auto"/>
          <w:kern w:val="2"/>
          <w:sz w:val="32"/>
          <w:szCs w:val="24"/>
          <w:highlight w:val="none"/>
          <w:u w:val="none"/>
          <w:lang w:eastAsia="zh-CN" w:bidi="ar-SA"/>
        </w:rPr>
        <w:t>公交化改造线路应合理设置停靠站点，</w:t>
      </w:r>
      <w:r>
        <w:rPr>
          <w:rFonts w:hint="eastAsia" w:ascii="宋体" w:hAnsi="宋体" w:eastAsia="仿宋_GB2312" w:cs="Times New Roman"/>
          <w:color w:val="000000"/>
          <w:kern w:val="2"/>
          <w:sz w:val="32"/>
          <w:szCs w:val="24"/>
          <w:u w:val="none"/>
          <w:lang w:val="en-US" w:eastAsia="zh-CN" w:bidi="ar-SA"/>
        </w:rPr>
        <w:t>鼓励在学校、企事业单位、村镇、旅游景区、农村集贸市场等客源密集区设立停靠站点，方便群众乘车出行。</w:t>
      </w:r>
      <w:r>
        <w:rPr>
          <w:rFonts w:hint="eastAsia" w:ascii="宋体" w:hAnsi="宋体" w:eastAsia="仿宋_GB2312" w:cs="Times New Roman"/>
          <w:color w:val="000000"/>
          <w:kern w:val="2"/>
          <w:sz w:val="32"/>
          <w:szCs w:val="24"/>
          <w:lang w:val="en-US" w:eastAsia="zh-CN" w:bidi="ar-SA"/>
        </w:rPr>
        <w:t>具备条件的可探索在旅游景区内设置乘降点，</w:t>
      </w:r>
      <w:r>
        <w:rPr>
          <w:rFonts w:hint="default" w:ascii="宋体" w:hAnsi="宋体" w:eastAsia="仿宋_GB2312" w:cs="Times New Roman"/>
          <w:color w:val="000000"/>
          <w:kern w:val="2"/>
          <w:sz w:val="32"/>
          <w:szCs w:val="24"/>
          <w:lang w:eastAsia="zh-CN" w:bidi="ar-SA"/>
        </w:rPr>
        <w:t>促进</w:t>
      </w:r>
      <w:r>
        <w:rPr>
          <w:rFonts w:hint="eastAsia" w:ascii="宋体" w:hAnsi="宋体" w:eastAsia="仿宋_GB2312" w:cs="Times New Roman"/>
          <w:color w:val="000000"/>
          <w:kern w:val="2"/>
          <w:sz w:val="32"/>
          <w:szCs w:val="24"/>
          <w:lang w:val="en-US" w:eastAsia="zh-CN" w:bidi="ar-SA"/>
        </w:rPr>
        <w:t>交通与旅游融合，服务经济社会发展。</w:t>
      </w:r>
    </w:p>
    <w:p w14:paraId="326451E7">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000000"/>
          <w:sz w:val="32"/>
          <w:szCs w:val="24"/>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十二</w:t>
      </w:r>
      <w:r>
        <w:rPr>
          <w:rFonts w:hint="default" w:ascii="黑体" w:hAnsi="黑体" w:eastAsia="黑体" w:cs="黑体"/>
          <w:color w:val="auto"/>
          <w:kern w:val="0"/>
          <w:sz w:val="32"/>
          <w:szCs w:val="32"/>
          <w:lang w:val="en-US" w:eastAsia="zh-CN" w:bidi="ar"/>
        </w:rPr>
        <w:t>条</w:t>
      </w:r>
      <w:r>
        <w:rPr>
          <w:rFonts w:hint="default" w:ascii="仿宋_GB2312" w:hAnsi="宋体" w:eastAsia="仿宋_GB2312" w:cs="Times New Roman"/>
          <w:color w:val="000000"/>
          <w:sz w:val="32"/>
          <w:szCs w:val="24"/>
        </w:rPr>
        <w:t xml:space="preserve"> </w:t>
      </w:r>
      <w:r>
        <w:rPr>
          <w:rFonts w:hint="eastAsia" w:ascii="仿宋_GB2312" w:hAnsi="宋体" w:eastAsia="仿宋_GB2312" w:cs="Times New Roman"/>
          <w:color w:val="000000"/>
          <w:sz w:val="32"/>
          <w:szCs w:val="24"/>
        </w:rPr>
        <w:t>公交化</w:t>
      </w:r>
      <w:r>
        <w:rPr>
          <w:rFonts w:hint="default" w:ascii="仿宋_GB2312" w:hAnsi="宋体" w:eastAsia="仿宋_GB2312" w:cs="Times New Roman"/>
          <w:color w:val="000000"/>
          <w:sz w:val="32"/>
          <w:szCs w:val="24"/>
        </w:rPr>
        <w:t>改造线路</w:t>
      </w:r>
      <w:r>
        <w:rPr>
          <w:rFonts w:hint="eastAsia" w:ascii="仿宋_GB2312" w:hAnsi="宋体" w:eastAsia="仿宋_GB2312" w:cs="Times New Roman"/>
          <w:color w:val="000000"/>
          <w:sz w:val="32"/>
          <w:szCs w:val="24"/>
        </w:rPr>
        <w:t>应当在</w:t>
      </w:r>
      <w:r>
        <w:rPr>
          <w:rFonts w:hint="default" w:ascii="仿宋_GB2312" w:hAnsi="宋体" w:eastAsia="仿宋_GB2312" w:cs="Times New Roman"/>
          <w:color w:val="000000"/>
          <w:sz w:val="32"/>
          <w:szCs w:val="24"/>
        </w:rPr>
        <w:t>首末站</w:t>
      </w:r>
      <w:r>
        <w:rPr>
          <w:rFonts w:hint="eastAsia" w:ascii="仿宋_GB2312" w:hAnsi="宋体" w:eastAsia="仿宋_GB2312" w:cs="Times New Roman"/>
          <w:color w:val="000000"/>
          <w:sz w:val="32"/>
          <w:szCs w:val="24"/>
        </w:rPr>
        <w:t>和停靠站（亭）设置</w:t>
      </w:r>
      <w:r>
        <w:rPr>
          <w:rFonts w:hint="eastAsia" w:ascii="仿宋_GB2312" w:hAnsi="宋体" w:eastAsia="仿宋_GB2312" w:cs="Times New Roman"/>
          <w:color w:val="000000"/>
          <w:sz w:val="32"/>
          <w:szCs w:val="24"/>
          <w:lang w:eastAsia="zh-CN"/>
        </w:rPr>
        <w:t>公交化改造线路</w:t>
      </w:r>
      <w:r>
        <w:rPr>
          <w:rFonts w:hint="eastAsia" w:ascii="仿宋_GB2312" w:hAnsi="宋体" w:eastAsia="仿宋_GB2312" w:cs="Times New Roman"/>
          <w:color w:val="000000"/>
          <w:sz w:val="32"/>
          <w:szCs w:val="24"/>
        </w:rPr>
        <w:t>站牌信息标识，</w:t>
      </w:r>
      <w:r>
        <w:rPr>
          <w:rFonts w:hint="default" w:ascii="仿宋_GB2312" w:hAnsi="宋体" w:eastAsia="仿宋_GB2312" w:cs="Times New Roman"/>
          <w:color w:val="000000"/>
          <w:sz w:val="32"/>
          <w:szCs w:val="24"/>
        </w:rPr>
        <w:t>方便群众候车</w:t>
      </w:r>
      <w:r>
        <w:rPr>
          <w:rFonts w:hint="eastAsia" w:ascii="仿宋_GB2312" w:hAnsi="宋体" w:eastAsia="仿宋_GB2312" w:cs="Times New Roman"/>
          <w:color w:val="000000"/>
          <w:sz w:val="32"/>
          <w:szCs w:val="24"/>
        </w:rPr>
        <w:t>。</w:t>
      </w:r>
    </w:p>
    <w:p w14:paraId="29F2D404">
      <w:pPr>
        <w:keepNext w:val="0"/>
        <w:keepLines w:val="0"/>
        <w:pageBreakBefore w:val="0"/>
        <w:kinsoku/>
        <w:wordWrap/>
        <w:overflowPunct/>
        <w:topLinePunct w:val="0"/>
        <w:autoSpaceDE/>
        <w:autoSpaceDN/>
        <w:bidi w:val="0"/>
        <w:adjustRightInd w:val="0"/>
        <w:snapToGrid w:val="0"/>
        <w:spacing w:line="576" w:lineRule="exact"/>
        <w:ind w:firstLine="0" w:firstLineChars="0"/>
        <w:jc w:val="center"/>
        <w:textAlignment w:val="auto"/>
        <w:rPr>
          <w:rFonts w:hint="eastAsia" w:ascii="CESI黑体-GB2312" w:hAnsi="CESI黑体-GB2312" w:eastAsia="CESI黑体-GB2312" w:cs="CESI黑体-GB2312"/>
          <w:color w:val="000000"/>
          <w:sz w:val="32"/>
          <w:szCs w:val="24"/>
        </w:rPr>
      </w:pPr>
      <w:r>
        <w:rPr>
          <w:rFonts w:hint="default" w:ascii="CESI黑体-GB2312" w:hAnsi="CESI黑体-GB2312" w:eastAsia="CESI黑体-GB2312" w:cs="CESI黑体-GB2312"/>
          <w:color w:val="000000"/>
          <w:sz w:val="32"/>
          <w:szCs w:val="24"/>
        </w:rPr>
        <w:t xml:space="preserve">第三章 </w:t>
      </w:r>
      <w:r>
        <w:rPr>
          <w:rFonts w:hint="eastAsia" w:ascii="CESI黑体-GB2312" w:hAnsi="CESI黑体-GB2312" w:eastAsia="CESI黑体-GB2312" w:cs="CESI黑体-GB2312"/>
          <w:color w:val="000000"/>
          <w:sz w:val="32"/>
          <w:szCs w:val="24"/>
        </w:rPr>
        <w:t>车辆管理</w:t>
      </w:r>
    </w:p>
    <w:p w14:paraId="4F3333F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宋体" w:cs="Times New Roman"/>
          <w:color w:val="000000"/>
          <w:sz w:val="32"/>
          <w:szCs w:val="24"/>
          <w:lang w:eastAsia="zh-CN"/>
        </w:rPr>
      </w:pPr>
      <w:r>
        <w:rPr>
          <w:rFonts w:hint="default" w:ascii="黑体" w:hAnsi="黑体" w:eastAsia="黑体" w:cs="黑体"/>
          <w:color w:val="auto"/>
          <w:kern w:val="0"/>
          <w:sz w:val="32"/>
          <w:szCs w:val="32"/>
          <w:lang w:val="en-US" w:eastAsia="zh-CN" w:bidi="ar"/>
        </w:rPr>
        <w:t>第十</w:t>
      </w:r>
      <w:r>
        <w:rPr>
          <w:rFonts w:hint="eastAsia" w:ascii="黑体" w:hAnsi="黑体" w:eastAsia="黑体" w:cs="黑体"/>
          <w:color w:val="auto"/>
          <w:kern w:val="0"/>
          <w:sz w:val="32"/>
          <w:szCs w:val="32"/>
          <w:lang w:val="en-US" w:eastAsia="zh-CN" w:bidi="ar"/>
        </w:rPr>
        <w:t>三</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sz w:val="32"/>
          <w:szCs w:val="24"/>
        </w:rPr>
        <w:t xml:space="preserve"> </w:t>
      </w:r>
      <w:r>
        <w:rPr>
          <w:rFonts w:hint="eastAsia" w:ascii="宋体" w:hAnsi="宋体" w:eastAsia="仿宋_GB2312" w:cs="Times New Roman"/>
          <w:color w:val="000000"/>
          <w:sz w:val="32"/>
          <w:szCs w:val="24"/>
          <w:lang w:eastAsia="zh-CN"/>
        </w:rPr>
        <w:t>投入运营</w:t>
      </w:r>
      <w:r>
        <w:rPr>
          <w:rFonts w:hint="default" w:ascii="宋体" w:hAnsi="宋体" w:eastAsia="仿宋_GB2312" w:cs="Times New Roman"/>
          <w:color w:val="000000"/>
          <w:sz w:val="32"/>
          <w:szCs w:val="24"/>
        </w:rPr>
        <w:t>车辆应</w:t>
      </w:r>
      <w:r>
        <w:rPr>
          <w:rFonts w:hint="eastAsia" w:ascii="宋体" w:hAnsi="宋体" w:eastAsia="仿宋_GB2312" w:cs="Times New Roman"/>
          <w:color w:val="000000"/>
          <w:sz w:val="32"/>
          <w:szCs w:val="24"/>
          <w:lang w:eastAsia="zh-CN"/>
        </w:rPr>
        <w:t>符合《机动车运行安全技术条件》</w:t>
      </w:r>
      <w:r>
        <w:rPr>
          <w:rFonts w:hint="eastAsia" w:ascii="仿宋_GB2312" w:hAnsi="仿宋_GB2312" w:eastAsia="仿宋_GB2312" w:cs="仿宋_GB2312"/>
          <w:color w:val="000000"/>
          <w:sz w:val="32"/>
          <w:szCs w:val="24"/>
          <w:lang w:eastAsia="zh-CN"/>
        </w:rPr>
        <w:t>（</w:t>
      </w:r>
      <w:r>
        <w:rPr>
          <w:rFonts w:hint="eastAsia" w:ascii="仿宋_GB2312" w:hAnsi="仿宋_GB2312" w:eastAsia="仿宋_GB2312" w:cs="仿宋_GB2312"/>
          <w:color w:val="000000"/>
          <w:sz w:val="32"/>
          <w:szCs w:val="24"/>
          <w:lang w:val="en-US" w:eastAsia="zh-CN"/>
        </w:rPr>
        <w:t>GB7258</w:t>
      </w:r>
      <w:r>
        <w:rPr>
          <w:rFonts w:hint="eastAsia" w:ascii="仿宋_GB2312" w:hAnsi="仿宋_GB2312" w:eastAsia="仿宋_GB2312" w:cs="仿宋_GB2312"/>
          <w:color w:val="000000"/>
          <w:sz w:val="32"/>
          <w:szCs w:val="24"/>
          <w:lang w:eastAsia="zh-CN"/>
        </w:rPr>
        <w:t>）《道路交通管理</w:t>
      </w:r>
      <w:r>
        <w:rPr>
          <w:rFonts w:hint="eastAsia" w:ascii="仿宋_GB2312" w:hAnsi="仿宋_GB2312" w:eastAsia="仿宋_GB2312" w:cs="仿宋_GB2312"/>
          <w:color w:val="000000"/>
          <w:sz w:val="32"/>
          <w:szCs w:val="24"/>
          <w:lang w:val="en-US" w:eastAsia="zh-CN"/>
        </w:rPr>
        <w:t xml:space="preserve"> </w:t>
      </w:r>
      <w:r>
        <w:rPr>
          <w:rFonts w:hint="eastAsia" w:ascii="仿宋_GB2312" w:hAnsi="仿宋_GB2312" w:eastAsia="仿宋_GB2312" w:cs="仿宋_GB2312"/>
          <w:color w:val="000000"/>
          <w:sz w:val="32"/>
          <w:szCs w:val="24"/>
          <w:lang w:eastAsia="zh-CN"/>
        </w:rPr>
        <w:t>机动车类型》</w:t>
      </w:r>
      <w:r>
        <w:rPr>
          <w:rFonts w:hint="eastAsia" w:ascii="仿宋_GB2312" w:hAnsi="仿宋_GB2312" w:eastAsia="仿宋_GB2312" w:cs="仿宋_GB2312"/>
          <w:color w:val="000000"/>
          <w:sz w:val="32"/>
          <w:szCs w:val="24"/>
          <w:lang w:val="en-US" w:eastAsia="zh-CN"/>
        </w:rPr>
        <w:t>（GA 802）</w:t>
      </w:r>
      <w:r>
        <w:rPr>
          <w:rFonts w:hint="eastAsia" w:ascii="宋体" w:hAnsi="宋体" w:eastAsia="仿宋_GB2312" w:cs="Times New Roman"/>
          <w:color w:val="000000"/>
          <w:sz w:val="32"/>
          <w:szCs w:val="24"/>
          <w:lang w:val="en-US" w:eastAsia="zh-CN"/>
        </w:rPr>
        <w:t>等相关规定，</w:t>
      </w:r>
      <w:r>
        <w:rPr>
          <w:rFonts w:hint="default" w:ascii="宋体" w:hAnsi="宋体" w:eastAsia="仿宋_GB2312" w:cs="Times New Roman"/>
          <w:color w:val="000000"/>
          <w:sz w:val="32"/>
          <w:szCs w:val="24"/>
        </w:rPr>
        <w:t>使用未设置乘客站立区的客车，车内</w:t>
      </w:r>
      <w:r>
        <w:rPr>
          <w:rFonts w:hint="default" w:ascii="宋体" w:hAnsi="宋体" w:eastAsia="仿宋_GB2312" w:cs="Times New Roman"/>
          <w:color w:val="000000"/>
          <w:sz w:val="32"/>
          <w:szCs w:val="24"/>
          <w:lang w:eastAsia="zh-CN"/>
        </w:rPr>
        <w:t>座椅应全部纵向布置（与车辆前进方向相同），并配有安全带。</w:t>
      </w:r>
      <w:r>
        <w:rPr>
          <w:rFonts w:hint="eastAsia" w:ascii="宋体" w:hAnsi="宋体" w:eastAsia="仿宋_GB2312" w:cs="Times New Roman"/>
          <w:color w:val="000000"/>
          <w:sz w:val="32"/>
          <w:szCs w:val="24"/>
          <w:lang w:eastAsia="zh-CN"/>
        </w:rPr>
        <w:t>鼓励配置安全带提醒装置。</w:t>
      </w:r>
    </w:p>
    <w:p w14:paraId="23AF756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仿宋_GB2312" w:cs="Times New Roman"/>
          <w:color w:val="000000"/>
          <w:sz w:val="32"/>
          <w:szCs w:val="24"/>
        </w:rPr>
      </w:pPr>
      <w:r>
        <w:rPr>
          <w:rFonts w:hint="default" w:ascii="黑体" w:hAnsi="黑体" w:eastAsia="黑体" w:cs="黑体"/>
          <w:color w:val="auto"/>
          <w:kern w:val="0"/>
          <w:sz w:val="32"/>
          <w:szCs w:val="32"/>
          <w:lang w:val="en-US" w:eastAsia="zh-CN" w:bidi="ar"/>
        </w:rPr>
        <w:t>第十</w:t>
      </w:r>
      <w:r>
        <w:rPr>
          <w:rFonts w:hint="eastAsia" w:ascii="黑体" w:hAnsi="黑体" w:eastAsia="黑体" w:cs="黑体"/>
          <w:color w:val="auto"/>
          <w:kern w:val="0"/>
          <w:sz w:val="32"/>
          <w:szCs w:val="32"/>
          <w:lang w:val="en-US" w:eastAsia="zh-CN" w:bidi="ar"/>
        </w:rPr>
        <w:t>四</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sz w:val="32"/>
          <w:szCs w:val="24"/>
        </w:rPr>
        <w:t xml:space="preserve"> </w:t>
      </w:r>
      <w:r>
        <w:rPr>
          <w:rFonts w:hint="eastAsia" w:ascii="宋体" w:hAnsi="宋体" w:eastAsia="仿宋_GB2312" w:cs="Times New Roman"/>
          <w:color w:val="000000"/>
          <w:sz w:val="32"/>
          <w:szCs w:val="24"/>
          <w:lang w:eastAsia="zh-CN"/>
        </w:rPr>
        <w:t>投入运营</w:t>
      </w:r>
      <w:r>
        <w:rPr>
          <w:rFonts w:hint="eastAsia" w:ascii="宋体" w:hAnsi="宋体" w:eastAsia="仿宋_GB2312" w:cs="Times New Roman"/>
          <w:color w:val="000000"/>
          <w:sz w:val="32"/>
          <w:szCs w:val="24"/>
        </w:rPr>
        <w:t>车辆应当符合所在地营运车辆排放标准和环保要求，</w:t>
      </w:r>
      <w:r>
        <w:rPr>
          <w:rFonts w:hint="eastAsia" w:ascii="宋体" w:hAnsi="宋体" w:eastAsia="仿宋_GB2312" w:cs="Times New Roman"/>
          <w:color w:val="000000"/>
          <w:sz w:val="32"/>
          <w:szCs w:val="24"/>
          <w:lang w:eastAsia="zh-CN"/>
        </w:rPr>
        <w:t>鼓励</w:t>
      </w:r>
      <w:r>
        <w:rPr>
          <w:rFonts w:hint="default" w:ascii="宋体" w:hAnsi="宋体" w:eastAsia="仿宋_GB2312" w:cs="Times New Roman"/>
          <w:color w:val="000000"/>
          <w:sz w:val="32"/>
          <w:szCs w:val="24"/>
        </w:rPr>
        <w:t>投入</w:t>
      </w:r>
      <w:r>
        <w:rPr>
          <w:rFonts w:hint="eastAsia" w:ascii="宋体" w:hAnsi="宋体" w:eastAsia="仿宋_GB2312" w:cs="Times New Roman"/>
          <w:color w:val="000000"/>
          <w:sz w:val="32"/>
          <w:szCs w:val="24"/>
        </w:rPr>
        <w:t>新</w:t>
      </w:r>
      <w:r>
        <w:rPr>
          <w:rFonts w:hint="eastAsia" w:ascii="宋体" w:hAnsi="宋体" w:eastAsia="仿宋_GB2312" w:cs="Times New Roman"/>
          <w:color w:val="000000"/>
          <w:sz w:val="32"/>
          <w:szCs w:val="24"/>
          <w:highlight w:val="none"/>
        </w:rPr>
        <w:t>能源</w:t>
      </w:r>
      <w:r>
        <w:rPr>
          <w:rFonts w:hint="default" w:ascii="宋体" w:hAnsi="宋体" w:eastAsia="仿宋_GB2312" w:cs="Times New Roman"/>
          <w:color w:val="000000"/>
          <w:sz w:val="32"/>
          <w:szCs w:val="24"/>
          <w:highlight w:val="none"/>
        </w:rPr>
        <w:t>（含氢能源）</w:t>
      </w:r>
      <w:r>
        <w:rPr>
          <w:rFonts w:hint="eastAsia" w:ascii="宋体" w:hAnsi="宋体" w:eastAsia="仿宋_GB2312" w:cs="Times New Roman"/>
          <w:color w:val="000000"/>
          <w:sz w:val="32"/>
          <w:szCs w:val="24"/>
          <w:highlight w:val="none"/>
        </w:rPr>
        <w:t>车</w:t>
      </w:r>
      <w:r>
        <w:rPr>
          <w:rFonts w:hint="eastAsia" w:ascii="宋体" w:hAnsi="宋体" w:eastAsia="仿宋_GB2312" w:cs="Times New Roman"/>
          <w:color w:val="000000"/>
          <w:sz w:val="32"/>
          <w:szCs w:val="24"/>
        </w:rPr>
        <w:t>辆</w:t>
      </w:r>
      <w:r>
        <w:rPr>
          <w:rFonts w:hint="default" w:ascii="宋体" w:hAnsi="宋体" w:eastAsia="仿宋_GB2312" w:cs="Times New Roman"/>
          <w:color w:val="000000"/>
          <w:sz w:val="32"/>
          <w:szCs w:val="24"/>
        </w:rPr>
        <w:t>运营。</w:t>
      </w:r>
    </w:p>
    <w:p w14:paraId="0D6CCB9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仿宋_GB2312" w:cs="Times New Roman"/>
          <w:color w:val="000000"/>
          <w:sz w:val="32"/>
          <w:szCs w:val="24"/>
        </w:rPr>
      </w:pPr>
      <w:r>
        <w:rPr>
          <w:rFonts w:hint="default" w:ascii="黑体" w:hAnsi="黑体" w:eastAsia="黑体" w:cs="黑体"/>
          <w:color w:val="auto"/>
          <w:kern w:val="0"/>
          <w:sz w:val="32"/>
          <w:szCs w:val="32"/>
          <w:lang w:val="en-US" w:eastAsia="zh-CN" w:bidi="ar"/>
        </w:rPr>
        <w:t>第十</w:t>
      </w:r>
      <w:r>
        <w:rPr>
          <w:rFonts w:hint="eastAsia" w:ascii="黑体" w:hAnsi="黑体" w:eastAsia="黑体" w:cs="黑体"/>
          <w:color w:val="auto"/>
          <w:kern w:val="0"/>
          <w:sz w:val="32"/>
          <w:szCs w:val="32"/>
          <w:lang w:val="en-US" w:eastAsia="zh-CN" w:bidi="ar"/>
        </w:rPr>
        <w:t>五</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sz w:val="32"/>
          <w:szCs w:val="24"/>
        </w:rPr>
        <w:t xml:space="preserve"> </w:t>
      </w:r>
      <w:r>
        <w:rPr>
          <w:rFonts w:hint="eastAsia" w:ascii="宋体" w:hAnsi="宋体" w:eastAsia="仿宋_GB2312" w:cs="Times New Roman"/>
          <w:color w:val="000000"/>
          <w:sz w:val="32"/>
          <w:szCs w:val="24"/>
          <w:lang w:eastAsia="zh-CN"/>
        </w:rPr>
        <w:t>投入运营</w:t>
      </w:r>
      <w:r>
        <w:rPr>
          <w:rFonts w:hint="eastAsia" w:ascii="宋体" w:hAnsi="宋体" w:eastAsia="仿宋_GB2312" w:cs="Times New Roman"/>
          <w:color w:val="000000"/>
          <w:sz w:val="32"/>
          <w:szCs w:val="24"/>
        </w:rPr>
        <w:t>车辆应当安装使用语音报站和信息提示系统。</w:t>
      </w:r>
    </w:p>
    <w:p w14:paraId="7C9D947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仿宋_GB2312" w:cs="Times New Roman"/>
          <w:color w:val="000000"/>
          <w:sz w:val="32"/>
          <w:szCs w:val="24"/>
          <w:highlight w:val="none"/>
          <w:lang w:eastAsia="zh-CN"/>
        </w:rPr>
      </w:pPr>
      <w:r>
        <w:rPr>
          <w:rFonts w:hint="default" w:ascii="黑体" w:hAnsi="黑体" w:eastAsia="黑体" w:cs="黑体"/>
          <w:color w:val="auto"/>
          <w:kern w:val="0"/>
          <w:sz w:val="32"/>
          <w:szCs w:val="32"/>
          <w:highlight w:val="none"/>
          <w:lang w:val="en-US" w:eastAsia="zh-CN" w:bidi="ar"/>
        </w:rPr>
        <w:t>第十</w:t>
      </w:r>
      <w:r>
        <w:rPr>
          <w:rFonts w:hint="eastAsia" w:ascii="黑体" w:hAnsi="黑体" w:eastAsia="黑体" w:cs="黑体"/>
          <w:color w:val="auto"/>
          <w:kern w:val="0"/>
          <w:sz w:val="32"/>
          <w:szCs w:val="32"/>
          <w:highlight w:val="none"/>
          <w:lang w:val="en-US" w:eastAsia="zh-CN" w:bidi="ar"/>
        </w:rPr>
        <w:t>六</w:t>
      </w:r>
      <w:r>
        <w:rPr>
          <w:rFonts w:hint="default" w:ascii="黑体" w:hAnsi="黑体" w:eastAsia="黑体" w:cs="黑体"/>
          <w:color w:val="auto"/>
          <w:kern w:val="0"/>
          <w:sz w:val="32"/>
          <w:szCs w:val="32"/>
          <w:highlight w:val="none"/>
          <w:lang w:val="en-US" w:eastAsia="zh-CN" w:bidi="ar"/>
        </w:rPr>
        <w:t>条</w:t>
      </w:r>
      <w:r>
        <w:rPr>
          <w:rFonts w:hint="default" w:ascii="宋体" w:hAnsi="宋体" w:eastAsia="仿宋_GB2312" w:cs="Times New Roman"/>
          <w:color w:val="000000"/>
          <w:sz w:val="32"/>
          <w:szCs w:val="24"/>
          <w:highlight w:val="none"/>
        </w:rPr>
        <w:t xml:space="preserve"> </w:t>
      </w:r>
      <w:r>
        <w:rPr>
          <w:rFonts w:hint="eastAsia" w:ascii="宋体" w:hAnsi="宋体" w:eastAsia="仿宋_GB2312" w:cs="Times New Roman"/>
          <w:color w:val="000000"/>
          <w:sz w:val="32"/>
          <w:szCs w:val="24"/>
          <w:highlight w:val="none"/>
          <w:lang w:eastAsia="zh-CN"/>
        </w:rPr>
        <w:t>投入运营车辆应当实施动态监控管理，经营企业应当按照相关规定为车辆安装符合标准的卫星定位装置和接入企业监控平台，并按照要求将车辆行驶的动态信息和企业、驾驶人员、车辆的相关信息上传吉林省道路运输车辆动态信息公共服务平台，交通运输主管部门使用监管平台开展道路运输车辆动态监督管理工作。</w:t>
      </w:r>
    </w:p>
    <w:p w14:paraId="404D40F3">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宋体" w:hAnsi="宋体" w:eastAsia="仿宋_GB2312" w:cs="Times New Roman"/>
          <w:color w:val="000000"/>
          <w:sz w:val="32"/>
          <w:szCs w:val="24"/>
        </w:rPr>
      </w:pPr>
      <w:r>
        <w:rPr>
          <w:rFonts w:hint="default" w:ascii="黑体" w:hAnsi="黑体" w:eastAsia="黑体" w:cs="黑体"/>
          <w:color w:val="auto"/>
          <w:kern w:val="0"/>
          <w:sz w:val="32"/>
          <w:szCs w:val="32"/>
          <w:lang w:val="en-US" w:eastAsia="zh-CN" w:bidi="ar"/>
        </w:rPr>
        <w:t>第十</w:t>
      </w:r>
      <w:r>
        <w:rPr>
          <w:rFonts w:hint="eastAsia" w:ascii="黑体" w:hAnsi="黑体" w:eastAsia="黑体" w:cs="黑体"/>
          <w:color w:val="auto"/>
          <w:kern w:val="0"/>
          <w:sz w:val="32"/>
          <w:szCs w:val="32"/>
          <w:lang w:val="en-US" w:eastAsia="zh-CN" w:bidi="ar"/>
        </w:rPr>
        <w:t>七</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sz w:val="32"/>
          <w:szCs w:val="24"/>
        </w:rPr>
        <w:t xml:space="preserve"> </w:t>
      </w:r>
      <w:r>
        <w:rPr>
          <w:rFonts w:hint="eastAsia" w:ascii="宋体" w:hAnsi="宋体" w:eastAsia="仿宋_GB2312" w:cs="Times New Roman"/>
          <w:color w:val="000000"/>
          <w:sz w:val="32"/>
          <w:szCs w:val="24"/>
          <w:lang w:eastAsia="zh-CN"/>
        </w:rPr>
        <w:t>投入运营</w:t>
      </w:r>
      <w:r>
        <w:rPr>
          <w:rFonts w:hint="eastAsia" w:ascii="宋体" w:hAnsi="宋体" w:eastAsia="仿宋_GB2312" w:cs="Times New Roman"/>
          <w:color w:val="000000"/>
          <w:sz w:val="32"/>
          <w:szCs w:val="24"/>
        </w:rPr>
        <w:t>车辆应当在前挡风</w:t>
      </w:r>
      <w:r>
        <w:rPr>
          <w:rFonts w:hint="default" w:ascii="宋体" w:hAnsi="宋体" w:eastAsia="仿宋_GB2312" w:cs="Times New Roman"/>
          <w:color w:val="000000"/>
          <w:sz w:val="32"/>
          <w:szCs w:val="24"/>
        </w:rPr>
        <w:t>和后挡风</w:t>
      </w:r>
      <w:r>
        <w:rPr>
          <w:rFonts w:hint="eastAsia" w:ascii="宋体" w:hAnsi="宋体" w:eastAsia="仿宋_GB2312" w:cs="Times New Roman"/>
          <w:color w:val="000000"/>
          <w:sz w:val="32"/>
          <w:szCs w:val="24"/>
        </w:rPr>
        <w:t>玻璃中间顶部位置统一</w:t>
      </w:r>
      <w:r>
        <w:rPr>
          <w:rFonts w:hint="default" w:ascii="宋体" w:hAnsi="宋体" w:eastAsia="仿宋_GB2312" w:cs="Times New Roman"/>
          <w:color w:val="000000"/>
          <w:sz w:val="32"/>
          <w:szCs w:val="24"/>
        </w:rPr>
        <w:t>张贴（</w:t>
      </w:r>
      <w:r>
        <w:rPr>
          <w:rFonts w:hint="eastAsia" w:ascii="宋体" w:hAnsi="宋体" w:eastAsia="仿宋_GB2312" w:cs="Times New Roman"/>
          <w:color w:val="000000"/>
          <w:sz w:val="32"/>
          <w:szCs w:val="24"/>
          <w:lang w:eastAsia="zh-CN"/>
        </w:rPr>
        <w:t>或电子</w:t>
      </w:r>
      <w:r>
        <w:rPr>
          <w:rFonts w:hint="default" w:ascii="宋体" w:hAnsi="宋体" w:eastAsia="仿宋_GB2312" w:cs="Times New Roman"/>
          <w:color w:val="000000"/>
          <w:sz w:val="32"/>
          <w:szCs w:val="24"/>
        </w:rPr>
        <w:t>显示）</w:t>
      </w:r>
      <w:r>
        <w:rPr>
          <w:rFonts w:hint="eastAsia" w:ascii="宋体" w:hAnsi="宋体" w:eastAsia="仿宋_GB2312" w:cs="Times New Roman"/>
          <w:color w:val="000000"/>
          <w:sz w:val="32"/>
          <w:szCs w:val="24"/>
        </w:rPr>
        <w:t>公交化</w:t>
      </w:r>
      <w:r>
        <w:rPr>
          <w:rFonts w:hint="default" w:ascii="宋体" w:hAnsi="宋体" w:eastAsia="仿宋_GB2312" w:cs="Times New Roman"/>
          <w:color w:val="000000"/>
          <w:sz w:val="32"/>
          <w:szCs w:val="24"/>
        </w:rPr>
        <w:t>改造线路</w:t>
      </w:r>
      <w:r>
        <w:rPr>
          <w:rFonts w:hint="eastAsia" w:ascii="宋体" w:hAnsi="宋体" w:eastAsia="仿宋_GB2312" w:cs="Times New Roman"/>
          <w:color w:val="000000"/>
          <w:sz w:val="32"/>
          <w:szCs w:val="24"/>
        </w:rPr>
        <w:t>编码</w:t>
      </w:r>
      <w:r>
        <w:rPr>
          <w:rFonts w:hint="default" w:ascii="宋体" w:hAnsi="宋体" w:eastAsia="仿宋_GB2312" w:cs="Times New Roman"/>
          <w:color w:val="000000"/>
          <w:sz w:val="32"/>
          <w:szCs w:val="24"/>
        </w:rPr>
        <w:t>。</w:t>
      </w:r>
    </w:p>
    <w:p w14:paraId="060D79BB">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仿宋_GB2312" w:cs="Times New Roman"/>
          <w:color w:val="000000"/>
          <w:sz w:val="32"/>
          <w:szCs w:val="24"/>
        </w:rPr>
      </w:pPr>
      <w:r>
        <w:rPr>
          <w:rFonts w:hint="eastAsia" w:ascii="仿宋_GB2312" w:hAnsi="仿宋_GB2312" w:eastAsia="仿宋_GB2312" w:cs="仿宋_GB2312"/>
          <w:kern w:val="2"/>
          <w:sz w:val="32"/>
          <w:szCs w:val="32"/>
          <w:lang w:val="en-US" w:eastAsia="zh-CN" w:bidi="ar-SA"/>
        </w:rPr>
        <w:t>线路名称（编号）由起讫地交通运输主管</w:t>
      </w:r>
      <w:r>
        <w:rPr>
          <w:rFonts w:hint="eastAsia" w:ascii="宋体" w:hAnsi="宋体" w:eastAsia="仿宋_GB2312" w:cs="Times New Roman"/>
          <w:color w:val="000000"/>
          <w:sz w:val="32"/>
          <w:szCs w:val="24"/>
          <w:lang w:val="en-US" w:eastAsia="zh-CN"/>
        </w:rPr>
        <w:t>部</w:t>
      </w:r>
      <w:r>
        <w:rPr>
          <w:rFonts w:hint="eastAsia" w:ascii="宋体" w:hAnsi="宋体" w:eastAsia="仿宋_GB2312" w:cs="Times New Roman"/>
          <w:color w:val="000000"/>
          <w:sz w:val="32"/>
          <w:szCs w:val="24"/>
          <w:highlight w:val="none"/>
          <w:lang w:val="en-US" w:eastAsia="zh-CN"/>
        </w:rPr>
        <w:t>门共同协商</w:t>
      </w:r>
      <w:r>
        <w:rPr>
          <w:rFonts w:hint="eastAsia" w:ascii="宋体" w:hAnsi="宋体" w:eastAsia="仿宋_GB2312" w:cs="Times New Roman"/>
          <w:color w:val="000000"/>
          <w:sz w:val="32"/>
          <w:szCs w:val="24"/>
          <w:lang w:val="en-US" w:eastAsia="zh-CN"/>
        </w:rPr>
        <w:t>确定</w:t>
      </w:r>
      <w:r>
        <w:rPr>
          <w:rFonts w:hint="default" w:ascii="宋体" w:hAnsi="宋体" w:eastAsia="仿宋_GB2312" w:cs="Times New Roman"/>
          <w:color w:val="000000"/>
          <w:sz w:val="32"/>
          <w:szCs w:val="24"/>
          <w:lang w:eastAsia="zh-CN"/>
        </w:rPr>
        <w:t>，协商不成的</w:t>
      </w:r>
      <w:r>
        <w:rPr>
          <w:rFonts w:hint="eastAsia" w:ascii="仿宋_GB2312" w:hAnsi="仿宋_GB2312" w:eastAsia="仿宋_GB2312" w:cs="仿宋_GB2312"/>
          <w:kern w:val="2"/>
          <w:sz w:val="32"/>
          <w:szCs w:val="32"/>
          <w:lang w:val="en-US" w:eastAsia="zh-CN" w:bidi="ar-SA"/>
        </w:rPr>
        <w:t>原则上由率先提出公交化改造的</w:t>
      </w:r>
      <w:r>
        <w:rPr>
          <w:rFonts w:hint="default" w:ascii="仿宋_GB2312" w:hAnsi="仿宋_GB2312" w:eastAsia="仿宋_GB2312" w:cs="仿宋_GB2312"/>
          <w:kern w:val="2"/>
          <w:sz w:val="32"/>
          <w:szCs w:val="32"/>
          <w:lang w:eastAsia="zh-CN" w:bidi="ar-SA"/>
        </w:rPr>
        <w:t>一</w:t>
      </w:r>
      <w:r>
        <w:rPr>
          <w:rFonts w:hint="eastAsia" w:ascii="仿宋_GB2312" w:hAnsi="仿宋_GB2312" w:eastAsia="仿宋_GB2312" w:cs="仿宋_GB2312"/>
          <w:kern w:val="2"/>
          <w:sz w:val="32"/>
          <w:szCs w:val="32"/>
          <w:lang w:val="en-US" w:eastAsia="zh-CN" w:bidi="ar-SA"/>
        </w:rPr>
        <w:t>方确定</w:t>
      </w:r>
      <w:r>
        <w:rPr>
          <w:rFonts w:hint="eastAsia" w:ascii="宋体" w:hAnsi="宋体" w:eastAsia="仿宋_GB2312" w:cs="Times New Roman"/>
          <w:color w:val="000000"/>
          <w:sz w:val="32"/>
          <w:szCs w:val="24"/>
        </w:rPr>
        <w:t>。</w:t>
      </w:r>
    </w:p>
    <w:p w14:paraId="43BF93E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24"/>
        </w:rPr>
      </w:pPr>
      <w:r>
        <w:rPr>
          <w:rFonts w:hint="default" w:ascii="宋体" w:hAnsi="宋体" w:eastAsia="仿宋_GB2312" w:cs="Times New Roman"/>
          <w:color w:val="000000"/>
          <w:sz w:val="32"/>
          <w:szCs w:val="24"/>
        </w:rPr>
        <w:t>城际公交采取</w:t>
      </w:r>
      <w:r>
        <w:rPr>
          <w:rFonts w:hint="eastAsia" w:ascii="仿宋_GB2312" w:hAnsi="仿宋_GB2312" w:eastAsia="仿宋_GB2312" w:cs="仿宋_GB2312"/>
          <w:color w:val="000000"/>
          <w:sz w:val="32"/>
          <w:szCs w:val="24"/>
        </w:rPr>
        <w:t>“T+三位数字”命名。</w:t>
      </w:r>
    </w:p>
    <w:p w14:paraId="71075407">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城乡公交采取“X+三位数字”命名。</w:t>
      </w:r>
    </w:p>
    <w:p w14:paraId="7D97E18A">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仿宋_GB2312" w:cs="Times New Roman"/>
          <w:color w:val="000000"/>
          <w:sz w:val="32"/>
          <w:szCs w:val="24"/>
          <w:lang w:val="en-US" w:eastAsia="zh-CN"/>
        </w:rPr>
      </w:pPr>
      <w:r>
        <w:rPr>
          <w:rFonts w:hint="default" w:ascii="黑体" w:hAnsi="黑体" w:eastAsia="黑体" w:cs="黑体"/>
          <w:color w:val="auto"/>
          <w:kern w:val="0"/>
          <w:sz w:val="32"/>
          <w:szCs w:val="32"/>
          <w:lang w:val="en-US" w:eastAsia="zh-CN" w:bidi="ar"/>
        </w:rPr>
        <w:t>第十</w:t>
      </w:r>
      <w:r>
        <w:rPr>
          <w:rFonts w:hint="eastAsia" w:ascii="黑体" w:hAnsi="黑体" w:eastAsia="黑体" w:cs="黑体"/>
          <w:color w:val="auto"/>
          <w:kern w:val="0"/>
          <w:sz w:val="32"/>
          <w:szCs w:val="32"/>
          <w:lang w:val="en-US" w:eastAsia="zh-CN" w:bidi="ar"/>
        </w:rPr>
        <w:t>八</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sz w:val="32"/>
          <w:szCs w:val="24"/>
        </w:rPr>
        <w:t xml:space="preserve"> </w:t>
      </w:r>
      <w:r>
        <w:rPr>
          <w:rFonts w:hint="eastAsia" w:ascii="宋体" w:hAnsi="宋体" w:eastAsia="仿宋_GB2312" w:cs="Times New Roman"/>
          <w:color w:val="000000"/>
          <w:sz w:val="32"/>
          <w:szCs w:val="24"/>
          <w:lang w:eastAsia="zh-CN"/>
        </w:rPr>
        <w:t>投入运营</w:t>
      </w:r>
      <w:r>
        <w:rPr>
          <w:rFonts w:hint="default" w:ascii="宋体" w:hAnsi="宋体" w:eastAsia="仿宋_GB2312" w:cs="Times New Roman"/>
          <w:color w:val="000000"/>
          <w:sz w:val="32"/>
          <w:szCs w:val="24"/>
        </w:rPr>
        <w:t>车辆</w:t>
      </w:r>
      <w:r>
        <w:rPr>
          <w:rFonts w:hint="eastAsia" w:ascii="宋体" w:hAnsi="宋体" w:eastAsia="仿宋_GB2312" w:cs="Times New Roman"/>
          <w:color w:val="000000"/>
          <w:sz w:val="32"/>
          <w:szCs w:val="24"/>
        </w:rPr>
        <w:t>外观</w:t>
      </w:r>
      <w:r>
        <w:rPr>
          <w:rFonts w:hint="default" w:ascii="宋体" w:hAnsi="宋体" w:eastAsia="仿宋_GB2312" w:cs="Times New Roman"/>
          <w:color w:val="000000"/>
          <w:sz w:val="32"/>
          <w:szCs w:val="24"/>
        </w:rPr>
        <w:t>应</w:t>
      </w:r>
      <w:r>
        <w:rPr>
          <w:rFonts w:hint="eastAsia" w:ascii="宋体" w:hAnsi="宋体" w:eastAsia="仿宋_GB2312" w:cs="Times New Roman"/>
          <w:color w:val="000000"/>
          <w:sz w:val="32"/>
          <w:szCs w:val="24"/>
        </w:rPr>
        <w:t>按照要求张贴或喷涂</w:t>
      </w:r>
      <w:r>
        <w:rPr>
          <w:rFonts w:hint="default" w:ascii="宋体" w:hAnsi="宋体" w:eastAsia="仿宋_GB2312" w:cs="Times New Roman"/>
          <w:color w:val="000000"/>
          <w:sz w:val="32"/>
          <w:szCs w:val="24"/>
        </w:rPr>
        <w:t>相关</w:t>
      </w:r>
      <w:r>
        <w:rPr>
          <w:rFonts w:hint="eastAsia" w:ascii="宋体" w:hAnsi="宋体" w:eastAsia="仿宋_GB2312" w:cs="Times New Roman"/>
          <w:color w:val="000000"/>
          <w:sz w:val="32"/>
          <w:szCs w:val="24"/>
        </w:rPr>
        <w:t>车辆标识</w:t>
      </w:r>
      <w:r>
        <w:rPr>
          <w:rFonts w:hint="eastAsia" w:ascii="宋体" w:hAnsi="宋体" w:eastAsia="仿宋_GB2312" w:cs="Times New Roman"/>
          <w:color w:val="000000"/>
          <w:sz w:val="32"/>
          <w:szCs w:val="24"/>
          <w:lang w:val="en-US" w:eastAsia="zh-CN"/>
        </w:rPr>
        <w:t>。</w:t>
      </w:r>
    </w:p>
    <w:p w14:paraId="6CAC88B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仿宋_GB2312" w:cs="Times New Roman"/>
          <w:color w:val="000000"/>
          <w:sz w:val="32"/>
          <w:szCs w:val="24"/>
          <w:lang w:val="en-US" w:eastAsia="zh-CN"/>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十九</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sz w:val="32"/>
          <w:szCs w:val="24"/>
          <w:lang w:eastAsia="zh-CN"/>
        </w:rPr>
        <w:t xml:space="preserve"> </w:t>
      </w:r>
      <w:r>
        <w:rPr>
          <w:rFonts w:hint="eastAsia" w:ascii="宋体" w:hAnsi="宋体" w:eastAsia="仿宋_GB2312" w:cs="Times New Roman"/>
          <w:color w:val="000000"/>
          <w:sz w:val="32"/>
          <w:szCs w:val="24"/>
          <w:lang w:eastAsia="zh-CN"/>
        </w:rPr>
        <w:t>投入运营</w:t>
      </w:r>
      <w:r>
        <w:rPr>
          <w:rFonts w:hint="default" w:ascii="宋体" w:hAnsi="宋体" w:eastAsia="仿宋_GB2312" w:cs="Times New Roman"/>
          <w:color w:val="000000"/>
          <w:sz w:val="32"/>
          <w:szCs w:val="24"/>
          <w:lang w:eastAsia="zh-CN"/>
        </w:rPr>
        <w:t>车辆</w:t>
      </w:r>
      <w:r>
        <w:rPr>
          <w:rFonts w:hint="eastAsia" w:ascii="宋体" w:hAnsi="宋体" w:eastAsia="仿宋_GB2312" w:cs="Times New Roman"/>
          <w:color w:val="000000"/>
          <w:sz w:val="32"/>
          <w:szCs w:val="24"/>
          <w:lang w:val="en-US" w:eastAsia="zh-CN"/>
        </w:rPr>
        <w:t>车厢内显著位置应当张贴本车辆车牌号、线路运行图、首末班时间、发车间隔、票价收费标准、服务承诺、服务监督电话以及包含企业、线路、车辆等信息的二维码。</w:t>
      </w:r>
    </w:p>
    <w:p w14:paraId="6B512E7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仿宋_GB2312" w:cs="Times New Roman"/>
          <w:color w:val="000000"/>
          <w:sz w:val="32"/>
          <w:szCs w:val="24"/>
          <w:lang w:val="en-US" w:eastAsia="zh-CN"/>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二</w:t>
      </w:r>
      <w:r>
        <w:rPr>
          <w:rFonts w:hint="default" w:ascii="黑体" w:hAnsi="黑体" w:eastAsia="黑体" w:cs="黑体"/>
          <w:color w:val="auto"/>
          <w:kern w:val="0"/>
          <w:sz w:val="32"/>
          <w:szCs w:val="32"/>
          <w:lang w:val="en-US" w:eastAsia="zh-CN" w:bidi="ar"/>
        </w:rPr>
        <w:t>十条</w:t>
      </w:r>
      <w:r>
        <w:rPr>
          <w:rFonts w:hint="default" w:ascii="宋体" w:hAnsi="宋体" w:eastAsia="仿宋_GB2312" w:cs="Times New Roman"/>
          <w:color w:val="000000"/>
          <w:sz w:val="32"/>
          <w:szCs w:val="24"/>
          <w:lang w:eastAsia="zh-CN"/>
        </w:rPr>
        <w:t xml:space="preserve"> </w:t>
      </w:r>
      <w:r>
        <w:rPr>
          <w:rFonts w:hint="eastAsia" w:ascii="宋体" w:hAnsi="宋体" w:eastAsia="仿宋_GB2312" w:cs="Times New Roman"/>
          <w:color w:val="000000"/>
          <w:sz w:val="32"/>
          <w:szCs w:val="24"/>
          <w:lang w:eastAsia="zh-CN"/>
        </w:rPr>
        <w:t>在客运站发车的公交化改造线路的运营车辆，应当配合客运站做好车辆安全例检，未按规定进行安全例检或安全例检不合格的车辆不得安排运输任务。不在客运站发车的，经营企业应当安排专业技术人员在每日出车前或收车后按照安全例检规定对客运车辆的技术状况进行检查，也可委托客运站经营者或者具备条件的维修企业等开展车辆安全例检，明确委托双方的责任和义务</w:t>
      </w:r>
      <w:r>
        <w:rPr>
          <w:rFonts w:hint="eastAsia" w:ascii="宋体" w:hAnsi="宋体" w:eastAsia="仿宋_GB2312" w:cs="Times New Roman"/>
          <w:color w:val="000000"/>
          <w:sz w:val="32"/>
          <w:szCs w:val="24"/>
          <w:lang w:val="en-US" w:eastAsia="zh-CN"/>
        </w:rPr>
        <w:t>。</w:t>
      </w:r>
    </w:p>
    <w:p w14:paraId="2CC0581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highlight w:val="none"/>
          <w:lang w:val="en-US" w:eastAsia="zh-CN"/>
        </w:rPr>
      </w:pPr>
      <w:r>
        <w:rPr>
          <w:rFonts w:hint="default" w:ascii="黑体" w:hAnsi="黑体" w:eastAsia="黑体" w:cs="黑体"/>
          <w:color w:val="auto"/>
          <w:kern w:val="0"/>
          <w:sz w:val="32"/>
          <w:szCs w:val="32"/>
          <w:highlight w:val="none"/>
          <w:lang w:val="en-US" w:eastAsia="zh-CN" w:bidi="ar"/>
        </w:rPr>
        <w:t>第</w:t>
      </w:r>
      <w:r>
        <w:rPr>
          <w:rFonts w:hint="eastAsia" w:ascii="黑体" w:hAnsi="黑体" w:eastAsia="黑体" w:cs="黑体"/>
          <w:color w:val="auto"/>
          <w:kern w:val="0"/>
          <w:sz w:val="32"/>
          <w:szCs w:val="32"/>
          <w:highlight w:val="none"/>
          <w:lang w:val="en-US" w:eastAsia="zh-CN" w:bidi="ar"/>
        </w:rPr>
        <w:t>二十一</w:t>
      </w:r>
      <w:r>
        <w:rPr>
          <w:rFonts w:hint="default" w:ascii="黑体" w:hAnsi="黑体" w:eastAsia="黑体" w:cs="黑体"/>
          <w:color w:val="auto"/>
          <w:kern w:val="0"/>
          <w:sz w:val="32"/>
          <w:szCs w:val="32"/>
          <w:highlight w:val="none"/>
          <w:lang w:val="en-US" w:eastAsia="zh-CN" w:bidi="ar"/>
        </w:rPr>
        <w:t>条</w:t>
      </w:r>
      <w:r>
        <w:rPr>
          <w:rFonts w:hint="default" w:ascii="仿宋_GB2312" w:hAnsi="宋体" w:eastAsia="仿宋_GB2312" w:cs="Times New Roman"/>
          <w:color w:val="000000"/>
          <w:sz w:val="32"/>
          <w:szCs w:val="24"/>
          <w:highlight w:val="none"/>
        </w:rPr>
        <w:t xml:space="preserve"> </w:t>
      </w:r>
      <w:r>
        <w:rPr>
          <w:rFonts w:hint="eastAsia" w:ascii="仿宋_GB2312" w:hAnsi="宋体" w:eastAsia="仿宋_GB2312" w:cs="Times New Roman"/>
          <w:color w:val="000000"/>
          <w:sz w:val="32"/>
          <w:szCs w:val="24"/>
          <w:highlight w:val="none"/>
          <w:lang w:eastAsia="zh-CN"/>
        </w:rPr>
        <w:t>在保障基本出行的前提下，鼓励企业利用公交化改造车辆开展通勤、通学等定制化出行服务</w:t>
      </w:r>
      <w:r>
        <w:rPr>
          <w:rFonts w:hint="eastAsia" w:ascii="仿宋_GB2312" w:hAnsi="宋体" w:eastAsia="仿宋_GB2312" w:cs="Times New Roman"/>
          <w:color w:val="000000"/>
          <w:sz w:val="32"/>
          <w:szCs w:val="24"/>
          <w:highlight w:val="none"/>
        </w:rPr>
        <w:t>。</w:t>
      </w:r>
    </w:p>
    <w:p w14:paraId="5C1DA9E5">
      <w:pPr>
        <w:keepNext w:val="0"/>
        <w:keepLines w:val="0"/>
        <w:pageBreakBefore w:val="0"/>
        <w:kinsoku/>
        <w:wordWrap/>
        <w:overflowPunct/>
        <w:topLinePunct w:val="0"/>
        <w:autoSpaceDE/>
        <w:autoSpaceDN/>
        <w:bidi w:val="0"/>
        <w:adjustRightInd w:val="0"/>
        <w:snapToGrid w:val="0"/>
        <w:spacing w:line="576" w:lineRule="exact"/>
        <w:ind w:firstLine="0" w:firstLineChars="0"/>
        <w:jc w:val="center"/>
        <w:textAlignment w:val="auto"/>
        <w:rPr>
          <w:rFonts w:hint="eastAsia" w:ascii="黑体" w:hAnsi="Times New Roman" w:eastAsia="黑体" w:cs="Times New Roman"/>
          <w:sz w:val="32"/>
          <w:szCs w:val="24"/>
        </w:rPr>
      </w:pPr>
      <w:r>
        <w:rPr>
          <w:rFonts w:hint="default" w:ascii="黑体" w:hAnsi="Times New Roman" w:eastAsia="黑体" w:cs="Times New Roman"/>
          <w:sz w:val="32"/>
          <w:szCs w:val="24"/>
          <w:lang w:eastAsia="zh-CN"/>
        </w:rPr>
        <w:t xml:space="preserve">第四章 </w:t>
      </w:r>
      <w:r>
        <w:rPr>
          <w:rFonts w:hint="eastAsia" w:ascii="黑体" w:hAnsi="Times New Roman" w:eastAsia="黑体" w:cs="Times New Roman"/>
          <w:sz w:val="32"/>
          <w:szCs w:val="24"/>
        </w:rPr>
        <w:t>运营服务</w:t>
      </w:r>
    </w:p>
    <w:p w14:paraId="42792CD5">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lang w:eastAsia="zh-CN" w:bidi="ar-SA"/>
        </w:rPr>
      </w:pPr>
      <w:r>
        <w:rPr>
          <w:rFonts w:hint="default" w:ascii="黑体" w:hAnsi="黑体" w:eastAsia="黑体" w:cs="黑体"/>
          <w:color w:val="auto"/>
          <w:kern w:val="0"/>
          <w:sz w:val="32"/>
          <w:szCs w:val="32"/>
          <w:highlight w:val="none"/>
          <w:lang w:val="en-US" w:eastAsia="zh-CN" w:bidi="ar"/>
        </w:rPr>
        <w:t>第二十</w:t>
      </w:r>
      <w:r>
        <w:rPr>
          <w:rFonts w:hint="eastAsia" w:ascii="黑体" w:hAnsi="黑体" w:eastAsia="黑体" w:cs="黑体"/>
          <w:color w:val="auto"/>
          <w:kern w:val="0"/>
          <w:sz w:val="32"/>
          <w:szCs w:val="32"/>
          <w:highlight w:val="none"/>
          <w:lang w:val="en-US" w:eastAsia="zh-CN" w:bidi="ar"/>
        </w:rPr>
        <w:t>二</w:t>
      </w:r>
      <w:r>
        <w:rPr>
          <w:rFonts w:hint="default" w:ascii="黑体" w:hAnsi="黑体" w:eastAsia="黑体" w:cs="黑体"/>
          <w:color w:val="auto"/>
          <w:kern w:val="0"/>
          <w:sz w:val="32"/>
          <w:szCs w:val="32"/>
          <w:highlight w:val="none"/>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lang w:eastAsia="zh-CN" w:bidi="ar-SA"/>
        </w:rPr>
        <w:t>实施许可</w:t>
      </w:r>
      <w:r>
        <w:rPr>
          <w:rFonts w:hint="default" w:ascii="宋体" w:hAnsi="宋体" w:eastAsia="仿宋_GB2312" w:cs="Times New Roman"/>
          <w:color w:val="000000"/>
          <w:kern w:val="2"/>
          <w:sz w:val="32"/>
          <w:szCs w:val="24"/>
          <w:lang w:eastAsia="zh-CN" w:bidi="ar-SA"/>
        </w:rPr>
        <w:t>的</w:t>
      </w:r>
      <w:r>
        <w:rPr>
          <w:rFonts w:hint="eastAsia" w:ascii="宋体" w:hAnsi="宋体" w:eastAsia="仿宋_GB2312" w:cs="Times New Roman"/>
          <w:color w:val="000000"/>
          <w:kern w:val="2"/>
          <w:sz w:val="32"/>
          <w:szCs w:val="24"/>
          <w:lang w:eastAsia="zh-CN" w:bidi="ar-SA"/>
        </w:rPr>
        <w:t>城市交通运输主管部门应当与经营企业签订线路经营服务协议，协议内容包括：线路走向、停靠站点、配置车辆数、投放车型、首末班时间、发车间隔、票价和经营期限等；各方权利和义务；应急处置和临时接管；线路经营变更、延续、终止；退出机制和</w:t>
      </w:r>
      <w:r>
        <w:rPr>
          <w:rFonts w:hint="eastAsia" w:ascii="宋体" w:hAnsi="宋体" w:eastAsia="仿宋_GB2312" w:cs="Times New Roman"/>
          <w:color w:val="000000"/>
          <w:kern w:val="2"/>
          <w:sz w:val="32"/>
          <w:szCs w:val="24"/>
          <w:highlight w:val="none"/>
          <w:lang w:eastAsia="zh-CN" w:bidi="ar-SA"/>
        </w:rPr>
        <w:t>违约责任等。</w:t>
      </w:r>
    </w:p>
    <w:p w14:paraId="18E8D17A">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lang w:val="en-US" w:eastAsia="zh-CN" w:bidi="ar"/>
        </w:rPr>
        <w:t>第二十</w:t>
      </w:r>
      <w:r>
        <w:rPr>
          <w:rFonts w:hint="eastAsia" w:ascii="黑体" w:hAnsi="黑体" w:eastAsia="黑体" w:cs="黑体"/>
          <w:color w:val="auto"/>
          <w:kern w:val="0"/>
          <w:sz w:val="32"/>
          <w:szCs w:val="32"/>
          <w:lang w:val="en-US" w:eastAsia="zh-CN" w:bidi="ar"/>
        </w:rPr>
        <w:t>三</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经营企业应当按照签订</w:t>
      </w:r>
      <w:r>
        <w:rPr>
          <w:rFonts w:hint="default" w:ascii="宋体" w:hAnsi="宋体" w:eastAsia="仿宋_GB2312" w:cs="Times New Roman"/>
          <w:color w:val="000000"/>
          <w:kern w:val="2"/>
          <w:sz w:val="32"/>
          <w:szCs w:val="24"/>
          <w:highlight w:val="none"/>
          <w:lang w:eastAsia="zh-CN" w:bidi="ar-SA"/>
        </w:rPr>
        <w:t>的</w:t>
      </w:r>
      <w:r>
        <w:rPr>
          <w:rFonts w:hint="eastAsia" w:ascii="宋体" w:hAnsi="宋体" w:eastAsia="仿宋_GB2312" w:cs="Times New Roman"/>
          <w:color w:val="000000"/>
          <w:kern w:val="2"/>
          <w:sz w:val="32"/>
          <w:szCs w:val="24"/>
          <w:highlight w:val="none"/>
          <w:lang w:eastAsia="zh-CN" w:bidi="ar-SA"/>
        </w:rPr>
        <w:t>线路经营服务协议提供连续正常服务，未经批准，不得擅自终止服务。</w:t>
      </w:r>
    </w:p>
    <w:p w14:paraId="3A1731B3">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default" w:ascii="宋体" w:hAnsi="宋体" w:eastAsia="仿宋_GB2312" w:cs="Times New Roman"/>
          <w:color w:val="000000"/>
          <w:kern w:val="2"/>
          <w:sz w:val="32"/>
          <w:szCs w:val="24"/>
          <w:highlight w:val="none"/>
          <w:lang w:eastAsia="zh-CN" w:bidi="ar-SA"/>
        </w:rPr>
      </w:pPr>
      <w:r>
        <w:rPr>
          <w:rFonts w:hint="eastAsia" w:ascii="宋体" w:hAnsi="宋体" w:eastAsia="仿宋_GB2312" w:cs="Times New Roman"/>
          <w:color w:val="000000"/>
          <w:kern w:val="2"/>
          <w:sz w:val="32"/>
          <w:szCs w:val="24"/>
          <w:highlight w:val="none"/>
          <w:lang w:eastAsia="zh-CN" w:bidi="ar-SA"/>
        </w:rPr>
        <w:t>对农村客运班线实施公交化改造的，应因地制宜采取有效措施确保建制村100%通客车。</w:t>
      </w:r>
    </w:p>
    <w:p w14:paraId="21737D0A">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highlight w:val="none"/>
          <w:lang w:val="en-US" w:eastAsia="zh-CN" w:bidi="ar"/>
        </w:rPr>
        <w:t>第二十</w:t>
      </w:r>
      <w:r>
        <w:rPr>
          <w:rFonts w:hint="eastAsia" w:ascii="黑体" w:hAnsi="黑体" w:eastAsia="黑体" w:cs="黑体"/>
          <w:color w:val="auto"/>
          <w:kern w:val="0"/>
          <w:sz w:val="32"/>
          <w:szCs w:val="32"/>
          <w:highlight w:val="none"/>
          <w:lang w:val="en-US" w:eastAsia="zh-CN" w:bidi="ar"/>
        </w:rPr>
        <w:t>四</w:t>
      </w:r>
      <w:r>
        <w:rPr>
          <w:rFonts w:hint="default" w:ascii="黑体" w:hAnsi="黑体" w:eastAsia="黑体" w:cs="黑体"/>
          <w:color w:val="auto"/>
          <w:kern w:val="0"/>
          <w:sz w:val="32"/>
          <w:szCs w:val="32"/>
          <w:highlight w:val="none"/>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实施许可的城市交通运输主管部门可以根据规划调整、城市建设、交通管制、乘客需求等合理调整公交化改造线路站点。调整站点涉及其他市县的，应事先征求相关交通运输主管部门意见。线路途经地交通运输主管部门需要调整途经站点的，应与许可机关协商。</w:t>
      </w:r>
    </w:p>
    <w:p w14:paraId="6FE54936">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lang w:eastAsia="zh-CN" w:bidi="ar-SA"/>
        </w:rPr>
      </w:pPr>
      <w:r>
        <w:rPr>
          <w:rFonts w:hint="eastAsia" w:ascii="宋体" w:hAnsi="宋体" w:eastAsia="仿宋_GB2312" w:cs="Times New Roman"/>
          <w:color w:val="000000"/>
          <w:kern w:val="2"/>
          <w:sz w:val="32"/>
          <w:szCs w:val="24"/>
          <w:highlight w:val="none"/>
          <w:lang w:eastAsia="zh-CN" w:bidi="ar-SA"/>
        </w:rPr>
        <w:t>经营企业拟变更起讫场站、途经站点、首末班时间、票价、运力配置等运营信息，或暂停、终止线路经营的，应报许可机关批准并提前向社会公告。</w:t>
      </w:r>
    </w:p>
    <w:p w14:paraId="1FF45CB3">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u w:val="none"/>
          <w:lang w:eastAsia="zh-CN" w:bidi="ar-SA"/>
        </w:rPr>
      </w:pPr>
      <w:r>
        <w:rPr>
          <w:rFonts w:hint="eastAsia" w:ascii="宋体" w:hAnsi="宋体" w:eastAsia="仿宋_GB2312" w:cs="Times New Roman"/>
          <w:color w:val="000000"/>
          <w:kern w:val="2"/>
          <w:sz w:val="32"/>
          <w:szCs w:val="24"/>
          <w:highlight w:val="none"/>
          <w:lang w:eastAsia="zh-CN" w:bidi="ar-SA"/>
        </w:rPr>
        <w:t>发生紧急突发状况影响线路正常运营时，经营企业应立即向属地城市交通运输主管部门报告，并采取应急响应措施。</w:t>
      </w:r>
    </w:p>
    <w:p w14:paraId="2F7CA877">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lang w:eastAsia="zh-CN" w:bidi="ar-SA"/>
        </w:rPr>
      </w:pPr>
      <w:r>
        <w:rPr>
          <w:rFonts w:hint="default" w:ascii="黑体" w:hAnsi="黑体" w:eastAsia="黑体" w:cs="黑体"/>
          <w:color w:val="auto"/>
          <w:kern w:val="0"/>
          <w:sz w:val="32"/>
          <w:szCs w:val="32"/>
          <w:lang w:val="en-US" w:eastAsia="zh-CN" w:bidi="ar"/>
        </w:rPr>
        <w:t>第二十</w:t>
      </w:r>
      <w:r>
        <w:rPr>
          <w:rFonts w:hint="eastAsia" w:ascii="黑体" w:hAnsi="黑体" w:eastAsia="黑体" w:cs="黑体"/>
          <w:color w:val="auto"/>
          <w:kern w:val="0"/>
          <w:sz w:val="32"/>
          <w:szCs w:val="32"/>
          <w:lang w:val="en-US" w:eastAsia="zh-CN" w:bidi="ar"/>
        </w:rPr>
        <w:t>五</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lang w:eastAsia="zh-CN" w:bidi="ar-SA"/>
        </w:rPr>
        <w:t xml:space="preserve"> 车辆运营中发生故障或者事故不能正常行驶时，驾驶员应当及时安排乘客</w:t>
      </w:r>
      <w:r>
        <w:rPr>
          <w:rFonts w:hint="eastAsia" w:ascii="宋体" w:hAnsi="宋体" w:eastAsia="仿宋_GB2312" w:cs="Times New Roman"/>
          <w:color w:val="000000"/>
          <w:kern w:val="2"/>
          <w:sz w:val="32"/>
          <w:szCs w:val="24"/>
          <w:lang w:eastAsia="zh-CN" w:bidi="ar-SA"/>
        </w:rPr>
        <w:t>免费</w:t>
      </w:r>
      <w:r>
        <w:rPr>
          <w:rFonts w:hint="default" w:ascii="宋体" w:hAnsi="宋体" w:eastAsia="仿宋_GB2312" w:cs="Times New Roman"/>
          <w:color w:val="000000"/>
          <w:kern w:val="2"/>
          <w:sz w:val="32"/>
          <w:szCs w:val="24"/>
          <w:lang w:eastAsia="zh-CN" w:bidi="ar-SA"/>
        </w:rPr>
        <w:t>换乘同线路同方向的车辆</w:t>
      </w:r>
      <w:r>
        <w:rPr>
          <w:rFonts w:hint="eastAsia" w:ascii="宋体" w:hAnsi="宋体" w:eastAsia="仿宋_GB2312" w:cs="Times New Roman"/>
          <w:color w:val="000000"/>
          <w:kern w:val="2"/>
          <w:sz w:val="32"/>
          <w:szCs w:val="24"/>
          <w:lang w:eastAsia="zh-CN" w:bidi="ar-SA"/>
        </w:rPr>
        <w:t>或企业临时调配的应急车辆</w:t>
      </w:r>
      <w:r>
        <w:rPr>
          <w:rFonts w:hint="default" w:ascii="宋体" w:hAnsi="宋体" w:eastAsia="仿宋_GB2312" w:cs="Times New Roman"/>
          <w:color w:val="000000"/>
          <w:kern w:val="2"/>
          <w:sz w:val="32"/>
          <w:szCs w:val="24"/>
          <w:lang w:eastAsia="zh-CN" w:bidi="ar-SA"/>
        </w:rPr>
        <w:t>。</w:t>
      </w:r>
    </w:p>
    <w:p w14:paraId="7D3D5098">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lang w:eastAsia="zh-CN" w:bidi="ar-SA"/>
        </w:rPr>
      </w:pPr>
      <w:r>
        <w:rPr>
          <w:rFonts w:hint="default" w:ascii="黑体" w:hAnsi="黑体" w:eastAsia="黑体" w:cs="黑体"/>
          <w:color w:val="auto"/>
          <w:kern w:val="0"/>
          <w:sz w:val="32"/>
          <w:szCs w:val="32"/>
          <w:lang w:val="en-US" w:eastAsia="zh-CN" w:bidi="ar"/>
        </w:rPr>
        <w:t>第二十</w:t>
      </w:r>
      <w:r>
        <w:rPr>
          <w:rFonts w:hint="eastAsia" w:ascii="黑体" w:hAnsi="黑体" w:eastAsia="黑体" w:cs="黑体"/>
          <w:color w:val="auto"/>
          <w:kern w:val="0"/>
          <w:sz w:val="32"/>
          <w:szCs w:val="32"/>
          <w:lang w:val="en-US" w:eastAsia="zh-CN" w:bidi="ar"/>
        </w:rPr>
        <w:t>六</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lang w:eastAsia="zh-CN" w:bidi="ar-SA"/>
        </w:rPr>
        <w:t xml:space="preserve"> </w:t>
      </w:r>
      <w:r>
        <w:rPr>
          <w:rFonts w:hint="eastAsia" w:ascii="宋体" w:hAnsi="宋体" w:eastAsia="仿宋_GB2312" w:cs="Times New Roman"/>
          <w:color w:val="000000"/>
          <w:kern w:val="2"/>
          <w:sz w:val="32"/>
          <w:szCs w:val="24"/>
          <w:lang w:eastAsia="zh-CN" w:bidi="ar-SA"/>
        </w:rPr>
        <w:t>经营企业</w:t>
      </w:r>
      <w:r>
        <w:rPr>
          <w:rFonts w:hint="default" w:ascii="宋体" w:hAnsi="宋体" w:eastAsia="仿宋_GB2312" w:cs="Times New Roman"/>
          <w:color w:val="000000"/>
          <w:kern w:val="2"/>
          <w:sz w:val="32"/>
          <w:szCs w:val="24"/>
          <w:lang w:eastAsia="zh-CN" w:bidi="ar-SA"/>
        </w:rPr>
        <w:t>应当</w:t>
      </w:r>
      <w:r>
        <w:rPr>
          <w:rFonts w:hint="eastAsia" w:ascii="宋体" w:hAnsi="宋体" w:eastAsia="仿宋_GB2312" w:cs="Times New Roman"/>
          <w:color w:val="000000"/>
          <w:kern w:val="2"/>
          <w:sz w:val="32"/>
          <w:szCs w:val="24"/>
          <w:lang w:eastAsia="zh-CN" w:bidi="ar-SA"/>
        </w:rPr>
        <w:t>及时准确记录线路运营信息，并按照所在地</w:t>
      </w:r>
      <w:r>
        <w:rPr>
          <w:rFonts w:hint="default" w:ascii="宋体" w:hAnsi="宋体" w:eastAsia="仿宋_GB2312" w:cs="Times New Roman"/>
          <w:color w:val="000000"/>
          <w:kern w:val="2"/>
          <w:sz w:val="32"/>
          <w:szCs w:val="24"/>
          <w:lang w:eastAsia="zh-CN" w:bidi="ar-SA"/>
        </w:rPr>
        <w:t>交通运输主管部门</w:t>
      </w:r>
      <w:r>
        <w:rPr>
          <w:rFonts w:hint="eastAsia" w:ascii="宋体" w:hAnsi="宋体" w:eastAsia="仿宋_GB2312" w:cs="Times New Roman"/>
          <w:color w:val="000000"/>
          <w:kern w:val="2"/>
          <w:sz w:val="32"/>
          <w:szCs w:val="24"/>
          <w:lang w:eastAsia="zh-CN" w:bidi="ar-SA"/>
        </w:rPr>
        <w:t>要求及时报送线路配置车辆、客运量等</w:t>
      </w:r>
      <w:r>
        <w:rPr>
          <w:rFonts w:hint="default" w:ascii="宋体" w:hAnsi="宋体" w:eastAsia="仿宋_GB2312" w:cs="Times New Roman"/>
          <w:color w:val="000000"/>
          <w:kern w:val="2"/>
          <w:sz w:val="32"/>
          <w:szCs w:val="24"/>
          <w:lang w:eastAsia="zh-CN" w:bidi="ar-SA"/>
        </w:rPr>
        <w:t>运营信息</w:t>
      </w:r>
      <w:r>
        <w:rPr>
          <w:rFonts w:hint="eastAsia" w:ascii="宋体" w:hAnsi="宋体" w:eastAsia="仿宋_GB2312" w:cs="Times New Roman"/>
          <w:color w:val="000000"/>
          <w:kern w:val="2"/>
          <w:sz w:val="32"/>
          <w:szCs w:val="24"/>
          <w:lang w:eastAsia="zh-CN" w:bidi="ar-SA"/>
        </w:rPr>
        <w:t>。</w:t>
      </w:r>
    </w:p>
    <w:p w14:paraId="6167CD70">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lang w:eastAsia="zh-CN" w:bidi="ar-SA"/>
        </w:rPr>
      </w:pPr>
      <w:r>
        <w:rPr>
          <w:rFonts w:hint="default" w:ascii="黑体" w:hAnsi="黑体" w:eastAsia="黑体" w:cs="黑体"/>
          <w:color w:val="auto"/>
          <w:kern w:val="0"/>
          <w:sz w:val="32"/>
          <w:szCs w:val="32"/>
          <w:lang w:val="en-US" w:eastAsia="zh-CN" w:bidi="ar"/>
        </w:rPr>
        <w:t>第二十</w:t>
      </w:r>
      <w:r>
        <w:rPr>
          <w:rFonts w:hint="eastAsia" w:ascii="黑体" w:hAnsi="黑体" w:eastAsia="黑体" w:cs="黑体"/>
          <w:color w:val="auto"/>
          <w:kern w:val="0"/>
          <w:sz w:val="32"/>
          <w:szCs w:val="32"/>
          <w:lang w:val="en-US" w:eastAsia="zh-CN" w:bidi="ar"/>
        </w:rPr>
        <w:t>七</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lang w:eastAsia="zh-CN" w:bidi="ar-SA"/>
        </w:rPr>
        <w:t xml:space="preserve"> </w:t>
      </w:r>
      <w:r>
        <w:rPr>
          <w:rFonts w:hint="eastAsia" w:ascii="宋体" w:hAnsi="宋体" w:eastAsia="仿宋_GB2312" w:cs="Times New Roman"/>
          <w:color w:val="000000"/>
          <w:kern w:val="2"/>
          <w:sz w:val="32"/>
          <w:szCs w:val="24"/>
          <w:lang w:eastAsia="zh-CN" w:bidi="ar-SA"/>
        </w:rPr>
        <w:t>鼓励利用移动互联网等信息化技术为乘客提供高效便捷的出行信息服务，</w:t>
      </w:r>
      <w:r>
        <w:rPr>
          <w:rFonts w:hint="default" w:ascii="宋体" w:hAnsi="宋体" w:eastAsia="仿宋_GB2312" w:cs="Times New Roman"/>
          <w:color w:val="000000"/>
          <w:kern w:val="2"/>
          <w:sz w:val="32"/>
          <w:szCs w:val="24"/>
          <w:lang w:eastAsia="zh-CN" w:bidi="ar-SA"/>
        </w:rPr>
        <w:t>方便乘客预留座位、候车等，</w:t>
      </w:r>
      <w:r>
        <w:rPr>
          <w:rFonts w:hint="eastAsia" w:ascii="宋体" w:hAnsi="宋体" w:eastAsia="仿宋_GB2312" w:cs="Times New Roman"/>
          <w:color w:val="000000"/>
          <w:kern w:val="2"/>
          <w:sz w:val="32"/>
          <w:szCs w:val="24"/>
          <w:lang w:eastAsia="zh-CN" w:bidi="ar-SA"/>
        </w:rPr>
        <w:t>有条件的城市应当将</w:t>
      </w:r>
      <w:r>
        <w:rPr>
          <w:rFonts w:hint="default" w:ascii="宋体" w:hAnsi="宋体" w:eastAsia="仿宋_GB2312" w:cs="Times New Roman"/>
          <w:color w:val="000000"/>
          <w:kern w:val="2"/>
          <w:sz w:val="32"/>
          <w:szCs w:val="24"/>
          <w:lang w:eastAsia="zh-CN" w:bidi="ar-SA"/>
        </w:rPr>
        <w:t>公交化改造线路</w:t>
      </w:r>
      <w:r>
        <w:rPr>
          <w:rFonts w:hint="eastAsia" w:ascii="宋体" w:hAnsi="宋体" w:eastAsia="仿宋_GB2312" w:cs="Times New Roman"/>
          <w:color w:val="000000"/>
          <w:kern w:val="2"/>
          <w:sz w:val="32"/>
          <w:szCs w:val="24"/>
          <w:lang w:eastAsia="zh-CN" w:bidi="ar-SA"/>
        </w:rPr>
        <w:t>运营信息纳入城市出行服务信息查询系统，并确保信息实时更新。</w:t>
      </w:r>
    </w:p>
    <w:p w14:paraId="7835A9B4">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lang w:eastAsia="zh-CN" w:bidi="ar-SA"/>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二十八</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lang w:eastAsia="zh-CN" w:bidi="ar-SA"/>
        </w:rPr>
        <w:t xml:space="preserve"> </w:t>
      </w:r>
      <w:r>
        <w:rPr>
          <w:rFonts w:hint="eastAsia" w:ascii="宋体" w:hAnsi="宋体" w:eastAsia="仿宋_GB2312" w:cs="Times New Roman"/>
          <w:color w:val="000000"/>
          <w:kern w:val="2"/>
          <w:sz w:val="32"/>
          <w:szCs w:val="24"/>
          <w:lang w:eastAsia="zh-CN" w:bidi="ar-SA"/>
        </w:rPr>
        <w:t>经营企业应当通过多种渠道向社会公布票价信息</w:t>
      </w:r>
      <w:r>
        <w:rPr>
          <w:rFonts w:hint="default" w:ascii="宋体" w:hAnsi="宋体" w:eastAsia="仿宋_GB2312" w:cs="Times New Roman"/>
          <w:color w:val="000000"/>
          <w:kern w:val="2"/>
          <w:sz w:val="32"/>
          <w:szCs w:val="24"/>
          <w:lang w:eastAsia="zh-CN" w:bidi="ar-SA"/>
        </w:rPr>
        <w:t>，</w:t>
      </w:r>
      <w:r>
        <w:rPr>
          <w:rFonts w:hint="eastAsia" w:ascii="宋体" w:hAnsi="宋体" w:eastAsia="仿宋_GB2312" w:cs="Times New Roman"/>
          <w:color w:val="000000"/>
          <w:kern w:val="2"/>
          <w:sz w:val="32"/>
          <w:szCs w:val="24"/>
          <w:lang w:eastAsia="zh-CN" w:bidi="ar-SA"/>
        </w:rPr>
        <w:t>鼓励使用公交一卡通、移动支付等方式，方便乘客购票，并随车提供合</w:t>
      </w:r>
      <w:r>
        <w:rPr>
          <w:rFonts w:hint="eastAsia" w:ascii="宋体" w:hAnsi="宋体" w:eastAsia="仿宋_GB2312" w:cs="Times New Roman"/>
          <w:color w:val="000000"/>
          <w:kern w:val="2"/>
          <w:sz w:val="32"/>
          <w:szCs w:val="24"/>
          <w:highlight w:val="none"/>
          <w:lang w:eastAsia="zh-CN" w:bidi="ar-SA"/>
        </w:rPr>
        <w:t>法有效车票凭证。</w:t>
      </w:r>
      <w:r>
        <w:rPr>
          <w:rFonts w:hint="default" w:ascii="宋体" w:hAnsi="宋体" w:eastAsia="仿宋_GB2312" w:cs="Times New Roman"/>
          <w:color w:val="000000"/>
          <w:sz w:val="32"/>
          <w:szCs w:val="24"/>
          <w:highlight w:val="none"/>
        </w:rPr>
        <w:t>引</w:t>
      </w:r>
      <w:r>
        <w:rPr>
          <w:rFonts w:hint="default" w:ascii="宋体" w:hAnsi="宋体" w:eastAsia="仿宋_GB2312" w:cs="Times New Roman"/>
          <w:color w:val="000000"/>
          <w:sz w:val="32"/>
          <w:szCs w:val="24"/>
        </w:rPr>
        <w:t>导经营</w:t>
      </w:r>
      <w:r>
        <w:rPr>
          <w:rFonts w:hint="eastAsia" w:ascii="宋体" w:hAnsi="宋体" w:eastAsia="仿宋_GB2312" w:cs="Times New Roman"/>
          <w:color w:val="000000"/>
          <w:sz w:val="32"/>
          <w:szCs w:val="24"/>
          <w:lang w:eastAsia="zh-CN"/>
        </w:rPr>
        <w:t>企业</w:t>
      </w:r>
      <w:r>
        <w:rPr>
          <w:rFonts w:hint="default" w:ascii="宋体" w:hAnsi="宋体" w:eastAsia="仿宋_GB2312" w:cs="Times New Roman"/>
          <w:color w:val="000000"/>
          <w:sz w:val="32"/>
          <w:szCs w:val="24"/>
        </w:rPr>
        <w:t>以自主选择的方式为车辆</w:t>
      </w:r>
      <w:r>
        <w:rPr>
          <w:rFonts w:hint="eastAsia" w:ascii="宋体" w:hAnsi="宋体" w:eastAsia="仿宋_GB2312" w:cs="Times New Roman"/>
          <w:color w:val="000000"/>
          <w:sz w:val="32"/>
          <w:szCs w:val="24"/>
        </w:rPr>
        <w:t>安装</w:t>
      </w:r>
      <w:r>
        <w:rPr>
          <w:rFonts w:hint="default" w:ascii="宋体" w:hAnsi="宋体" w:eastAsia="仿宋_GB2312" w:cs="Times New Roman"/>
          <w:color w:val="000000"/>
          <w:sz w:val="32"/>
          <w:szCs w:val="24"/>
        </w:rPr>
        <w:t>移动支付设备</w:t>
      </w:r>
      <w:r>
        <w:rPr>
          <w:rFonts w:hint="eastAsia" w:ascii="宋体" w:hAnsi="宋体" w:eastAsia="仿宋_GB2312" w:cs="Times New Roman"/>
          <w:color w:val="000000"/>
          <w:sz w:val="32"/>
          <w:szCs w:val="24"/>
        </w:rPr>
        <w:t>。</w:t>
      </w:r>
    </w:p>
    <w:p w14:paraId="4794B8DF">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default"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二十九</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lang w:eastAsia="zh-CN" w:bidi="ar-SA"/>
        </w:rPr>
        <w:t xml:space="preserve"> </w:t>
      </w:r>
      <w:r>
        <w:rPr>
          <w:rFonts w:hint="eastAsia" w:ascii="宋体" w:hAnsi="宋体" w:eastAsia="仿宋_GB2312" w:cs="Times New Roman"/>
          <w:color w:val="000000"/>
          <w:kern w:val="2"/>
          <w:sz w:val="32"/>
          <w:szCs w:val="24"/>
          <w:lang w:eastAsia="zh-CN" w:bidi="ar-SA"/>
        </w:rPr>
        <w:t>经营企业的</w:t>
      </w:r>
      <w:r>
        <w:rPr>
          <w:rFonts w:hint="default" w:ascii="宋体" w:hAnsi="宋体" w:eastAsia="仿宋_GB2312" w:cs="Times New Roman"/>
          <w:color w:val="000000"/>
          <w:kern w:val="2"/>
          <w:sz w:val="32"/>
          <w:szCs w:val="24"/>
          <w:lang w:eastAsia="zh-CN" w:bidi="ar-SA"/>
        </w:rPr>
        <w:t>从业人员应具有相应的职业资格</w:t>
      </w:r>
      <w:r>
        <w:rPr>
          <w:rFonts w:hint="eastAsia" w:ascii="宋体" w:hAnsi="宋体" w:eastAsia="仿宋_GB2312" w:cs="Times New Roman"/>
          <w:color w:val="000000"/>
          <w:kern w:val="2"/>
          <w:sz w:val="32"/>
          <w:szCs w:val="24"/>
          <w:lang w:eastAsia="zh-CN" w:bidi="ar-SA"/>
        </w:rPr>
        <w:t>、</w:t>
      </w:r>
      <w:r>
        <w:rPr>
          <w:rFonts w:hint="default" w:ascii="宋体" w:hAnsi="宋体" w:eastAsia="仿宋_GB2312" w:cs="Times New Roman"/>
          <w:color w:val="000000"/>
          <w:kern w:val="2"/>
          <w:sz w:val="32"/>
          <w:szCs w:val="24"/>
          <w:lang w:eastAsia="zh-CN" w:bidi="ar-SA"/>
        </w:rPr>
        <w:t>岗位培训合格，并定期接受继续教育，</w:t>
      </w:r>
      <w:r>
        <w:rPr>
          <w:rFonts w:hint="eastAsia" w:ascii="宋体" w:hAnsi="宋体" w:eastAsia="仿宋_GB2312" w:cs="Times New Roman"/>
          <w:color w:val="000000"/>
          <w:kern w:val="2"/>
          <w:sz w:val="32"/>
          <w:szCs w:val="24"/>
          <w:lang w:eastAsia="zh-CN" w:bidi="ar-SA"/>
        </w:rPr>
        <w:t>工作时按规定着装</w:t>
      </w:r>
      <w:r>
        <w:rPr>
          <w:rFonts w:hint="default" w:ascii="宋体" w:hAnsi="宋体" w:eastAsia="仿宋_GB2312" w:cs="Times New Roman"/>
          <w:color w:val="000000"/>
          <w:kern w:val="2"/>
          <w:sz w:val="32"/>
          <w:szCs w:val="24"/>
          <w:lang w:eastAsia="zh-CN" w:bidi="ar-SA"/>
        </w:rPr>
        <w:t>，</w:t>
      </w:r>
      <w:r>
        <w:rPr>
          <w:rFonts w:hint="eastAsia" w:ascii="宋体" w:hAnsi="宋体" w:eastAsia="仿宋_GB2312" w:cs="Times New Roman"/>
          <w:color w:val="000000"/>
          <w:kern w:val="2"/>
          <w:sz w:val="32"/>
          <w:szCs w:val="24"/>
          <w:highlight w:val="none"/>
          <w:lang w:eastAsia="zh-CN" w:bidi="ar-SA"/>
        </w:rPr>
        <w:t>佩戴</w:t>
      </w:r>
      <w:r>
        <w:rPr>
          <w:rFonts w:hint="default" w:ascii="宋体" w:hAnsi="宋体" w:eastAsia="仿宋_GB2312" w:cs="Times New Roman"/>
          <w:color w:val="000000"/>
          <w:kern w:val="2"/>
          <w:sz w:val="32"/>
          <w:szCs w:val="24"/>
          <w:highlight w:val="none"/>
          <w:lang w:eastAsia="zh-CN" w:bidi="ar-SA"/>
        </w:rPr>
        <w:t>或放置服务证、卡，衣着整洁、仪表端庄、举止大方、文明礼貌，用普通话服务、用语文明，尊重乘客</w:t>
      </w:r>
      <w:r>
        <w:rPr>
          <w:rFonts w:hint="eastAsia" w:ascii="宋体" w:hAnsi="宋体" w:eastAsia="仿宋_GB2312" w:cs="Times New Roman"/>
          <w:color w:val="000000"/>
          <w:kern w:val="2"/>
          <w:sz w:val="32"/>
          <w:szCs w:val="24"/>
          <w:highlight w:val="none"/>
          <w:lang w:eastAsia="zh-CN" w:bidi="ar-SA"/>
        </w:rPr>
        <w:t>、</w:t>
      </w:r>
      <w:r>
        <w:rPr>
          <w:rFonts w:hint="default" w:ascii="宋体" w:hAnsi="宋体" w:eastAsia="仿宋_GB2312" w:cs="Times New Roman"/>
          <w:color w:val="000000"/>
          <w:kern w:val="2"/>
          <w:sz w:val="32"/>
          <w:szCs w:val="24"/>
          <w:highlight w:val="none"/>
          <w:lang w:eastAsia="zh-CN" w:bidi="ar-SA"/>
        </w:rPr>
        <w:t>态度和蔼，耐心解答乘客的询问，在服务过程中，不吸烟、不吃零食、不与人闲谈。不做其他与本职工作无关的事，不擅离工作岗位。</w:t>
      </w:r>
    </w:p>
    <w:p w14:paraId="131DF15C">
      <w:pPr>
        <w:keepNext w:val="0"/>
        <w:keepLines w:val="0"/>
        <w:pageBreakBefore w:val="0"/>
        <w:kinsoku/>
        <w:wordWrap/>
        <w:overflowPunct/>
        <w:topLinePunct w:val="0"/>
        <w:autoSpaceDE/>
        <w:autoSpaceDN/>
        <w:bidi w:val="0"/>
        <w:adjustRightInd w:val="0"/>
        <w:snapToGrid w:val="0"/>
        <w:spacing w:line="576" w:lineRule="exact"/>
        <w:ind w:firstLine="0" w:firstLineChars="0"/>
        <w:jc w:val="center"/>
        <w:textAlignment w:val="auto"/>
        <w:rPr>
          <w:rFonts w:hint="eastAsia" w:ascii="黑体" w:hAnsi="Times New Roman" w:eastAsia="黑体" w:cs="Times New Roman"/>
          <w:sz w:val="32"/>
          <w:szCs w:val="24"/>
          <w:highlight w:val="none"/>
          <w:lang w:eastAsia="zh-CN"/>
        </w:rPr>
      </w:pPr>
      <w:r>
        <w:rPr>
          <w:rFonts w:hint="default" w:ascii="黑体" w:hAnsi="Times New Roman" w:eastAsia="黑体" w:cs="Times New Roman"/>
          <w:sz w:val="32"/>
          <w:szCs w:val="24"/>
          <w:highlight w:val="none"/>
          <w:lang w:eastAsia="zh-CN"/>
        </w:rPr>
        <w:t xml:space="preserve">第五章 </w:t>
      </w:r>
      <w:r>
        <w:rPr>
          <w:rFonts w:hint="eastAsia" w:ascii="黑体" w:hAnsi="Times New Roman" w:eastAsia="黑体" w:cs="Times New Roman"/>
          <w:sz w:val="32"/>
          <w:szCs w:val="24"/>
          <w:highlight w:val="none"/>
        </w:rPr>
        <w:t>安全</w:t>
      </w:r>
      <w:r>
        <w:rPr>
          <w:rFonts w:hint="eastAsia" w:ascii="黑体" w:hAnsi="Times New Roman" w:eastAsia="黑体" w:cs="Times New Roman"/>
          <w:sz w:val="32"/>
          <w:szCs w:val="24"/>
          <w:highlight w:val="none"/>
          <w:lang w:eastAsia="zh-CN"/>
        </w:rPr>
        <w:t>管理</w:t>
      </w:r>
    </w:p>
    <w:p w14:paraId="1168230D">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三十</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经营企业应当严格落实国家和省有关客运车辆、从业人员各项安全管理规定，并加强车辆和从业人员运营安全管理，切实履行运营安全主体责任。</w:t>
      </w:r>
    </w:p>
    <w:p w14:paraId="7BF50D3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宋体" w:hAnsi="宋体" w:eastAsia="仿宋_GB2312" w:cs="Times New Roman"/>
          <w:color w:val="000000"/>
          <w:sz w:val="32"/>
          <w:szCs w:val="24"/>
          <w:highlight w:val="none"/>
          <w:lang w:eastAsia="zh-CN"/>
        </w:rPr>
      </w:pPr>
      <w:r>
        <w:rPr>
          <w:rFonts w:hint="default" w:ascii="黑体" w:hAnsi="黑体" w:eastAsia="黑体" w:cs="黑体"/>
          <w:color w:val="auto"/>
          <w:kern w:val="0"/>
          <w:sz w:val="32"/>
          <w:szCs w:val="32"/>
          <w:lang w:val="en-US" w:eastAsia="zh-CN" w:bidi="ar"/>
        </w:rPr>
        <w:t>第三十</w:t>
      </w:r>
      <w:r>
        <w:rPr>
          <w:rFonts w:hint="eastAsia" w:ascii="黑体" w:hAnsi="黑体" w:eastAsia="黑体" w:cs="黑体"/>
          <w:color w:val="auto"/>
          <w:kern w:val="0"/>
          <w:sz w:val="32"/>
          <w:szCs w:val="32"/>
          <w:lang w:val="en-US" w:eastAsia="zh-CN" w:bidi="ar"/>
        </w:rPr>
        <w:t>一</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经营企业应当在</w:t>
      </w:r>
      <w:r>
        <w:rPr>
          <w:rFonts w:hint="default" w:ascii="宋体" w:hAnsi="宋体" w:eastAsia="仿宋_GB2312" w:cs="Times New Roman"/>
          <w:color w:val="000000"/>
          <w:kern w:val="2"/>
          <w:sz w:val="32"/>
          <w:szCs w:val="24"/>
          <w:highlight w:val="none"/>
          <w:lang w:eastAsia="zh-CN" w:bidi="ar-SA"/>
        </w:rPr>
        <w:t>首末站</w:t>
      </w:r>
      <w:r>
        <w:rPr>
          <w:rFonts w:hint="eastAsia" w:ascii="宋体" w:hAnsi="宋体" w:eastAsia="仿宋_GB2312" w:cs="Times New Roman"/>
          <w:color w:val="000000"/>
          <w:kern w:val="2"/>
          <w:sz w:val="32"/>
          <w:szCs w:val="24"/>
          <w:highlight w:val="none"/>
          <w:lang w:eastAsia="zh-CN" w:bidi="ar-SA"/>
        </w:rPr>
        <w:t>和营运车辆显著位置设置安全警示标志，营运车辆按照国家相关规定配置灭火器、安全锤、车门紧急开启装置等安全应急设施、设备，并定期检查、维护和更新，保持其技术性能良好。</w:t>
      </w:r>
    </w:p>
    <w:p w14:paraId="4C7FE7CB">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default"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lang w:val="en-US" w:eastAsia="zh-CN" w:bidi="ar"/>
        </w:rPr>
        <w:t>第三十</w:t>
      </w:r>
      <w:r>
        <w:rPr>
          <w:rFonts w:hint="eastAsia" w:ascii="黑体" w:hAnsi="黑体" w:eastAsia="黑体" w:cs="黑体"/>
          <w:color w:val="auto"/>
          <w:kern w:val="0"/>
          <w:sz w:val="32"/>
          <w:szCs w:val="32"/>
          <w:lang w:val="en-US" w:eastAsia="zh-CN" w:bidi="ar"/>
        </w:rPr>
        <w:t>二</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w:t>
      </w:r>
      <w:r>
        <w:rPr>
          <w:rFonts w:hint="default" w:ascii="宋体" w:hAnsi="宋体" w:eastAsia="仿宋_GB2312" w:cs="Times New Roman"/>
          <w:color w:val="000000"/>
          <w:kern w:val="2"/>
          <w:sz w:val="32"/>
          <w:szCs w:val="24"/>
          <w:highlight w:val="none"/>
          <w:lang w:eastAsia="zh-CN" w:bidi="ar-SA"/>
        </w:rPr>
        <w:t>应当建立车辆安全管理制度，定期对运营车辆及附属设备进行检测、维护、更新，保证其处于良好状态。不得使用已达到报废标准、检测不合格、非法拼（改）装等不符合运行安全技术条件的客车以及其他不符合规定的车辆从事经营</w:t>
      </w:r>
      <w:r>
        <w:rPr>
          <w:rFonts w:hint="eastAsia" w:ascii="宋体" w:hAnsi="宋体" w:eastAsia="仿宋_GB2312" w:cs="Times New Roman"/>
          <w:color w:val="000000"/>
          <w:kern w:val="2"/>
          <w:sz w:val="32"/>
          <w:szCs w:val="24"/>
          <w:highlight w:val="none"/>
          <w:lang w:eastAsia="zh-CN" w:bidi="ar-SA"/>
        </w:rPr>
        <w:t>活动</w:t>
      </w:r>
      <w:r>
        <w:rPr>
          <w:rFonts w:hint="default" w:ascii="宋体" w:hAnsi="宋体" w:eastAsia="仿宋_GB2312" w:cs="Times New Roman"/>
          <w:color w:val="000000"/>
          <w:kern w:val="2"/>
          <w:sz w:val="32"/>
          <w:szCs w:val="24"/>
          <w:highlight w:val="none"/>
          <w:lang w:eastAsia="zh-CN" w:bidi="ar-SA"/>
        </w:rPr>
        <w:t>。</w:t>
      </w:r>
    </w:p>
    <w:p w14:paraId="62DA7C6A">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lang w:val="en-US" w:eastAsia="zh-CN" w:bidi="ar"/>
        </w:rPr>
        <w:t>第三十</w:t>
      </w:r>
      <w:r>
        <w:rPr>
          <w:rFonts w:hint="eastAsia" w:ascii="黑体" w:hAnsi="黑体" w:eastAsia="黑体" w:cs="黑体"/>
          <w:color w:val="auto"/>
          <w:kern w:val="0"/>
          <w:sz w:val="32"/>
          <w:szCs w:val="32"/>
          <w:lang w:val="en-US" w:eastAsia="zh-CN" w:bidi="ar"/>
        </w:rPr>
        <w:t>三</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经营企业应当在</w:t>
      </w:r>
      <w:r>
        <w:rPr>
          <w:rFonts w:hint="default" w:ascii="宋体" w:hAnsi="宋体" w:eastAsia="仿宋_GB2312" w:cs="Times New Roman"/>
          <w:color w:val="000000"/>
          <w:kern w:val="2"/>
          <w:sz w:val="32"/>
          <w:szCs w:val="24"/>
          <w:highlight w:val="none"/>
          <w:lang w:eastAsia="zh-CN" w:bidi="ar-SA"/>
        </w:rPr>
        <w:t>公交化改造线路</w:t>
      </w:r>
      <w:r>
        <w:rPr>
          <w:rFonts w:hint="eastAsia" w:ascii="宋体" w:hAnsi="宋体" w:eastAsia="仿宋_GB2312" w:cs="Times New Roman"/>
          <w:color w:val="000000"/>
          <w:kern w:val="2"/>
          <w:sz w:val="32"/>
          <w:szCs w:val="24"/>
          <w:highlight w:val="none"/>
          <w:lang w:eastAsia="zh-CN" w:bidi="ar-SA"/>
        </w:rPr>
        <w:t>起讫场站和营运车辆等区域显著位置公布禁止、限制携带和托运物品目录。</w:t>
      </w:r>
    </w:p>
    <w:p w14:paraId="214FE9EA">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lang w:val="en-US" w:eastAsia="zh-CN" w:bidi="ar"/>
        </w:rPr>
        <w:t>第三十</w:t>
      </w:r>
      <w:r>
        <w:rPr>
          <w:rFonts w:hint="eastAsia" w:ascii="黑体" w:hAnsi="黑体" w:eastAsia="黑体" w:cs="黑体"/>
          <w:color w:val="auto"/>
          <w:kern w:val="0"/>
          <w:sz w:val="32"/>
          <w:szCs w:val="32"/>
          <w:lang w:val="en-US" w:eastAsia="zh-CN" w:bidi="ar"/>
        </w:rPr>
        <w:t>四</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经营企业应</w:t>
      </w:r>
      <w:r>
        <w:rPr>
          <w:rFonts w:hint="default" w:ascii="宋体" w:hAnsi="宋体" w:eastAsia="仿宋_GB2312" w:cs="Times New Roman"/>
          <w:color w:val="000000"/>
          <w:kern w:val="2"/>
          <w:sz w:val="32"/>
          <w:szCs w:val="24"/>
          <w:highlight w:val="none"/>
          <w:lang w:eastAsia="zh-CN" w:bidi="ar-SA"/>
        </w:rPr>
        <w:t>随车配备相应的安保设备设施，加强安全检查，防止违禁物品上车。</w:t>
      </w:r>
    </w:p>
    <w:p w14:paraId="237E0D72">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lang w:val="en-US" w:eastAsia="zh-CN" w:bidi="ar"/>
        </w:rPr>
        <w:t>第三十</w:t>
      </w:r>
      <w:r>
        <w:rPr>
          <w:rFonts w:hint="eastAsia" w:ascii="黑体" w:hAnsi="黑体" w:eastAsia="黑体" w:cs="黑体"/>
          <w:color w:val="auto"/>
          <w:kern w:val="0"/>
          <w:sz w:val="32"/>
          <w:szCs w:val="32"/>
          <w:lang w:val="en-US" w:eastAsia="zh-CN" w:bidi="ar"/>
        </w:rPr>
        <w:t>五</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经营企业应当监督驾驶员严格按照机动车行驶证核定载客人数运行，不得超载、超速运行。</w:t>
      </w:r>
    </w:p>
    <w:p w14:paraId="58780CE9">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lang w:val="en-US" w:eastAsia="zh-CN" w:bidi="ar"/>
        </w:rPr>
        <w:t>第三十</w:t>
      </w:r>
      <w:r>
        <w:rPr>
          <w:rFonts w:hint="eastAsia" w:ascii="黑体" w:hAnsi="黑体" w:eastAsia="黑体" w:cs="黑体"/>
          <w:color w:val="auto"/>
          <w:kern w:val="0"/>
          <w:sz w:val="32"/>
          <w:szCs w:val="32"/>
          <w:lang w:val="en-US" w:eastAsia="zh-CN" w:bidi="ar"/>
        </w:rPr>
        <w:t>六</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经营企业应当建立健全突发事件应急预案，并定期组织应急演练，提升企业从业人员应急防范和处置能力。</w:t>
      </w:r>
    </w:p>
    <w:p w14:paraId="76FAD5AB">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highlight w:val="none"/>
          <w:lang w:val="en-US" w:eastAsia="zh-CN" w:bidi="ar"/>
        </w:rPr>
        <w:t>第三十</w:t>
      </w:r>
      <w:r>
        <w:rPr>
          <w:rFonts w:hint="eastAsia" w:ascii="黑体" w:hAnsi="黑体" w:eastAsia="黑体" w:cs="黑体"/>
          <w:color w:val="auto"/>
          <w:kern w:val="0"/>
          <w:sz w:val="32"/>
          <w:szCs w:val="32"/>
          <w:highlight w:val="none"/>
          <w:lang w:val="en-US" w:eastAsia="zh-CN" w:bidi="ar"/>
        </w:rPr>
        <w:t>七</w:t>
      </w:r>
      <w:r>
        <w:rPr>
          <w:rFonts w:hint="default" w:ascii="黑体" w:hAnsi="黑体" w:eastAsia="黑体" w:cs="黑体"/>
          <w:color w:val="auto"/>
          <w:kern w:val="0"/>
          <w:sz w:val="32"/>
          <w:szCs w:val="32"/>
          <w:highlight w:val="none"/>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经营企业应当按照有关</w:t>
      </w:r>
      <w:r>
        <w:rPr>
          <w:rFonts w:hint="default" w:ascii="宋体" w:hAnsi="宋体" w:eastAsia="仿宋_GB2312" w:cs="Times New Roman"/>
          <w:color w:val="000000"/>
          <w:kern w:val="2"/>
          <w:sz w:val="32"/>
          <w:szCs w:val="24"/>
          <w:highlight w:val="none"/>
          <w:lang w:eastAsia="zh-CN" w:bidi="ar-SA"/>
        </w:rPr>
        <w:t>规定投保</w:t>
      </w:r>
      <w:r>
        <w:rPr>
          <w:rFonts w:hint="eastAsia" w:ascii="宋体" w:hAnsi="宋体" w:eastAsia="仿宋_GB2312" w:cs="Times New Roman"/>
          <w:color w:val="000000"/>
          <w:kern w:val="2"/>
          <w:sz w:val="32"/>
          <w:szCs w:val="24"/>
          <w:highlight w:val="none"/>
          <w:lang w:eastAsia="zh-CN" w:bidi="ar-SA"/>
        </w:rPr>
        <w:t>安全生产责任</w:t>
      </w:r>
      <w:r>
        <w:rPr>
          <w:rFonts w:hint="default" w:ascii="宋体" w:hAnsi="宋体" w:eastAsia="仿宋_GB2312" w:cs="Times New Roman"/>
          <w:color w:val="000000"/>
          <w:kern w:val="2"/>
          <w:sz w:val="32"/>
          <w:szCs w:val="24"/>
          <w:highlight w:val="none"/>
          <w:lang w:eastAsia="zh-CN" w:bidi="ar-SA"/>
        </w:rPr>
        <w:t>保</w:t>
      </w:r>
      <w:r>
        <w:rPr>
          <w:rFonts w:hint="eastAsia" w:ascii="宋体" w:hAnsi="宋体" w:eastAsia="仿宋_GB2312" w:cs="Times New Roman"/>
          <w:color w:val="000000"/>
          <w:kern w:val="2"/>
          <w:sz w:val="32"/>
          <w:szCs w:val="24"/>
          <w:highlight w:val="none"/>
          <w:lang w:eastAsia="zh-CN" w:bidi="ar-SA"/>
        </w:rPr>
        <w:t>险。</w:t>
      </w:r>
    </w:p>
    <w:p w14:paraId="37632CDC">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default" w:ascii="宋体" w:hAnsi="宋体" w:eastAsia="仿宋_GB2312" w:cs="Times New Roman"/>
          <w:color w:val="000000"/>
          <w:kern w:val="2"/>
          <w:sz w:val="32"/>
          <w:szCs w:val="24"/>
          <w:highlight w:val="none"/>
          <w:lang w:eastAsia="zh-CN" w:bidi="ar-SA"/>
        </w:rPr>
      </w:pPr>
      <w:r>
        <w:rPr>
          <w:rFonts w:hint="default" w:ascii="黑体" w:hAnsi="黑体" w:eastAsia="黑体" w:cs="黑体"/>
          <w:color w:val="auto"/>
          <w:kern w:val="0"/>
          <w:sz w:val="32"/>
          <w:szCs w:val="32"/>
          <w:lang w:val="en-US" w:eastAsia="zh-CN" w:bidi="ar"/>
        </w:rPr>
        <w:t>第三十</w:t>
      </w:r>
      <w:r>
        <w:rPr>
          <w:rFonts w:hint="eastAsia" w:ascii="黑体" w:hAnsi="黑体" w:eastAsia="黑体" w:cs="黑体"/>
          <w:color w:val="auto"/>
          <w:kern w:val="0"/>
          <w:sz w:val="32"/>
          <w:szCs w:val="32"/>
          <w:lang w:val="en-US" w:eastAsia="zh-CN" w:bidi="ar"/>
        </w:rPr>
        <w:t>八</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w:t>
      </w:r>
      <w:r>
        <w:rPr>
          <w:rFonts w:hint="default" w:ascii="宋体" w:hAnsi="宋体" w:eastAsia="仿宋_GB2312" w:cs="Times New Roman"/>
          <w:color w:val="000000"/>
          <w:kern w:val="2"/>
          <w:sz w:val="32"/>
          <w:szCs w:val="24"/>
          <w:highlight w:val="none"/>
          <w:lang w:eastAsia="zh-CN" w:bidi="ar-SA"/>
        </w:rPr>
        <w:t>应当保障安全生产投入，按照不低于上年度实际营业收入</w:t>
      </w:r>
      <w:r>
        <w:rPr>
          <w:rFonts w:hint="eastAsia" w:ascii="仿宋_GB2312" w:hAnsi="仿宋_GB2312" w:eastAsia="仿宋_GB2312" w:cs="仿宋_GB2312"/>
          <w:color w:val="000000"/>
          <w:kern w:val="2"/>
          <w:sz w:val="32"/>
          <w:szCs w:val="24"/>
          <w:highlight w:val="none"/>
          <w:lang w:eastAsia="zh-CN" w:bidi="ar-SA"/>
        </w:rPr>
        <w:t>1.5%</w:t>
      </w:r>
      <w:r>
        <w:rPr>
          <w:rFonts w:hint="default" w:ascii="宋体" w:hAnsi="宋体" w:eastAsia="仿宋_GB2312" w:cs="Times New Roman"/>
          <w:color w:val="000000"/>
          <w:kern w:val="2"/>
          <w:sz w:val="32"/>
          <w:szCs w:val="24"/>
          <w:highlight w:val="none"/>
          <w:lang w:eastAsia="zh-CN" w:bidi="ar-SA"/>
        </w:rPr>
        <w:t>的比例提取、设立安全生产专项资金，建立独立的台账，专款专用。</w:t>
      </w:r>
    </w:p>
    <w:p w14:paraId="65E4B406">
      <w:pPr>
        <w:keepNext w:val="0"/>
        <w:keepLines w:val="0"/>
        <w:pageBreakBefore w:val="0"/>
        <w:kinsoku/>
        <w:wordWrap/>
        <w:overflowPunct/>
        <w:topLinePunct w:val="0"/>
        <w:autoSpaceDE/>
        <w:autoSpaceDN/>
        <w:bidi w:val="0"/>
        <w:adjustRightInd w:val="0"/>
        <w:snapToGrid w:val="0"/>
        <w:spacing w:line="576" w:lineRule="exact"/>
        <w:ind w:firstLine="0" w:firstLineChars="0"/>
        <w:jc w:val="center"/>
        <w:textAlignment w:val="auto"/>
        <w:rPr>
          <w:rFonts w:hint="eastAsia" w:ascii="黑体" w:hAnsi="Times New Roman" w:eastAsia="黑体" w:cs="Times New Roman"/>
          <w:sz w:val="32"/>
          <w:szCs w:val="24"/>
        </w:rPr>
      </w:pPr>
      <w:r>
        <w:rPr>
          <w:rFonts w:hint="default" w:ascii="黑体" w:hAnsi="Times New Roman" w:eastAsia="黑体" w:cs="Times New Roman"/>
          <w:sz w:val="32"/>
          <w:szCs w:val="24"/>
          <w:lang w:eastAsia="zh-CN"/>
        </w:rPr>
        <w:t xml:space="preserve">第六章 </w:t>
      </w:r>
      <w:r>
        <w:rPr>
          <w:rFonts w:hint="eastAsia" w:ascii="黑体" w:hAnsi="Times New Roman" w:eastAsia="黑体" w:cs="Times New Roman"/>
          <w:sz w:val="32"/>
          <w:szCs w:val="24"/>
        </w:rPr>
        <w:t>监督管理</w:t>
      </w:r>
    </w:p>
    <w:p w14:paraId="5ED7429D">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lang w:eastAsia="zh-CN" w:bidi="ar-SA"/>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三十九</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lang w:eastAsia="zh-CN" w:bidi="ar-SA"/>
        </w:rPr>
        <w:t xml:space="preserve"> 公交化改造线路</w:t>
      </w:r>
      <w:r>
        <w:rPr>
          <w:rFonts w:hint="eastAsia" w:ascii="宋体" w:hAnsi="宋体" w:eastAsia="仿宋_GB2312" w:cs="Times New Roman"/>
          <w:color w:val="000000"/>
          <w:kern w:val="2"/>
          <w:sz w:val="32"/>
          <w:szCs w:val="24"/>
          <w:lang w:eastAsia="zh-CN" w:bidi="ar-SA"/>
        </w:rPr>
        <w:t>运营实行联合监管，企业所在地交通运输主管部门与公交化改造线路沿途交通运输主管部门建立跨区域联合监管和信息通报机制，加强执法系统衔接和数据共享，及时查处违法违规行为，维护客运市场运营秩序，保障运营服务质量。</w:t>
      </w:r>
    </w:p>
    <w:p w14:paraId="5FC35DC1">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宋体" w:hAnsi="宋体" w:eastAsia="仿宋_GB2312" w:cs="Times New Roman"/>
          <w:color w:val="000000"/>
          <w:kern w:val="2"/>
          <w:sz w:val="32"/>
          <w:szCs w:val="24"/>
          <w:lang w:eastAsia="zh-CN" w:bidi="ar-SA"/>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四十</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lang w:eastAsia="zh-CN" w:bidi="ar-SA"/>
        </w:rPr>
        <w:t xml:space="preserve"> </w:t>
      </w:r>
      <w:r>
        <w:rPr>
          <w:rFonts w:hint="eastAsia" w:ascii="宋体" w:hAnsi="宋体" w:eastAsia="仿宋_GB2312" w:cs="Times New Roman"/>
          <w:color w:val="000000"/>
          <w:kern w:val="2"/>
          <w:sz w:val="32"/>
          <w:szCs w:val="24"/>
          <w:lang w:eastAsia="zh-CN" w:bidi="ar-SA"/>
        </w:rPr>
        <w:t>经营企业和相关交通运输主管部门应当建立</w:t>
      </w:r>
      <w:r>
        <w:rPr>
          <w:rFonts w:hint="default" w:ascii="宋体" w:hAnsi="宋体" w:eastAsia="仿宋_GB2312" w:cs="Times New Roman"/>
          <w:color w:val="000000"/>
          <w:kern w:val="2"/>
          <w:sz w:val="32"/>
          <w:szCs w:val="24"/>
          <w:lang w:eastAsia="zh-CN" w:bidi="ar-SA"/>
        </w:rPr>
        <w:t>公交化改造线路</w:t>
      </w:r>
      <w:r>
        <w:rPr>
          <w:rFonts w:hint="eastAsia" w:ascii="宋体" w:hAnsi="宋体" w:eastAsia="仿宋_GB2312" w:cs="Times New Roman"/>
          <w:color w:val="000000"/>
          <w:kern w:val="2"/>
          <w:sz w:val="32"/>
          <w:szCs w:val="24"/>
          <w:lang w:eastAsia="zh-CN" w:bidi="ar-SA"/>
        </w:rPr>
        <w:t>服务投诉受理制度和处理机制，及时核查处理和反馈投诉信息。鼓励利用信息化技术为乘客提供实时服务质量评价和投诉处理信息查询服务。</w:t>
      </w:r>
    </w:p>
    <w:p w14:paraId="7425E233">
      <w:pPr>
        <w:pStyle w:val="2"/>
        <w:keepNext w:val="0"/>
        <w:keepLines w:val="0"/>
        <w:pageBreakBefore w:val="0"/>
        <w:kinsoku/>
        <w:wordWrap/>
        <w:overflowPunct/>
        <w:topLinePunct w:val="0"/>
        <w:autoSpaceDE/>
        <w:autoSpaceDN/>
        <w:bidi w:val="0"/>
        <w:spacing w:after="0" w:line="576" w:lineRule="exact"/>
        <w:ind w:firstLine="640" w:firstLineChars="200"/>
        <w:textAlignment w:val="auto"/>
        <w:rPr>
          <w:rFonts w:hint="default" w:ascii="宋体" w:hAnsi="宋体" w:eastAsia="仿宋_GB2312" w:cs="Times New Roman"/>
          <w:color w:val="000000"/>
          <w:kern w:val="2"/>
          <w:sz w:val="32"/>
          <w:szCs w:val="24"/>
          <w:lang w:eastAsia="zh-CN" w:bidi="ar-SA"/>
        </w:rPr>
      </w:pPr>
      <w:r>
        <w:rPr>
          <w:rFonts w:hint="default" w:ascii="黑体" w:hAnsi="黑体" w:eastAsia="黑体" w:cs="黑体"/>
          <w:color w:val="auto"/>
          <w:kern w:val="0"/>
          <w:sz w:val="32"/>
          <w:szCs w:val="32"/>
          <w:highlight w:val="none"/>
          <w:lang w:val="en-US" w:eastAsia="zh-CN" w:bidi="ar"/>
        </w:rPr>
        <w:t>第四十</w:t>
      </w:r>
      <w:r>
        <w:rPr>
          <w:rFonts w:hint="eastAsia" w:ascii="黑体" w:hAnsi="黑体" w:eastAsia="黑体" w:cs="黑体"/>
          <w:color w:val="auto"/>
          <w:kern w:val="0"/>
          <w:sz w:val="32"/>
          <w:szCs w:val="32"/>
          <w:highlight w:val="none"/>
          <w:lang w:val="en-US" w:eastAsia="zh-CN" w:bidi="ar"/>
        </w:rPr>
        <w:t>一</w:t>
      </w:r>
      <w:r>
        <w:rPr>
          <w:rFonts w:hint="default" w:ascii="黑体" w:hAnsi="黑体" w:eastAsia="黑体" w:cs="黑体"/>
          <w:color w:val="auto"/>
          <w:kern w:val="0"/>
          <w:sz w:val="32"/>
          <w:szCs w:val="32"/>
          <w:highlight w:val="none"/>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w:t>
      </w:r>
      <w:r>
        <w:rPr>
          <w:rFonts w:hint="eastAsia" w:ascii="宋体" w:hAnsi="宋体" w:eastAsia="仿宋_GB2312" w:cs="Times New Roman"/>
          <w:color w:val="000000"/>
          <w:kern w:val="2"/>
          <w:sz w:val="32"/>
          <w:szCs w:val="24"/>
          <w:highlight w:val="none"/>
          <w:lang w:eastAsia="zh-CN" w:bidi="ar-SA"/>
        </w:rPr>
        <w:t>经营企业违反线路经营服务协议的，由所在地</w:t>
      </w:r>
      <w:r>
        <w:rPr>
          <w:rFonts w:hint="eastAsia" w:ascii="宋体" w:hAnsi="宋体" w:eastAsia="仿宋_GB2312" w:cs="Times New Roman"/>
          <w:color w:val="000000"/>
          <w:kern w:val="2"/>
          <w:sz w:val="32"/>
          <w:szCs w:val="24"/>
          <w:lang w:eastAsia="zh-CN" w:bidi="ar-SA"/>
        </w:rPr>
        <w:t>交通运输主管部门根据签订协议内容，追究违约责任。</w:t>
      </w:r>
    </w:p>
    <w:p w14:paraId="7EBFB616">
      <w:pPr>
        <w:pStyle w:val="2"/>
        <w:keepNext w:val="0"/>
        <w:keepLines w:val="0"/>
        <w:pageBreakBefore w:val="0"/>
        <w:numPr>
          <w:ilvl w:val="0"/>
          <w:numId w:val="0"/>
        </w:numPr>
        <w:kinsoku/>
        <w:wordWrap/>
        <w:overflowPunct/>
        <w:topLinePunct w:val="0"/>
        <w:autoSpaceDE/>
        <w:autoSpaceDN/>
        <w:bidi w:val="0"/>
        <w:spacing w:after="0" w:line="576" w:lineRule="exact"/>
        <w:ind w:firstLine="0" w:firstLineChars="0"/>
        <w:jc w:val="center"/>
        <w:textAlignment w:val="auto"/>
        <w:rPr>
          <w:rFonts w:hint="eastAsia" w:ascii="CESI黑体-GB2312" w:hAnsi="CESI黑体-GB2312" w:eastAsia="CESI黑体-GB2312" w:cs="CESI黑体-GB2312"/>
          <w:color w:val="000000"/>
          <w:kern w:val="2"/>
          <w:sz w:val="32"/>
          <w:szCs w:val="24"/>
          <w:lang w:eastAsia="zh-CN" w:bidi="ar-SA"/>
        </w:rPr>
      </w:pPr>
      <w:r>
        <w:rPr>
          <w:rFonts w:hint="eastAsia" w:ascii="CESI黑体-GB2312" w:hAnsi="CESI黑体-GB2312" w:eastAsia="CESI黑体-GB2312" w:cs="CESI黑体-GB2312"/>
          <w:color w:val="000000"/>
          <w:kern w:val="2"/>
          <w:sz w:val="32"/>
          <w:szCs w:val="24"/>
          <w:lang w:eastAsia="zh-CN" w:bidi="ar-SA"/>
        </w:rPr>
        <w:t>第七章 附则</w:t>
      </w:r>
    </w:p>
    <w:p w14:paraId="49764AEC">
      <w:pPr>
        <w:pStyle w:val="2"/>
        <w:keepNext w:val="0"/>
        <w:keepLines w:val="0"/>
        <w:pageBreakBefore w:val="0"/>
        <w:numPr>
          <w:ilvl w:val="0"/>
          <w:numId w:val="0"/>
        </w:numPr>
        <w:kinsoku/>
        <w:wordWrap/>
        <w:overflowPunct/>
        <w:topLinePunct w:val="0"/>
        <w:autoSpaceDE/>
        <w:autoSpaceDN/>
        <w:bidi w:val="0"/>
        <w:spacing w:after="0" w:line="576" w:lineRule="exact"/>
        <w:ind w:firstLine="640" w:firstLineChars="200"/>
        <w:textAlignment w:val="auto"/>
        <w:rPr>
          <w:rFonts w:hint="default" w:ascii="宋体" w:hAnsi="宋体" w:eastAsia="仿宋_GB2312" w:cs="Times New Roman"/>
          <w:color w:val="000000"/>
          <w:kern w:val="2"/>
          <w:sz w:val="32"/>
          <w:szCs w:val="24"/>
          <w:lang w:eastAsia="zh-CN" w:bidi="ar-SA"/>
        </w:rPr>
      </w:pPr>
      <w:r>
        <w:rPr>
          <w:rFonts w:hint="default" w:ascii="黑体" w:hAnsi="黑体" w:eastAsia="黑体" w:cs="黑体"/>
          <w:color w:val="auto"/>
          <w:kern w:val="0"/>
          <w:sz w:val="32"/>
          <w:szCs w:val="32"/>
          <w:lang w:val="en-US" w:eastAsia="zh-CN" w:bidi="ar"/>
        </w:rPr>
        <w:t>第四十</w:t>
      </w:r>
      <w:r>
        <w:rPr>
          <w:rFonts w:hint="eastAsia" w:ascii="黑体" w:hAnsi="黑体" w:eastAsia="黑体" w:cs="黑体"/>
          <w:color w:val="auto"/>
          <w:kern w:val="0"/>
          <w:sz w:val="32"/>
          <w:szCs w:val="32"/>
          <w:lang w:val="en-US" w:eastAsia="zh-CN" w:bidi="ar"/>
        </w:rPr>
        <w:t>二</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lang w:eastAsia="zh-CN" w:bidi="ar-SA"/>
        </w:rPr>
        <w:t xml:space="preserve"> 本规范由省交通运输厅负责解释。</w:t>
      </w:r>
    </w:p>
    <w:p w14:paraId="1B89DE6D">
      <w:pPr>
        <w:pStyle w:val="2"/>
        <w:keepNext w:val="0"/>
        <w:keepLines w:val="0"/>
        <w:pageBreakBefore w:val="0"/>
        <w:numPr>
          <w:ilvl w:val="0"/>
          <w:numId w:val="0"/>
        </w:numPr>
        <w:kinsoku/>
        <w:wordWrap/>
        <w:overflowPunct/>
        <w:topLinePunct w:val="0"/>
        <w:autoSpaceDE/>
        <w:autoSpaceDN/>
        <w:bidi w:val="0"/>
        <w:spacing w:after="0" w:line="576" w:lineRule="exact"/>
        <w:ind w:firstLine="640" w:firstLineChars="200"/>
        <w:textAlignment w:val="auto"/>
        <w:rPr>
          <w:rFonts w:hint="default"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第四十三条</w:t>
      </w:r>
      <w:r>
        <w:rPr>
          <w:rFonts w:hint="eastAsia" w:ascii="仿宋_GB2312" w:hAnsi="宋体" w:eastAsia="仿宋_GB2312" w:cs="Times New Roman"/>
          <w:color w:val="000000"/>
          <w:sz w:val="32"/>
          <w:szCs w:val="24"/>
          <w:highlight w:val="none"/>
          <w:lang w:val="en-US" w:eastAsia="zh-CN"/>
        </w:rPr>
        <w:t xml:space="preserve"> </w:t>
      </w:r>
      <w:r>
        <w:rPr>
          <w:rFonts w:hint="default" w:ascii="仿宋_GB2312" w:hAnsi="宋体" w:eastAsia="仿宋_GB2312" w:cs="Times New Roman"/>
          <w:color w:val="000000"/>
          <w:sz w:val="32"/>
          <w:szCs w:val="24"/>
          <w:highlight w:val="none"/>
          <w:lang w:eastAsia="zh-CN"/>
        </w:rPr>
        <w:t>省内从事</w:t>
      </w:r>
      <w:r>
        <w:rPr>
          <w:rFonts w:hint="default" w:ascii="仿宋_GB2312" w:hAnsi="宋体" w:eastAsia="仿宋_GB2312" w:cs="Times New Roman"/>
          <w:color w:val="000000"/>
          <w:sz w:val="32"/>
          <w:szCs w:val="24"/>
          <w:highlight w:val="none"/>
        </w:rPr>
        <w:t>跨省客运班线公交化改造的，</w:t>
      </w:r>
      <w:r>
        <w:rPr>
          <w:rFonts w:hint="eastAsia" w:ascii="仿宋_GB2312" w:hAnsi="宋体" w:eastAsia="仿宋_GB2312" w:cs="Times New Roman"/>
          <w:color w:val="000000"/>
          <w:sz w:val="32"/>
          <w:szCs w:val="24"/>
          <w:highlight w:val="none"/>
          <w:lang w:eastAsia="zh-CN"/>
        </w:rPr>
        <w:t>参照本规范</w:t>
      </w:r>
      <w:r>
        <w:rPr>
          <w:rFonts w:hint="default" w:ascii="仿宋_GB2312" w:hAnsi="宋体" w:eastAsia="仿宋_GB2312" w:cs="Times New Roman"/>
          <w:color w:val="000000"/>
          <w:sz w:val="32"/>
          <w:szCs w:val="24"/>
          <w:highlight w:val="none"/>
        </w:rPr>
        <w:t>执行</w:t>
      </w:r>
      <w:r>
        <w:rPr>
          <w:rFonts w:hint="eastAsia" w:ascii="仿宋_GB2312" w:hAnsi="宋体" w:eastAsia="仿宋_GB2312" w:cs="Times New Roman"/>
          <w:color w:val="000000"/>
          <w:sz w:val="32"/>
          <w:szCs w:val="24"/>
          <w:highlight w:val="none"/>
          <w:lang w:eastAsia="zh-CN"/>
        </w:rPr>
        <w:t>。</w:t>
      </w:r>
    </w:p>
    <w:p w14:paraId="4D076C12">
      <w:pPr>
        <w:pStyle w:val="2"/>
        <w:keepNext w:val="0"/>
        <w:keepLines w:val="0"/>
        <w:pageBreakBefore w:val="0"/>
        <w:numPr>
          <w:ilvl w:val="0"/>
          <w:numId w:val="0"/>
        </w:numPr>
        <w:kinsoku/>
        <w:wordWrap/>
        <w:overflowPunct/>
        <w:topLinePunct w:val="0"/>
        <w:autoSpaceDE/>
        <w:autoSpaceDN/>
        <w:bidi w:val="0"/>
        <w:spacing w:after="0" w:line="576" w:lineRule="exact"/>
        <w:ind w:firstLine="640" w:firstLineChars="200"/>
        <w:textAlignment w:val="auto"/>
      </w:pPr>
      <w:r>
        <w:rPr>
          <w:rFonts w:hint="default" w:ascii="黑体" w:hAnsi="黑体" w:eastAsia="黑体" w:cs="黑体"/>
          <w:color w:val="auto"/>
          <w:kern w:val="0"/>
          <w:sz w:val="32"/>
          <w:szCs w:val="32"/>
          <w:lang w:val="en-US" w:eastAsia="zh-CN" w:bidi="ar"/>
        </w:rPr>
        <w:t>第四十</w:t>
      </w:r>
      <w:r>
        <w:rPr>
          <w:rFonts w:hint="eastAsia" w:ascii="黑体" w:hAnsi="黑体" w:eastAsia="黑体" w:cs="黑体"/>
          <w:color w:val="auto"/>
          <w:kern w:val="0"/>
          <w:sz w:val="32"/>
          <w:szCs w:val="32"/>
          <w:lang w:val="en-US" w:eastAsia="zh-CN" w:bidi="ar"/>
        </w:rPr>
        <w:t>四</w:t>
      </w:r>
      <w:r>
        <w:rPr>
          <w:rFonts w:hint="default" w:ascii="黑体" w:hAnsi="黑体" w:eastAsia="黑体" w:cs="黑体"/>
          <w:color w:val="auto"/>
          <w:kern w:val="0"/>
          <w:sz w:val="32"/>
          <w:szCs w:val="32"/>
          <w:lang w:val="en-US" w:eastAsia="zh-CN" w:bidi="ar"/>
        </w:rPr>
        <w:t>条</w:t>
      </w:r>
      <w:r>
        <w:rPr>
          <w:rFonts w:hint="default" w:ascii="宋体" w:hAnsi="宋体" w:eastAsia="仿宋_GB2312" w:cs="Times New Roman"/>
          <w:color w:val="000000"/>
          <w:kern w:val="2"/>
          <w:sz w:val="32"/>
          <w:szCs w:val="24"/>
          <w:highlight w:val="none"/>
          <w:lang w:eastAsia="zh-CN" w:bidi="ar-SA"/>
        </w:rPr>
        <w:t xml:space="preserve"> 本规范自</w:t>
      </w:r>
      <w:r>
        <w:rPr>
          <w:rFonts w:hint="eastAsia" w:ascii="宋体" w:hAnsi="宋体" w:eastAsia="仿宋_GB2312" w:cs="Times New Roman"/>
          <w:color w:val="000000"/>
          <w:kern w:val="2"/>
          <w:sz w:val="32"/>
          <w:szCs w:val="24"/>
          <w:highlight w:val="none"/>
          <w:lang w:val="en-US" w:eastAsia="zh-CN" w:bidi="ar-SA"/>
        </w:rPr>
        <w:t>2025年12月10日起</w:t>
      </w:r>
      <w:r>
        <w:rPr>
          <w:rFonts w:hint="default" w:ascii="宋体" w:hAnsi="宋体" w:eastAsia="仿宋_GB2312" w:cs="Times New Roman"/>
          <w:color w:val="000000"/>
          <w:kern w:val="2"/>
          <w:sz w:val="32"/>
          <w:szCs w:val="24"/>
          <w:highlight w:val="none"/>
          <w:lang w:eastAsia="zh-CN" w:bidi="ar-SA"/>
        </w:rPr>
        <w:t>施行</w:t>
      </w:r>
      <w:r>
        <w:rPr>
          <w:rFonts w:hint="eastAsia" w:ascii="宋体" w:hAnsi="宋体" w:eastAsia="仿宋_GB2312" w:cs="Times New Roman"/>
          <w:color w:val="000000"/>
          <w:kern w:val="2"/>
          <w:sz w:val="32"/>
          <w:szCs w:val="24"/>
          <w:highlight w:val="none"/>
          <w:lang w:eastAsia="zh-CN" w:bidi="ar-SA"/>
        </w:rPr>
        <w:t>，《</w:t>
      </w:r>
      <w:r>
        <w:rPr>
          <w:rFonts w:hint="eastAsia" w:ascii="仿宋_GB2312" w:hAnsi="仿宋_GB2312" w:eastAsia="仿宋_GB2312" w:cs="仿宋_GB2312"/>
          <w:sz w:val="32"/>
          <w:szCs w:val="32"/>
          <w:lang w:val="en-US" w:eastAsia="zh-CN"/>
        </w:rPr>
        <w:t>吉林省道路客运班线公交化运营服务及管理规范（试行）</w:t>
      </w:r>
      <w:r>
        <w:rPr>
          <w:rFonts w:hint="eastAsia" w:ascii="宋体" w:hAnsi="宋体" w:eastAsia="仿宋_GB2312" w:cs="Times New Roman"/>
          <w:color w:val="000000"/>
          <w:kern w:val="2"/>
          <w:sz w:val="32"/>
          <w:szCs w:val="24"/>
          <w:highlight w:val="none"/>
          <w:lang w:eastAsia="zh-CN" w:bidi="ar-SA"/>
        </w:rPr>
        <w:t>》</w:t>
      </w:r>
      <w:r>
        <w:rPr>
          <w:rFonts w:hint="eastAsia" w:ascii="仿宋_GB2312" w:hAnsi="仿宋_GB2312" w:eastAsia="仿宋_GB2312" w:cs="仿宋_GB2312"/>
          <w:color w:val="000000"/>
          <w:kern w:val="2"/>
          <w:sz w:val="32"/>
          <w:szCs w:val="24"/>
          <w:highlight w:val="none"/>
          <w:lang w:eastAsia="zh-CN" w:bidi="ar-SA"/>
        </w:rPr>
        <w:t>（吉交规〔202</w:t>
      </w:r>
      <w:r>
        <w:rPr>
          <w:rFonts w:hint="eastAsia" w:ascii="仿宋_GB2312" w:hAnsi="仿宋_GB2312" w:eastAsia="仿宋_GB2312" w:cs="仿宋_GB2312"/>
          <w:color w:val="000000"/>
          <w:kern w:val="2"/>
          <w:sz w:val="32"/>
          <w:szCs w:val="24"/>
          <w:highlight w:val="none"/>
          <w:lang w:val="en-US" w:eastAsia="zh-CN" w:bidi="ar-SA"/>
        </w:rPr>
        <w:t>3</w:t>
      </w:r>
      <w:r>
        <w:rPr>
          <w:rFonts w:hint="eastAsia" w:ascii="仿宋_GB2312" w:hAnsi="仿宋_GB2312" w:eastAsia="仿宋_GB2312" w:cs="仿宋_GB2312"/>
          <w:color w:val="000000"/>
          <w:kern w:val="2"/>
          <w:sz w:val="32"/>
          <w:szCs w:val="24"/>
          <w:highlight w:val="none"/>
          <w:lang w:eastAsia="zh-CN" w:bidi="ar-SA"/>
        </w:rPr>
        <w:t>〕</w:t>
      </w:r>
      <w:r>
        <w:rPr>
          <w:rFonts w:hint="eastAsia" w:ascii="仿宋_GB2312" w:hAnsi="仿宋_GB2312" w:eastAsia="仿宋_GB2312" w:cs="仿宋_GB2312"/>
          <w:color w:val="000000"/>
          <w:kern w:val="2"/>
          <w:sz w:val="32"/>
          <w:szCs w:val="24"/>
          <w:highlight w:val="none"/>
          <w:lang w:val="en-US" w:eastAsia="zh-CN" w:bidi="ar-SA"/>
        </w:rPr>
        <w:t>4号</w:t>
      </w:r>
      <w:r>
        <w:rPr>
          <w:rFonts w:hint="eastAsia" w:ascii="仿宋_GB2312" w:hAnsi="仿宋_GB2312" w:eastAsia="仿宋_GB2312" w:cs="仿宋_GB2312"/>
          <w:color w:val="000000"/>
          <w:kern w:val="2"/>
          <w:sz w:val="32"/>
          <w:szCs w:val="24"/>
          <w:highlight w:val="none"/>
          <w:lang w:eastAsia="zh-CN" w:bidi="ar-SA"/>
        </w:rPr>
        <w:t>）</w:t>
      </w:r>
      <w:r>
        <w:rPr>
          <w:rFonts w:hint="eastAsia" w:ascii="宋体" w:hAnsi="宋体" w:eastAsia="仿宋_GB2312" w:cs="Times New Roman"/>
          <w:color w:val="000000"/>
          <w:kern w:val="2"/>
          <w:sz w:val="32"/>
          <w:szCs w:val="24"/>
          <w:highlight w:val="none"/>
          <w:lang w:eastAsia="zh-CN" w:bidi="ar-SA"/>
        </w:rPr>
        <w:t>同时废止</w:t>
      </w:r>
      <w:r>
        <w:rPr>
          <w:rFonts w:hint="default" w:ascii="宋体" w:hAnsi="宋体" w:eastAsia="仿宋_GB2312" w:cs="Times New Roman"/>
          <w:color w:val="000000"/>
          <w:kern w:val="2"/>
          <w:sz w:val="32"/>
          <w:szCs w:val="24"/>
          <w:highlight w:val="none"/>
          <w:lang w:eastAsia="zh-CN" w:bidi="ar-SA"/>
        </w:rPr>
        <w:t>。</w:t>
      </w:r>
      <w:r>
        <w:br w:type="page"/>
      </w:r>
    </w:p>
    <w:p w14:paraId="4FB088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olor w:val="auto"/>
          <w:sz w:val="44"/>
          <w:szCs w:val="44"/>
        </w:rPr>
      </w:pPr>
      <w:r>
        <w:rPr>
          <w:rFonts w:hint="eastAsia" w:ascii="方正小标宋简体" w:hAnsi="仿宋" w:eastAsia="方正小标宋简体"/>
          <w:color w:val="auto"/>
          <w:sz w:val="44"/>
          <w:szCs w:val="44"/>
          <w:lang w:eastAsia="zh-CN"/>
        </w:rPr>
        <w:t>公交化改造</w:t>
      </w:r>
      <w:r>
        <w:rPr>
          <w:rFonts w:hint="eastAsia" w:ascii="方正小标宋简体" w:hAnsi="仿宋" w:eastAsia="方正小标宋简体"/>
          <w:color w:val="auto"/>
          <w:sz w:val="44"/>
          <w:szCs w:val="44"/>
        </w:rPr>
        <w:t>线路经营</w:t>
      </w:r>
      <w:r>
        <w:rPr>
          <w:rFonts w:hint="eastAsia" w:ascii="方正小标宋简体" w:hAnsi="仿宋" w:eastAsia="方正小标宋简体"/>
          <w:color w:val="auto"/>
          <w:sz w:val="44"/>
          <w:szCs w:val="44"/>
          <w:lang w:eastAsia="zh-CN"/>
        </w:rPr>
        <w:t>服务</w:t>
      </w:r>
      <w:r>
        <w:rPr>
          <w:rFonts w:hint="eastAsia" w:ascii="方正小标宋简体" w:hAnsi="仿宋" w:eastAsia="方正小标宋简体"/>
          <w:color w:val="auto"/>
          <w:sz w:val="44"/>
          <w:szCs w:val="44"/>
        </w:rPr>
        <w:t>协议</w:t>
      </w:r>
    </w:p>
    <w:p w14:paraId="568C80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olor w:val="auto"/>
          <w:sz w:val="44"/>
          <w:szCs w:val="44"/>
          <w:lang w:eastAsia="zh-CN"/>
        </w:rPr>
      </w:pPr>
      <w:r>
        <w:rPr>
          <w:rFonts w:hint="eastAsia" w:ascii="方正小标宋简体" w:hAnsi="仿宋" w:eastAsia="方正小标宋简体"/>
          <w:color w:val="auto"/>
          <w:sz w:val="44"/>
          <w:szCs w:val="44"/>
          <w:lang w:eastAsia="zh-CN"/>
        </w:rPr>
        <w:t>参考模板</w:t>
      </w:r>
    </w:p>
    <w:p w14:paraId="4D193A37">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p>
    <w:p w14:paraId="1F137F3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根据《</w:t>
      </w:r>
      <w:r>
        <w:rPr>
          <w:rFonts w:hint="eastAsia" w:ascii="仿宋_GB2312" w:hAnsi="仿宋" w:eastAsia="仿宋_GB2312"/>
          <w:color w:val="auto"/>
          <w:sz w:val="32"/>
          <w:szCs w:val="32"/>
          <w:lang w:eastAsia="zh-CN"/>
        </w:rPr>
        <w:t>城市公共交通条例</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民法典》、《吉林省道路客运班线公交化运营服务及管理规范》</w:t>
      </w:r>
      <w:r>
        <w:rPr>
          <w:rFonts w:hint="eastAsia" w:ascii="仿宋_GB2312" w:hAnsi="仿宋" w:eastAsia="仿宋_GB2312"/>
          <w:color w:val="auto"/>
          <w:sz w:val="32"/>
          <w:szCs w:val="32"/>
          <w:highlight w:val="none"/>
        </w:rPr>
        <w:t>等</w:t>
      </w:r>
      <w:r>
        <w:rPr>
          <w:rFonts w:hint="eastAsia" w:ascii="仿宋_GB2312" w:hAnsi="仿宋" w:eastAsia="仿宋_GB2312"/>
          <w:color w:val="auto"/>
          <w:sz w:val="32"/>
          <w:szCs w:val="32"/>
          <w:highlight w:val="none"/>
          <w:lang w:eastAsia="zh-CN"/>
        </w:rPr>
        <w:t>相</w:t>
      </w:r>
      <w:r>
        <w:rPr>
          <w:rFonts w:hint="eastAsia" w:ascii="仿宋_GB2312" w:hAnsi="仿宋" w:eastAsia="仿宋_GB2312"/>
          <w:color w:val="auto"/>
          <w:sz w:val="32"/>
          <w:szCs w:val="32"/>
          <w:lang w:eastAsia="zh-CN"/>
        </w:rPr>
        <w:t>关规定</w:t>
      </w:r>
      <w:r>
        <w:rPr>
          <w:rFonts w:hint="eastAsia" w:ascii="仿宋_GB2312" w:hAnsi="仿宋" w:eastAsia="仿宋_GB2312"/>
          <w:color w:val="auto"/>
          <w:sz w:val="32"/>
          <w:szCs w:val="32"/>
        </w:rPr>
        <w:t>，特签订《公交化改造线路经营</w:t>
      </w:r>
      <w:r>
        <w:rPr>
          <w:rFonts w:hint="eastAsia" w:ascii="仿宋_GB2312" w:hAnsi="仿宋" w:eastAsia="仿宋_GB2312"/>
          <w:color w:val="auto"/>
          <w:sz w:val="32"/>
          <w:szCs w:val="32"/>
          <w:lang w:eastAsia="zh-CN"/>
        </w:rPr>
        <w:t>服务</w:t>
      </w:r>
      <w:r>
        <w:rPr>
          <w:rFonts w:hint="eastAsia" w:ascii="仿宋_GB2312" w:hAnsi="仿宋" w:eastAsia="仿宋_GB2312"/>
          <w:color w:val="auto"/>
          <w:sz w:val="32"/>
          <w:szCs w:val="32"/>
        </w:rPr>
        <w:t>协议》</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具体内容如下：</w:t>
      </w:r>
    </w:p>
    <w:p w14:paraId="147BC6AC">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 xml:space="preserve">第一条 </w:t>
      </w:r>
      <w:r>
        <w:rPr>
          <w:rFonts w:hint="eastAsia" w:ascii="黑体" w:hAnsi="黑体" w:eastAsia="黑体"/>
          <w:color w:val="auto"/>
          <w:sz w:val="32"/>
          <w:szCs w:val="32"/>
          <w:lang w:eastAsia="zh-CN"/>
        </w:rPr>
        <w:t>经营</w:t>
      </w:r>
      <w:r>
        <w:rPr>
          <w:rFonts w:hint="eastAsia" w:ascii="黑体" w:hAnsi="黑体" w:eastAsia="黑体"/>
          <w:color w:val="auto"/>
          <w:sz w:val="32"/>
          <w:szCs w:val="32"/>
        </w:rPr>
        <w:t>内容及期限</w:t>
      </w:r>
    </w:p>
    <w:p w14:paraId="2BC99768">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1.甲方授予乙方</w:t>
      </w:r>
      <w:r>
        <w:rPr>
          <w:rFonts w:hint="eastAsia" w:ascii="仿宋_GB2312" w:hAnsi="仿宋" w:eastAsia="仿宋_GB2312"/>
          <w:color w:val="auto"/>
          <w:sz w:val="32"/>
          <w:szCs w:val="32"/>
          <w:lang w:eastAsia="zh-CN"/>
        </w:rPr>
        <w:t>（或多方）经营</w:t>
      </w:r>
      <w:r>
        <w:rPr>
          <w:rFonts w:hint="eastAsia" w:ascii="仿宋_GB2312" w:hAnsi="仿宋" w:eastAsia="仿宋_GB2312"/>
          <w:color w:val="auto"/>
          <w:sz w:val="32"/>
          <w:szCs w:val="32"/>
        </w:rPr>
        <w:t>的公交</w:t>
      </w:r>
      <w:r>
        <w:rPr>
          <w:rFonts w:hint="eastAsia" w:ascii="仿宋_GB2312" w:hAnsi="仿宋" w:eastAsia="仿宋_GB2312"/>
          <w:color w:val="auto"/>
          <w:sz w:val="32"/>
          <w:szCs w:val="32"/>
          <w:lang w:eastAsia="zh-CN"/>
        </w:rPr>
        <w:t>化改造</w:t>
      </w:r>
      <w:r>
        <w:rPr>
          <w:rFonts w:hint="eastAsia" w:ascii="仿宋_GB2312" w:hAnsi="仿宋" w:eastAsia="仿宋_GB2312"/>
          <w:color w:val="auto"/>
          <w:sz w:val="32"/>
          <w:szCs w:val="32"/>
        </w:rPr>
        <w:t>线路</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highlight w:val="none"/>
        </w:rPr>
        <w:t>条，经营车辆</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台，</w:t>
      </w:r>
      <w:r>
        <w:rPr>
          <w:rFonts w:hint="eastAsia" w:ascii="仿宋_GB2312" w:hAnsi="仿宋" w:eastAsia="仿宋_GB2312"/>
          <w:color w:val="auto"/>
          <w:sz w:val="32"/>
          <w:szCs w:val="32"/>
        </w:rPr>
        <w:t>经营线路的路别、走向、站点、</w:t>
      </w:r>
      <w:r>
        <w:rPr>
          <w:rFonts w:hint="eastAsia" w:ascii="仿宋_GB2312" w:hAnsi="仿宋" w:eastAsia="仿宋_GB2312"/>
          <w:color w:val="auto"/>
          <w:sz w:val="32"/>
          <w:szCs w:val="32"/>
          <w:lang w:eastAsia="zh-CN"/>
        </w:rPr>
        <w:t>日发班次</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首末班时间、</w:t>
      </w:r>
      <w:r>
        <w:rPr>
          <w:rFonts w:hint="eastAsia" w:ascii="仿宋_GB2312" w:hAnsi="仿宋" w:eastAsia="仿宋_GB2312"/>
          <w:color w:val="auto"/>
          <w:sz w:val="32"/>
          <w:szCs w:val="32"/>
        </w:rPr>
        <w:t>运营间隔、价格等见附表。乙方不得擅自更改附表载明的内容，确需调整时，须经甲方批准后方可实施</w:t>
      </w:r>
      <w:r>
        <w:rPr>
          <w:rFonts w:hint="eastAsia" w:ascii="仿宋_GB2312" w:hAnsi="仿宋" w:eastAsia="仿宋_GB2312"/>
          <w:color w:val="auto"/>
          <w:sz w:val="32"/>
          <w:szCs w:val="32"/>
          <w:lang w:eastAsia="zh-CN"/>
        </w:rPr>
        <w:t>；</w:t>
      </w:r>
    </w:p>
    <w:p w14:paraId="6593B25C">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2.甲方授予乙方</w:t>
      </w:r>
      <w:r>
        <w:rPr>
          <w:rFonts w:hint="eastAsia" w:ascii="仿宋_GB2312" w:hAnsi="仿宋" w:eastAsia="仿宋_GB2312"/>
          <w:color w:val="auto"/>
          <w:sz w:val="32"/>
          <w:szCs w:val="32"/>
          <w:highlight w:val="none"/>
          <w:lang w:eastAsia="zh-CN"/>
        </w:rPr>
        <w:t>经营</w:t>
      </w:r>
      <w:r>
        <w:rPr>
          <w:rFonts w:hint="eastAsia" w:ascii="仿宋_GB2312" w:hAnsi="仿宋" w:eastAsia="仿宋_GB2312"/>
          <w:color w:val="auto"/>
          <w:sz w:val="32"/>
          <w:szCs w:val="32"/>
          <w:highlight w:val="none"/>
        </w:rPr>
        <w:t>期限为</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highlight w:val="none"/>
        </w:rPr>
        <w:t>年，从</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日至</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日止</w:t>
      </w:r>
      <w:r>
        <w:rPr>
          <w:rFonts w:hint="eastAsia" w:ascii="仿宋_GB2312" w:hAnsi="仿宋" w:eastAsia="仿宋_GB2312"/>
          <w:color w:val="auto"/>
          <w:sz w:val="32"/>
          <w:szCs w:val="32"/>
          <w:highlight w:val="none"/>
          <w:lang w:eastAsia="zh-CN"/>
        </w:rPr>
        <w:t>；</w:t>
      </w:r>
    </w:p>
    <w:p w14:paraId="06AD4FF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3.乙方必须实行规模化、集约化、公司化经营。实现公车公营，不得采取车辆</w:t>
      </w:r>
      <w:r>
        <w:rPr>
          <w:rFonts w:hint="eastAsia" w:ascii="仿宋_GB2312" w:hAnsi="仿宋" w:eastAsia="仿宋_GB2312"/>
          <w:color w:val="auto"/>
          <w:sz w:val="32"/>
          <w:szCs w:val="32"/>
          <w:lang w:eastAsia="zh-CN"/>
        </w:rPr>
        <w:t>承包</w:t>
      </w:r>
      <w:r>
        <w:rPr>
          <w:rFonts w:hint="eastAsia" w:ascii="仿宋_GB2312" w:hAnsi="仿宋" w:eastAsia="仿宋_GB2312"/>
          <w:color w:val="auto"/>
          <w:sz w:val="32"/>
          <w:szCs w:val="32"/>
        </w:rPr>
        <w:t>经营</w:t>
      </w:r>
      <w:r>
        <w:rPr>
          <w:rFonts w:hint="eastAsia" w:ascii="仿宋_GB2312" w:hAnsi="仿宋" w:eastAsia="仿宋_GB2312"/>
          <w:color w:val="auto"/>
          <w:sz w:val="32"/>
          <w:szCs w:val="32"/>
          <w:lang w:eastAsia="zh-CN"/>
        </w:rPr>
        <w:t>、挂靠经营；</w:t>
      </w:r>
    </w:p>
    <w:p w14:paraId="7FCA1B0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4.乙方应使用未设置乘客站立区的客车，车内座椅应全部纵向布置（与车辆前进方向相同），并配有安全带。</w:t>
      </w:r>
    </w:p>
    <w:p w14:paraId="50DAC88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第二条</w:t>
      </w:r>
      <w:r>
        <w:rPr>
          <w:rFonts w:hint="eastAsia" w:eastAsia="黑体"/>
          <w:color w:val="auto"/>
          <w:sz w:val="32"/>
          <w:szCs w:val="32"/>
        </w:rPr>
        <w:t> </w:t>
      </w:r>
      <w:r>
        <w:rPr>
          <w:rFonts w:hint="eastAsia" w:ascii="黑体" w:hAnsi="黑体" w:eastAsia="黑体"/>
          <w:color w:val="auto"/>
          <w:sz w:val="32"/>
          <w:szCs w:val="32"/>
        </w:rPr>
        <w:t xml:space="preserve"> </w:t>
      </w:r>
      <w:r>
        <w:rPr>
          <w:rFonts w:hint="eastAsia" w:ascii="黑体" w:hAnsi="黑体" w:eastAsia="黑体"/>
          <w:color w:val="auto"/>
          <w:sz w:val="32"/>
          <w:szCs w:val="32"/>
          <w:lang w:eastAsia="zh-CN"/>
        </w:rPr>
        <w:t>经营</w:t>
      </w:r>
      <w:r>
        <w:rPr>
          <w:rFonts w:hint="eastAsia" w:ascii="黑体" w:hAnsi="黑体" w:eastAsia="黑体"/>
          <w:color w:val="auto"/>
          <w:sz w:val="32"/>
          <w:szCs w:val="32"/>
        </w:rPr>
        <w:t>应当遵循的规定</w:t>
      </w:r>
    </w:p>
    <w:p w14:paraId="196930AC">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1.遵守</w:t>
      </w:r>
      <w:r>
        <w:rPr>
          <w:rFonts w:hint="eastAsia" w:ascii="仿宋_GB2312" w:hAnsi="仿宋" w:eastAsia="仿宋_GB2312"/>
          <w:color w:val="auto"/>
          <w:sz w:val="32"/>
          <w:szCs w:val="32"/>
          <w:lang w:eastAsia="zh-CN"/>
        </w:rPr>
        <w:t>《城市公共交通条例》</w:t>
      </w:r>
      <w:r>
        <w:rPr>
          <w:rFonts w:hint="eastAsia" w:ascii="仿宋_GB2312" w:hAnsi="仿宋" w:eastAsia="仿宋_GB2312"/>
          <w:color w:val="auto"/>
          <w:sz w:val="32"/>
          <w:szCs w:val="32"/>
        </w:rPr>
        <w:t>；</w:t>
      </w:r>
    </w:p>
    <w:p w14:paraId="47E68606">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遵守《城市公共汽车和电车客运管理规定》；</w:t>
      </w:r>
    </w:p>
    <w:p w14:paraId="4EDDB23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.遵守《吉林省城市公共客运管理条例》；</w:t>
      </w:r>
    </w:p>
    <w:p w14:paraId="5E05427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.遵守《</w:t>
      </w:r>
      <w:r>
        <w:rPr>
          <w:rFonts w:hint="eastAsia" w:ascii="仿宋_GB2312" w:hAnsi="仿宋" w:eastAsia="仿宋_GB2312"/>
          <w:color w:val="auto"/>
          <w:sz w:val="32"/>
          <w:szCs w:val="32"/>
          <w:highlight w:val="none"/>
          <w:lang w:eastAsia="zh-CN"/>
        </w:rPr>
        <w:t>吉林省道路客运班线公交化运营服务及管理规范</w:t>
      </w:r>
      <w:r>
        <w:rPr>
          <w:rFonts w:hint="eastAsia" w:ascii="仿宋_GB2312" w:hAnsi="仿宋" w:eastAsia="仿宋_GB2312"/>
          <w:color w:val="auto"/>
          <w:sz w:val="32"/>
          <w:szCs w:val="32"/>
        </w:rPr>
        <w:t>》；</w:t>
      </w:r>
    </w:p>
    <w:p w14:paraId="13B05624">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.执行国家、</w:t>
      </w:r>
      <w:r>
        <w:rPr>
          <w:rFonts w:hint="eastAsia" w:ascii="仿宋_GB2312" w:hAnsi="仿宋" w:eastAsia="仿宋_GB2312"/>
          <w:color w:val="auto"/>
          <w:sz w:val="32"/>
          <w:szCs w:val="32"/>
          <w:lang w:eastAsia="zh-CN"/>
        </w:rPr>
        <w:t>吉林省</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***市</w:t>
      </w:r>
      <w:r>
        <w:rPr>
          <w:rFonts w:hint="eastAsia" w:ascii="仿宋_GB2312" w:hAnsi="仿宋" w:eastAsia="仿宋_GB2312"/>
          <w:color w:val="auto"/>
          <w:sz w:val="32"/>
          <w:szCs w:val="32"/>
        </w:rPr>
        <w:t>城市公共交通行业法律法规、服务标准和规范。</w:t>
      </w:r>
    </w:p>
    <w:p w14:paraId="69A4E68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第三条</w:t>
      </w:r>
      <w:r>
        <w:rPr>
          <w:rFonts w:hint="eastAsia" w:eastAsia="黑体"/>
          <w:color w:val="auto"/>
          <w:sz w:val="32"/>
          <w:szCs w:val="32"/>
        </w:rPr>
        <w:t> </w:t>
      </w:r>
      <w:r>
        <w:rPr>
          <w:rFonts w:hint="eastAsia" w:ascii="黑体" w:hAnsi="黑体" w:eastAsia="黑体"/>
          <w:color w:val="auto"/>
          <w:sz w:val="32"/>
          <w:szCs w:val="32"/>
        </w:rPr>
        <w:t xml:space="preserve"> 甲方的权利和义务</w:t>
      </w:r>
    </w:p>
    <w:p w14:paraId="5910F98F">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olor w:val="auto"/>
          <w:sz w:val="32"/>
          <w:szCs w:val="32"/>
        </w:rPr>
      </w:pPr>
      <w:r>
        <w:rPr>
          <w:rFonts w:hint="eastAsia" w:ascii="楷体" w:hAnsi="楷体" w:eastAsia="楷体"/>
          <w:color w:val="auto"/>
          <w:sz w:val="32"/>
          <w:szCs w:val="32"/>
        </w:rPr>
        <w:t>（一）甲方的权利</w:t>
      </w:r>
    </w:p>
    <w:p w14:paraId="3C4F727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1.按照国家、省、市有关法规、规章、政策，督促和指导乙方的服务质量；</w:t>
      </w:r>
    </w:p>
    <w:p w14:paraId="528DB70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.制定和调整年度企业服务质量考评标准，对乙方的服务质量进行年度评议，对考评不合格的事项责令整改，考核结果作为</w:t>
      </w:r>
      <w:r>
        <w:rPr>
          <w:rFonts w:hint="eastAsia" w:ascii="仿宋_GB2312" w:hAnsi="仿宋" w:eastAsia="仿宋_GB2312"/>
          <w:color w:val="auto"/>
          <w:sz w:val="32"/>
          <w:szCs w:val="32"/>
          <w:lang w:eastAsia="zh-CN"/>
        </w:rPr>
        <w:t>经营协议延续、解除</w:t>
      </w:r>
      <w:r>
        <w:rPr>
          <w:rFonts w:hint="eastAsia" w:ascii="仿宋_GB2312" w:hAnsi="仿宋" w:eastAsia="仿宋_GB2312"/>
          <w:color w:val="auto"/>
          <w:sz w:val="32"/>
          <w:szCs w:val="32"/>
        </w:rPr>
        <w:t>的</w:t>
      </w:r>
      <w:r>
        <w:rPr>
          <w:rFonts w:hint="eastAsia" w:ascii="仿宋_GB2312" w:hAnsi="仿宋" w:eastAsia="仿宋_GB2312"/>
          <w:color w:val="auto"/>
          <w:sz w:val="32"/>
          <w:szCs w:val="32"/>
          <w:lang w:eastAsia="zh-CN"/>
        </w:rPr>
        <w:t>参考</w:t>
      </w:r>
      <w:r>
        <w:rPr>
          <w:rFonts w:hint="eastAsia" w:ascii="仿宋_GB2312" w:hAnsi="仿宋" w:eastAsia="仿宋_GB2312"/>
          <w:color w:val="auto"/>
          <w:sz w:val="32"/>
          <w:szCs w:val="32"/>
        </w:rPr>
        <w:t>依据；</w:t>
      </w:r>
    </w:p>
    <w:p w14:paraId="4472138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.对乙方的服务质量和安全生产情况进行监督检查；</w:t>
      </w:r>
    </w:p>
    <w:p w14:paraId="36338E6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.调查并及时处理乘客对乙方运营服务质量的投诉事项；</w:t>
      </w:r>
    </w:p>
    <w:p w14:paraId="535182E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5.在春运、节假日、重大活动等时段或者根据地方政府要求，提高起讫场站、车辆、人员安全运营标准。</w:t>
      </w:r>
    </w:p>
    <w:p w14:paraId="182963C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olor w:val="auto"/>
          <w:sz w:val="32"/>
          <w:szCs w:val="32"/>
        </w:rPr>
      </w:pPr>
      <w:r>
        <w:rPr>
          <w:rFonts w:hint="eastAsia" w:ascii="楷体" w:hAnsi="楷体" w:eastAsia="楷体"/>
          <w:color w:val="auto"/>
          <w:sz w:val="32"/>
          <w:szCs w:val="32"/>
        </w:rPr>
        <w:t>（二）甲方的义务</w:t>
      </w:r>
    </w:p>
    <w:p w14:paraId="7469BAE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1.按照城市发展布局，指导乙方有效配置线路资源，保障乙方被授予的线路正常经营；</w:t>
      </w:r>
    </w:p>
    <w:p w14:paraId="08414EC8">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.在危及或者可能危及公共利益、公共安全等紧急情况下，由甲方临时接管乙方</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线路，协调处置与</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相关的重大事项</w:t>
      </w:r>
      <w:r>
        <w:rPr>
          <w:rFonts w:hint="eastAsia" w:ascii="仿宋_GB2312" w:hAnsi="仿宋" w:eastAsia="仿宋_GB2312"/>
          <w:color w:val="auto"/>
          <w:sz w:val="32"/>
          <w:szCs w:val="32"/>
          <w:lang w:eastAsia="zh-CN"/>
        </w:rPr>
        <w:t>；</w:t>
      </w:r>
    </w:p>
    <w:p w14:paraId="1D0CD06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.协助相关部门按照有关文件</w:t>
      </w:r>
      <w:r>
        <w:rPr>
          <w:rFonts w:hint="eastAsia" w:ascii="仿宋_GB2312" w:hAnsi="仿宋" w:eastAsia="仿宋_GB2312"/>
          <w:color w:val="auto"/>
          <w:sz w:val="32"/>
          <w:szCs w:val="32"/>
          <w:lang w:eastAsia="zh-CN"/>
        </w:rPr>
        <w:t>要求</w:t>
      </w:r>
      <w:r>
        <w:rPr>
          <w:rFonts w:hint="eastAsia" w:ascii="仿宋_GB2312" w:hAnsi="仿宋" w:eastAsia="仿宋_GB2312"/>
          <w:color w:val="auto"/>
          <w:sz w:val="32"/>
          <w:szCs w:val="32"/>
        </w:rPr>
        <w:t>落实补贴或补偿；</w:t>
      </w:r>
    </w:p>
    <w:p w14:paraId="2316DE29">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.协助或协调有关单位、部门保持公交行业服务设施的完整并及时进行维护；</w:t>
      </w:r>
    </w:p>
    <w:p w14:paraId="32E91F35">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.指导、督促乙方对其从业人员进行岗位培训，持证上岗；</w:t>
      </w:r>
    </w:p>
    <w:p w14:paraId="2A9B4A54">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.乙方为满足社会公众利益，服务定价明显低于营运成本，或为完成政府公益性目标而承担政府指令性、应急保障运输任务，乙方可报请甲方按政府相关文件</w:t>
      </w:r>
      <w:r>
        <w:rPr>
          <w:rFonts w:hint="eastAsia" w:ascii="仿宋_GB2312" w:hAnsi="仿宋" w:eastAsia="仿宋_GB2312"/>
          <w:color w:val="auto"/>
          <w:sz w:val="32"/>
          <w:szCs w:val="32"/>
          <w:lang w:eastAsia="zh-CN"/>
        </w:rPr>
        <w:t>要求</w:t>
      </w:r>
      <w:r>
        <w:rPr>
          <w:rFonts w:hint="eastAsia" w:ascii="仿宋_GB2312" w:hAnsi="仿宋" w:eastAsia="仿宋_GB2312"/>
          <w:color w:val="auto"/>
          <w:sz w:val="32"/>
          <w:szCs w:val="32"/>
        </w:rPr>
        <w:t>落实补贴或补偿。</w:t>
      </w:r>
    </w:p>
    <w:p w14:paraId="1924B1CF">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第四条</w:t>
      </w:r>
      <w:r>
        <w:rPr>
          <w:rFonts w:hint="eastAsia" w:eastAsia="黑体"/>
          <w:color w:val="auto"/>
          <w:sz w:val="32"/>
          <w:szCs w:val="32"/>
        </w:rPr>
        <w:t xml:space="preserve">  </w:t>
      </w:r>
      <w:r>
        <w:rPr>
          <w:rFonts w:hint="eastAsia" w:ascii="黑体" w:hAnsi="黑体" w:eastAsia="黑体"/>
          <w:color w:val="auto"/>
          <w:sz w:val="32"/>
          <w:szCs w:val="32"/>
        </w:rPr>
        <w:t>乙方的权利和义务</w:t>
      </w:r>
    </w:p>
    <w:p w14:paraId="1D3C592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olor w:val="auto"/>
          <w:sz w:val="32"/>
          <w:szCs w:val="32"/>
        </w:rPr>
      </w:pPr>
      <w:r>
        <w:rPr>
          <w:rFonts w:hint="eastAsia" w:ascii="楷体" w:hAnsi="楷体" w:eastAsia="楷体"/>
          <w:color w:val="auto"/>
          <w:sz w:val="32"/>
          <w:szCs w:val="32"/>
        </w:rPr>
        <w:t>（一）乙方的权利</w:t>
      </w:r>
    </w:p>
    <w:p w14:paraId="3986F659">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1.享有在甲方</w:t>
      </w:r>
      <w:r>
        <w:rPr>
          <w:rFonts w:hint="eastAsia" w:ascii="仿宋_GB2312" w:hAnsi="仿宋" w:eastAsia="仿宋_GB2312"/>
          <w:color w:val="auto"/>
          <w:sz w:val="32"/>
          <w:szCs w:val="32"/>
          <w:lang w:eastAsia="zh-CN"/>
        </w:rPr>
        <w:t>许可</w:t>
      </w:r>
      <w:r>
        <w:rPr>
          <w:rFonts w:hint="eastAsia" w:ascii="仿宋_GB2312" w:hAnsi="仿宋" w:eastAsia="仿宋_GB2312"/>
          <w:color w:val="auto"/>
          <w:sz w:val="32"/>
          <w:szCs w:val="32"/>
        </w:rPr>
        <w:t>的</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范围内从事</w:t>
      </w:r>
      <w:r>
        <w:rPr>
          <w:rFonts w:hint="eastAsia" w:ascii="仿宋_GB2312" w:hAnsi="仿宋" w:eastAsia="仿宋_GB2312"/>
          <w:color w:val="auto"/>
          <w:sz w:val="32"/>
          <w:szCs w:val="32"/>
          <w:lang w:eastAsia="zh-CN"/>
        </w:rPr>
        <w:t>公交</w:t>
      </w:r>
      <w:r>
        <w:rPr>
          <w:rFonts w:hint="eastAsia" w:ascii="仿宋_GB2312" w:hAnsi="仿宋" w:eastAsia="仿宋_GB2312"/>
          <w:color w:val="auto"/>
          <w:sz w:val="32"/>
          <w:szCs w:val="32"/>
        </w:rPr>
        <w:t xml:space="preserve">服务，获取合理收益的权利； </w:t>
      </w:r>
    </w:p>
    <w:p w14:paraId="7F002DD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2.享有使用</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范围内的公共交通设施、线路站点和公交专用车道等服务设施的权利；</w:t>
      </w:r>
    </w:p>
    <w:p w14:paraId="7D5D1929">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.向</w:t>
      </w:r>
      <w:r>
        <w:rPr>
          <w:rFonts w:hint="eastAsia" w:ascii="仿宋_GB2312" w:hAnsi="仿宋" w:eastAsia="仿宋_GB2312"/>
          <w:color w:val="auto"/>
          <w:sz w:val="32"/>
          <w:szCs w:val="32"/>
          <w:lang w:eastAsia="zh-CN"/>
        </w:rPr>
        <w:t>交通运输</w:t>
      </w:r>
      <w:r>
        <w:rPr>
          <w:rFonts w:hint="eastAsia" w:ascii="仿宋_GB2312" w:hAnsi="仿宋" w:eastAsia="仿宋_GB2312"/>
          <w:color w:val="auto"/>
          <w:sz w:val="32"/>
          <w:szCs w:val="32"/>
        </w:rPr>
        <w:t>部门提出制定行业政策有关的合理化意见和建议；</w:t>
      </w:r>
    </w:p>
    <w:p w14:paraId="17215947">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.乙方应</w:t>
      </w:r>
      <w:r>
        <w:rPr>
          <w:rFonts w:hint="eastAsia" w:ascii="仿宋_GB2312" w:hAnsi="仿宋" w:eastAsia="仿宋_GB2312"/>
          <w:color w:val="auto"/>
          <w:sz w:val="32"/>
          <w:szCs w:val="32"/>
          <w:lang w:eastAsia="zh-CN"/>
        </w:rPr>
        <w:t>按照规定</w:t>
      </w:r>
      <w:r>
        <w:rPr>
          <w:rFonts w:hint="eastAsia" w:ascii="仿宋_GB2312" w:hAnsi="仿宋" w:eastAsia="仿宋_GB2312"/>
          <w:color w:val="auto"/>
          <w:sz w:val="32"/>
          <w:szCs w:val="32"/>
        </w:rPr>
        <w:t>的票制、票价向乘车人收取车费。</w:t>
      </w:r>
    </w:p>
    <w:p w14:paraId="7A3A2F70">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olor w:val="auto"/>
          <w:sz w:val="32"/>
          <w:szCs w:val="32"/>
        </w:rPr>
      </w:pPr>
      <w:r>
        <w:rPr>
          <w:rFonts w:hint="eastAsia" w:ascii="楷体" w:hAnsi="楷体" w:eastAsia="楷体"/>
          <w:color w:val="auto"/>
          <w:sz w:val="32"/>
          <w:szCs w:val="32"/>
        </w:rPr>
        <w:t>（二）乙方的义务</w:t>
      </w:r>
    </w:p>
    <w:p w14:paraId="3597A71F">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1.遵守国家、省有关公交行业管理的</w:t>
      </w:r>
      <w:r>
        <w:rPr>
          <w:rFonts w:hint="eastAsia" w:ascii="仿宋_GB2312" w:hAnsi="仿宋" w:eastAsia="仿宋_GB2312"/>
          <w:color w:val="auto"/>
          <w:sz w:val="32"/>
          <w:szCs w:val="32"/>
          <w:lang w:eastAsia="zh-CN"/>
        </w:rPr>
        <w:t>法律法规</w:t>
      </w:r>
      <w:r>
        <w:rPr>
          <w:rFonts w:hint="eastAsia" w:ascii="仿宋_GB2312" w:hAnsi="仿宋" w:eastAsia="仿宋_GB2312"/>
          <w:color w:val="auto"/>
          <w:sz w:val="32"/>
          <w:szCs w:val="32"/>
        </w:rPr>
        <w:t>和规定，执行行业服务标准，以提高服务质量；</w:t>
      </w:r>
    </w:p>
    <w:p w14:paraId="5C7C79F4">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2.接受甲方及执法部门对运营服务工作的监督检查，如实提供线路运营数据和相关资料；</w:t>
      </w:r>
    </w:p>
    <w:p w14:paraId="529BFFFC">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3.依据</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协议中报备的线路、时间、站点、班次、车型、车辆数</w:t>
      </w:r>
      <w:r>
        <w:rPr>
          <w:rFonts w:hint="eastAsia" w:ascii="仿宋_GB2312" w:hAnsi="仿宋" w:eastAsia="仿宋_GB2312"/>
          <w:color w:val="auto"/>
          <w:sz w:val="32"/>
          <w:szCs w:val="32"/>
          <w:lang w:eastAsia="zh-CN"/>
        </w:rPr>
        <w:t>等</w:t>
      </w:r>
      <w:r>
        <w:rPr>
          <w:rFonts w:hint="eastAsia" w:ascii="仿宋_GB2312" w:hAnsi="仿宋" w:eastAsia="仿宋_GB2312"/>
          <w:color w:val="auto"/>
          <w:sz w:val="32"/>
          <w:szCs w:val="32"/>
        </w:rPr>
        <w:t>，提供持续、稳定的出行服务，不得擅自中断线路运营；</w:t>
      </w:r>
    </w:p>
    <w:p w14:paraId="657D415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4.发生重大事件或者不可抗力影响线路正常运营时，应及时告知甲方并</w:t>
      </w:r>
      <w:r>
        <w:rPr>
          <w:rFonts w:hint="eastAsia" w:ascii="仿宋_GB2312" w:hAnsi="仿宋" w:eastAsia="仿宋_GB2312"/>
          <w:color w:val="auto"/>
          <w:sz w:val="32"/>
          <w:szCs w:val="32"/>
          <w:lang w:eastAsia="zh-CN"/>
        </w:rPr>
        <w:t>做好</w:t>
      </w:r>
      <w:r>
        <w:rPr>
          <w:rFonts w:hint="eastAsia" w:ascii="仿宋_GB2312" w:hAnsi="仿宋" w:eastAsia="仿宋_GB2312"/>
          <w:color w:val="auto"/>
          <w:sz w:val="32"/>
          <w:szCs w:val="32"/>
        </w:rPr>
        <w:t>衔接工作和应对措施；</w:t>
      </w:r>
    </w:p>
    <w:p w14:paraId="06E65F4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.乙方有义务履行政府出台政策规定的有关优惠乘车服务；</w:t>
      </w:r>
    </w:p>
    <w:p w14:paraId="0B5D55C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因城市道路建设、维修和实施交通管制以及其他突发事件等原因，致使线路无法通行的，</w:t>
      </w:r>
      <w:r>
        <w:rPr>
          <w:rFonts w:hint="eastAsia" w:ascii="仿宋_GB2312" w:hAnsi="仿宋" w:eastAsia="仿宋_GB2312"/>
          <w:color w:val="auto"/>
          <w:sz w:val="32"/>
          <w:szCs w:val="32"/>
          <w:lang w:val="en-US" w:eastAsia="zh-CN"/>
        </w:rPr>
        <w:t>乙方有义务及时向甲方</w:t>
      </w:r>
      <w:r>
        <w:rPr>
          <w:rFonts w:hint="eastAsia" w:ascii="仿宋_GB2312" w:hAnsi="仿宋" w:eastAsia="仿宋_GB2312"/>
          <w:color w:val="auto"/>
          <w:sz w:val="32"/>
          <w:szCs w:val="32"/>
        </w:rPr>
        <w:t>报告；</w:t>
      </w:r>
    </w:p>
    <w:p w14:paraId="09BCE82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7.乙方不得扰乱价格市场，不得擅自调价</w:t>
      </w:r>
      <w:r>
        <w:rPr>
          <w:rFonts w:hint="eastAsia" w:ascii="仿宋_GB2312" w:hAnsi="仿宋" w:eastAsia="仿宋_GB2312"/>
          <w:color w:val="auto"/>
          <w:sz w:val="32"/>
          <w:szCs w:val="32"/>
          <w:highlight w:val="none"/>
        </w:rPr>
        <w:t>；</w:t>
      </w:r>
    </w:p>
    <w:p w14:paraId="7EB13757">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8.乙方有义务遵守甲方提出的场站、车辆、人员等安全运营的标准和要求，满足安全运营需要。</w:t>
      </w:r>
    </w:p>
    <w:p w14:paraId="39F8872B">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五</w:t>
      </w:r>
      <w:r>
        <w:rPr>
          <w:rFonts w:hint="eastAsia" w:ascii="黑体" w:hAnsi="黑体" w:eastAsia="黑体"/>
          <w:color w:val="auto"/>
          <w:sz w:val="32"/>
          <w:szCs w:val="32"/>
        </w:rPr>
        <w:t>条 紧急调用与处置</w:t>
      </w:r>
    </w:p>
    <w:p w14:paraId="2496E7C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1.因规划调整、城市建设、道路建设、交通管制、客流需求，以及不可抗力而需要变更起止站点或途经线路时，乙方应无条件服从甲方调整安排；</w:t>
      </w:r>
    </w:p>
    <w:p w14:paraId="1F6A8FE0">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lang w:val="en-US" w:eastAsia="zh-CN"/>
        </w:rPr>
      </w:pPr>
      <w:r>
        <w:rPr>
          <w:rFonts w:hint="eastAsia" w:ascii="仿宋_GB2312" w:hAnsi="仿宋" w:eastAsia="仿宋_GB2312"/>
          <w:color w:val="auto"/>
          <w:sz w:val="32"/>
          <w:szCs w:val="32"/>
        </w:rPr>
        <w:t>2.在发生突发事件和承担政府其他公益性指令任务时，甲方有权根据需要调用乙方的</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车辆，临时调整乙方线路</w:t>
      </w:r>
      <w:r>
        <w:rPr>
          <w:rFonts w:hint="eastAsia" w:ascii="仿宋_GB2312" w:hAnsi="仿宋" w:eastAsia="仿宋_GB2312"/>
          <w:color w:val="auto"/>
          <w:sz w:val="32"/>
          <w:szCs w:val="32"/>
          <w:lang w:eastAsia="zh-CN"/>
        </w:rPr>
        <w:t>。</w:t>
      </w:r>
    </w:p>
    <w:p w14:paraId="114F06B4">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六</w:t>
      </w:r>
      <w:r>
        <w:rPr>
          <w:rFonts w:hint="eastAsia" w:ascii="黑体" w:hAnsi="黑体" w:eastAsia="黑体"/>
          <w:color w:val="auto"/>
          <w:sz w:val="32"/>
          <w:szCs w:val="32"/>
        </w:rPr>
        <w:t xml:space="preserve">条 </w:t>
      </w:r>
      <w:r>
        <w:rPr>
          <w:rFonts w:hint="eastAsia" w:eastAsia="黑体"/>
          <w:color w:val="auto"/>
          <w:sz w:val="32"/>
          <w:szCs w:val="32"/>
        </w:rPr>
        <w:t> </w:t>
      </w:r>
      <w:r>
        <w:rPr>
          <w:rFonts w:hint="eastAsia" w:ascii="黑体" w:hAnsi="黑体" w:eastAsia="黑体"/>
          <w:color w:val="auto"/>
          <w:sz w:val="32"/>
          <w:szCs w:val="32"/>
          <w:lang w:eastAsia="zh-CN"/>
        </w:rPr>
        <w:t>经营</w:t>
      </w:r>
      <w:r>
        <w:rPr>
          <w:rFonts w:hint="eastAsia" w:ascii="黑体" w:hAnsi="黑体" w:eastAsia="黑体"/>
          <w:color w:val="auto"/>
          <w:sz w:val="32"/>
          <w:szCs w:val="32"/>
        </w:rPr>
        <w:t>年度考核</w:t>
      </w:r>
    </w:p>
    <w:p w14:paraId="311023D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甲方</w:t>
      </w:r>
      <w:r>
        <w:rPr>
          <w:rFonts w:hint="eastAsia" w:ascii="仿宋_GB2312" w:hAnsi="仿宋" w:eastAsia="仿宋_GB2312"/>
          <w:color w:val="auto"/>
          <w:sz w:val="32"/>
          <w:szCs w:val="32"/>
          <w:lang w:eastAsia="zh-CN"/>
        </w:rPr>
        <w:t>在</w:t>
      </w:r>
      <w:r>
        <w:rPr>
          <w:rFonts w:hint="eastAsia" w:ascii="仿宋_GB2312" w:hAnsi="仿宋" w:eastAsia="仿宋_GB2312"/>
          <w:color w:val="auto"/>
          <w:sz w:val="32"/>
          <w:szCs w:val="32"/>
        </w:rPr>
        <w:t>乙方</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期间，每年进行一次服务质量考评。</w:t>
      </w:r>
    </w:p>
    <w:p w14:paraId="3D6BED8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1.考评主</w:t>
      </w:r>
      <w:r>
        <w:rPr>
          <w:rFonts w:hint="eastAsia" w:ascii="仿宋_GB2312" w:hAnsi="仿宋" w:eastAsia="仿宋_GB2312"/>
          <w:color w:val="auto"/>
          <w:sz w:val="32"/>
          <w:szCs w:val="32"/>
          <w:lang w:val="en-US" w:eastAsia="zh-CN"/>
        </w:rPr>
        <w:t>要内容包括但不限于： </w:t>
      </w:r>
    </w:p>
    <w:p w14:paraId="076E982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（1）执行国家</w:t>
      </w:r>
      <w:r>
        <w:rPr>
          <w:rFonts w:hint="eastAsia" w:ascii="仿宋_GB2312" w:hAnsi="仿宋" w:eastAsia="仿宋_GB2312"/>
          <w:color w:val="auto"/>
          <w:sz w:val="32"/>
          <w:szCs w:val="32"/>
          <w:lang w:eastAsia="zh-CN"/>
        </w:rPr>
        <w:t>法律法规</w:t>
      </w:r>
      <w:r>
        <w:rPr>
          <w:rFonts w:hint="eastAsia" w:ascii="仿宋_GB2312" w:hAnsi="仿宋" w:eastAsia="仿宋_GB2312"/>
          <w:color w:val="auto"/>
          <w:sz w:val="32"/>
          <w:szCs w:val="32"/>
        </w:rPr>
        <w:t>、规章、行业规范情况；</w:t>
      </w:r>
    </w:p>
    <w:p w14:paraId="07A795E0">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（2）服务质量及服务承诺的履行情况；</w:t>
      </w:r>
    </w:p>
    <w:p w14:paraId="02831408">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（3）安全生产与企业管理的执行情况；</w:t>
      </w:r>
    </w:p>
    <w:p w14:paraId="627E1B3B">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（4）服务投诉的答复与整改落实情况。</w:t>
      </w:r>
    </w:p>
    <w:p w14:paraId="7AB24C0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2.考评结果运用</w:t>
      </w:r>
    </w:p>
    <w:p w14:paraId="304A562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甲方每年对乙方的运营服务评议结果将作为</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年度考核的重要依据。对于乙方在</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期限内评议不合格的，甲方应当责令其在规定期限内进行整改。</w:t>
      </w:r>
    </w:p>
    <w:p w14:paraId="621E658F">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运营服务状况经评议考核累计</w:t>
      </w:r>
      <w:r>
        <w:rPr>
          <w:rFonts w:hint="eastAsia" w:ascii="仿宋_GB2312" w:hAnsi="仿宋" w:eastAsia="仿宋_GB2312"/>
          <w:color w:val="auto"/>
          <w:sz w:val="32"/>
          <w:szCs w:val="32"/>
          <w:lang w:eastAsia="zh-CN"/>
        </w:rPr>
        <w:t>两</w:t>
      </w:r>
      <w:r>
        <w:rPr>
          <w:rFonts w:hint="eastAsia" w:ascii="仿宋_GB2312" w:hAnsi="仿宋" w:eastAsia="仿宋_GB2312"/>
          <w:color w:val="auto"/>
          <w:sz w:val="32"/>
          <w:szCs w:val="32"/>
        </w:rPr>
        <w:t>年以上不合格或上一年度考评整改后仍不合格的，甲方可以解除</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协议。</w:t>
      </w:r>
    </w:p>
    <w:p w14:paraId="16B0090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黑体"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七</w:t>
      </w:r>
      <w:r>
        <w:rPr>
          <w:rFonts w:hint="eastAsia" w:ascii="黑体" w:hAnsi="黑体" w:eastAsia="黑体"/>
          <w:color w:val="auto"/>
          <w:sz w:val="32"/>
          <w:szCs w:val="32"/>
        </w:rPr>
        <w:t>条</w:t>
      </w:r>
      <w:r>
        <w:rPr>
          <w:rFonts w:hint="eastAsia" w:eastAsia="黑体"/>
          <w:color w:val="auto"/>
          <w:sz w:val="32"/>
          <w:szCs w:val="32"/>
        </w:rPr>
        <w:t> </w:t>
      </w:r>
      <w:r>
        <w:rPr>
          <w:rFonts w:hint="eastAsia" w:ascii="黑体" w:hAnsi="黑体" w:eastAsia="黑体"/>
          <w:color w:val="auto"/>
          <w:sz w:val="32"/>
          <w:szCs w:val="32"/>
        </w:rPr>
        <w:t xml:space="preserve"> </w:t>
      </w:r>
      <w:r>
        <w:rPr>
          <w:rFonts w:hint="eastAsia" w:ascii="黑体" w:hAnsi="黑体" w:eastAsia="黑体"/>
          <w:color w:val="auto"/>
          <w:sz w:val="32"/>
          <w:szCs w:val="32"/>
          <w:lang w:eastAsia="zh-CN"/>
        </w:rPr>
        <w:t>经营</w:t>
      </w:r>
      <w:r>
        <w:rPr>
          <w:rFonts w:hint="eastAsia" w:ascii="黑体" w:hAnsi="黑体" w:eastAsia="黑体"/>
          <w:color w:val="auto"/>
          <w:sz w:val="32"/>
          <w:szCs w:val="32"/>
        </w:rPr>
        <w:t>协议的变更</w:t>
      </w:r>
    </w:p>
    <w:p w14:paraId="43F3FB1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1.在本协议有效期内，若需变更协议内容，双方应当在共同协商的基础上签订补充协议，补充协议与本协议具有同等法律效力；</w:t>
      </w:r>
    </w:p>
    <w:p w14:paraId="6AA6FA6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2.甲方根据社会发展需要和总体规划的要求确需变更本协议线路走向、营运里程、停靠站点等协议内容的，乙方应当尊重并予执行。</w:t>
      </w:r>
    </w:p>
    <w:p w14:paraId="37354A8C">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八</w:t>
      </w:r>
      <w:r>
        <w:rPr>
          <w:rFonts w:hint="eastAsia" w:ascii="黑体" w:hAnsi="黑体" w:eastAsia="黑体"/>
          <w:color w:val="auto"/>
          <w:sz w:val="32"/>
          <w:szCs w:val="32"/>
        </w:rPr>
        <w:t>条</w:t>
      </w:r>
      <w:r>
        <w:rPr>
          <w:rFonts w:hint="eastAsia" w:eastAsia="黑体"/>
          <w:color w:val="auto"/>
          <w:sz w:val="32"/>
          <w:szCs w:val="32"/>
        </w:rPr>
        <w:t> </w:t>
      </w:r>
      <w:r>
        <w:rPr>
          <w:rFonts w:hint="eastAsia" w:ascii="黑体" w:hAnsi="黑体" w:eastAsia="黑体"/>
          <w:color w:val="auto"/>
          <w:sz w:val="32"/>
          <w:szCs w:val="32"/>
        </w:rPr>
        <w:t xml:space="preserve"> </w:t>
      </w:r>
      <w:r>
        <w:rPr>
          <w:rFonts w:hint="eastAsia" w:ascii="黑体" w:hAnsi="黑体" w:eastAsia="黑体"/>
          <w:color w:val="auto"/>
          <w:sz w:val="32"/>
          <w:szCs w:val="32"/>
          <w:lang w:eastAsia="zh-CN"/>
        </w:rPr>
        <w:t>经营</w:t>
      </w:r>
      <w:r>
        <w:rPr>
          <w:rFonts w:hint="eastAsia" w:ascii="黑体" w:hAnsi="黑体" w:eastAsia="黑体"/>
          <w:color w:val="auto"/>
          <w:sz w:val="32"/>
          <w:szCs w:val="32"/>
        </w:rPr>
        <w:t>协议的解除</w:t>
      </w:r>
    </w:p>
    <w:p w14:paraId="10C9ADFB">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1.在本协议有效期内，乙方单方提出解除协议的，应提前</w:t>
      </w:r>
      <w:r>
        <w:rPr>
          <w:rFonts w:hint="eastAsia" w:ascii="仿宋_GB2312" w:hAnsi="仿宋" w:eastAsia="仿宋_GB2312"/>
          <w:color w:val="auto"/>
          <w:sz w:val="32"/>
          <w:szCs w:val="32"/>
          <w:lang w:eastAsia="zh-CN"/>
        </w:rPr>
        <w:t>向</w:t>
      </w:r>
      <w:r>
        <w:rPr>
          <w:rFonts w:hint="eastAsia" w:ascii="仿宋_GB2312" w:hAnsi="仿宋" w:eastAsia="仿宋_GB2312"/>
          <w:color w:val="auto"/>
          <w:sz w:val="32"/>
          <w:szCs w:val="32"/>
        </w:rPr>
        <w:t>甲方提出书面申请，甲方应当在收到书面申请三个月内</w:t>
      </w:r>
      <w:r>
        <w:rPr>
          <w:rFonts w:hint="eastAsia" w:ascii="仿宋_GB2312" w:hAnsi="仿宋" w:eastAsia="仿宋_GB2312"/>
          <w:color w:val="auto"/>
          <w:sz w:val="32"/>
          <w:szCs w:val="32"/>
          <w:lang w:eastAsia="zh-CN"/>
        </w:rPr>
        <w:t>作出</w:t>
      </w:r>
      <w:r>
        <w:rPr>
          <w:rFonts w:hint="eastAsia" w:ascii="仿宋_GB2312" w:hAnsi="仿宋" w:eastAsia="仿宋_GB2312"/>
          <w:color w:val="auto"/>
          <w:sz w:val="32"/>
          <w:szCs w:val="32"/>
        </w:rPr>
        <w:t>答复，同意乙方解除协议后，</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终止；双方均不承担违约责任</w:t>
      </w:r>
      <w:r>
        <w:rPr>
          <w:rFonts w:hint="eastAsia" w:ascii="仿宋_GB2312" w:hAnsi="仿宋" w:eastAsia="仿宋_GB2312"/>
          <w:color w:val="auto"/>
          <w:sz w:val="32"/>
          <w:szCs w:val="32"/>
          <w:lang w:eastAsia="zh-CN"/>
        </w:rPr>
        <w:t>。</w:t>
      </w:r>
    </w:p>
    <w:p w14:paraId="7F324F78">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2.本协议有效期内，</w:t>
      </w:r>
      <w:r>
        <w:rPr>
          <w:rFonts w:hint="eastAsia" w:ascii="仿宋_GB2312" w:hAnsi="仿宋" w:eastAsia="仿宋_GB2312"/>
          <w:color w:val="auto"/>
          <w:sz w:val="32"/>
          <w:szCs w:val="32"/>
          <w:lang w:eastAsia="zh-CN"/>
        </w:rPr>
        <w:t>乙方</w:t>
      </w:r>
      <w:r>
        <w:rPr>
          <w:rFonts w:hint="eastAsia" w:ascii="仿宋_GB2312" w:hAnsi="仿宋" w:eastAsia="仿宋_GB2312"/>
          <w:color w:val="auto"/>
          <w:sz w:val="32"/>
          <w:szCs w:val="32"/>
        </w:rPr>
        <w:t>如出现下列情况，甲方有权提前终止</w:t>
      </w:r>
      <w:r>
        <w:rPr>
          <w:rFonts w:hint="eastAsia" w:ascii="仿宋_GB2312" w:hAnsi="仿宋" w:eastAsia="仿宋_GB2312"/>
          <w:color w:val="auto"/>
          <w:sz w:val="32"/>
          <w:szCs w:val="32"/>
          <w:lang w:eastAsia="zh-CN"/>
        </w:rPr>
        <w:t>本协议</w:t>
      </w:r>
      <w:r>
        <w:rPr>
          <w:rFonts w:hint="eastAsia" w:ascii="仿宋_GB2312" w:hAnsi="仿宋" w:eastAsia="仿宋_GB2312"/>
          <w:color w:val="auto"/>
          <w:sz w:val="32"/>
          <w:szCs w:val="32"/>
        </w:rPr>
        <w:t>，由甲方实施临时接管：</w:t>
      </w:r>
    </w:p>
    <w:p w14:paraId="54C0B0B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①运营服务状况经评议考核累计二年以上不合格的</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或</w:t>
      </w:r>
      <w:r>
        <w:rPr>
          <w:rFonts w:hint="eastAsia" w:ascii="仿宋_GB2312" w:hAnsi="仿宋" w:eastAsia="仿宋_GB2312"/>
          <w:color w:val="auto"/>
          <w:sz w:val="32"/>
          <w:szCs w:val="32"/>
        </w:rPr>
        <w:t>运营服务状况经评议</w:t>
      </w:r>
      <w:r>
        <w:rPr>
          <w:rFonts w:hint="eastAsia" w:ascii="仿宋_GB2312" w:hAnsi="仿宋" w:eastAsia="仿宋_GB2312"/>
          <w:color w:val="auto"/>
          <w:sz w:val="32"/>
          <w:szCs w:val="32"/>
          <w:lang w:val="en-US" w:eastAsia="zh-CN"/>
        </w:rPr>
        <w:t>不合格，拒不按甲方要求整改的；或上一年度考核评议问题经多次（3次以上含3次）整改仍不合格的</w:t>
      </w:r>
      <w:r>
        <w:rPr>
          <w:rFonts w:hint="eastAsia" w:ascii="仿宋_GB2312" w:hAnsi="仿宋" w:eastAsia="仿宋_GB2312"/>
          <w:color w:val="auto"/>
          <w:sz w:val="32"/>
          <w:szCs w:val="32"/>
        </w:rPr>
        <w:t>；</w:t>
      </w:r>
    </w:p>
    <w:p w14:paraId="736ABD05">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②造成重特大安全生产事故的；</w:t>
      </w:r>
    </w:p>
    <w:p w14:paraId="375C7F0C">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③未经甲方同意，擅自转让或变相转让</w:t>
      </w:r>
      <w:r>
        <w:rPr>
          <w:rFonts w:hint="eastAsia" w:ascii="仿宋_GB2312" w:hAnsi="仿宋" w:eastAsia="仿宋_GB2312"/>
          <w:color w:val="auto"/>
          <w:sz w:val="32"/>
          <w:szCs w:val="32"/>
          <w:lang w:eastAsia="zh-CN"/>
        </w:rPr>
        <w:t>经营</w:t>
      </w:r>
      <w:r>
        <w:rPr>
          <w:rFonts w:hint="eastAsia" w:ascii="仿宋_GB2312" w:hAnsi="仿宋" w:eastAsia="仿宋_GB2312"/>
          <w:color w:val="auto"/>
          <w:sz w:val="32"/>
          <w:szCs w:val="32"/>
        </w:rPr>
        <w:t>权经营的；</w:t>
      </w:r>
    </w:p>
    <w:p w14:paraId="081B5DFC">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④未经甲方批准，获取</w:t>
      </w:r>
      <w:r>
        <w:rPr>
          <w:rFonts w:hint="eastAsia" w:ascii="仿宋_GB2312" w:hAnsi="仿宋" w:eastAsia="仿宋_GB2312"/>
          <w:color w:val="auto"/>
          <w:sz w:val="32"/>
          <w:szCs w:val="32"/>
          <w:lang w:eastAsia="zh-CN"/>
        </w:rPr>
        <w:t>经营权</w:t>
      </w:r>
      <w:r>
        <w:rPr>
          <w:rFonts w:hint="eastAsia" w:ascii="仿宋_GB2312" w:hAnsi="仿宋" w:eastAsia="仿宋_GB2312"/>
          <w:color w:val="auto"/>
          <w:sz w:val="32"/>
          <w:szCs w:val="32"/>
        </w:rPr>
        <w:t>后在</w:t>
      </w:r>
      <w:r>
        <w:rPr>
          <w:rFonts w:hint="eastAsia" w:ascii="仿宋_GB2312" w:hAnsi="仿宋" w:eastAsia="仿宋_GB2312"/>
          <w:color w:val="auto"/>
          <w:sz w:val="32"/>
          <w:szCs w:val="32"/>
          <w:lang w:val="en-US" w:eastAsia="zh-CN"/>
        </w:rPr>
        <w:t>180天内</w:t>
      </w:r>
      <w:r>
        <w:rPr>
          <w:rFonts w:hint="eastAsia" w:ascii="仿宋_GB2312" w:hAnsi="仿宋" w:eastAsia="仿宋_GB2312"/>
          <w:color w:val="auto"/>
          <w:sz w:val="32"/>
          <w:szCs w:val="32"/>
        </w:rPr>
        <w:t>未组织运营或擅自停业、歇业</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停运严重影响社会公共利益的；</w:t>
      </w:r>
    </w:p>
    <w:p w14:paraId="198BDDF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⑤未采取有效措施阻止携带违禁品上车的</w:t>
      </w:r>
      <w:r>
        <w:rPr>
          <w:rFonts w:hint="eastAsia" w:ascii="仿宋_GB2312" w:hAnsi="仿宋" w:eastAsia="仿宋_GB2312"/>
          <w:color w:val="auto"/>
          <w:sz w:val="32"/>
          <w:szCs w:val="32"/>
        </w:rPr>
        <w:t>；</w:t>
      </w:r>
    </w:p>
    <w:p w14:paraId="389F79C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⑥未达到甲方要求的安全运营标准，整改后仍不合格或拒不整改的</w:t>
      </w:r>
      <w:r>
        <w:rPr>
          <w:rFonts w:hint="eastAsia" w:ascii="仿宋_GB2312" w:hAnsi="仿宋" w:eastAsia="仿宋_GB2312"/>
          <w:color w:val="auto"/>
          <w:sz w:val="32"/>
          <w:szCs w:val="32"/>
        </w:rPr>
        <w:t>；</w:t>
      </w:r>
    </w:p>
    <w:p w14:paraId="27889120">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⑦扰乱价格市场，</w:t>
      </w:r>
      <w:r>
        <w:rPr>
          <w:rFonts w:hint="eastAsia" w:ascii="仿宋_GB2312" w:hAnsi="仿宋" w:eastAsia="仿宋_GB2312"/>
          <w:color w:val="auto"/>
          <w:sz w:val="32"/>
          <w:szCs w:val="32"/>
          <w:highlight w:val="none"/>
          <w:lang w:val="en-US" w:eastAsia="zh-CN"/>
        </w:rPr>
        <w:t>擅自调价，</w:t>
      </w:r>
      <w:r>
        <w:rPr>
          <w:rFonts w:hint="eastAsia" w:ascii="仿宋_GB2312" w:hAnsi="仿宋" w:eastAsia="仿宋_GB2312"/>
          <w:color w:val="auto"/>
          <w:sz w:val="32"/>
          <w:szCs w:val="32"/>
          <w:lang w:val="en-US" w:eastAsia="zh-CN"/>
        </w:rPr>
        <w:t>经价格管理部门查实的</w:t>
      </w:r>
      <w:r>
        <w:rPr>
          <w:rFonts w:hint="eastAsia" w:ascii="仿宋_GB2312" w:hAnsi="仿宋" w:eastAsia="仿宋_GB2312"/>
          <w:color w:val="auto"/>
          <w:sz w:val="32"/>
          <w:szCs w:val="32"/>
        </w:rPr>
        <w:t>；</w:t>
      </w:r>
    </w:p>
    <w:p w14:paraId="6474BBF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⑧乙方未经甲方批准，擅自变更本协议附表许可内容的</w:t>
      </w:r>
      <w:r>
        <w:rPr>
          <w:rFonts w:hint="eastAsia" w:ascii="仿宋_GB2312" w:hAnsi="仿宋" w:eastAsia="仿宋_GB2312"/>
          <w:color w:val="auto"/>
          <w:sz w:val="32"/>
          <w:szCs w:val="32"/>
        </w:rPr>
        <w:t>；</w:t>
      </w:r>
    </w:p>
    <w:p w14:paraId="469C035B">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eastAsia="宋体"/>
          <w:lang w:val="en-US" w:eastAsia="zh-CN"/>
        </w:rPr>
      </w:pPr>
      <w:r>
        <w:rPr>
          <w:rFonts w:hint="eastAsia" w:ascii="仿宋_GB2312" w:hAnsi="仿宋" w:eastAsia="仿宋_GB2312"/>
          <w:color w:val="auto"/>
          <w:sz w:val="32"/>
          <w:szCs w:val="32"/>
          <w:lang w:val="en-US" w:eastAsia="zh-CN"/>
        </w:rPr>
        <w:t>⑨乙方未</w:t>
      </w:r>
      <w:r>
        <w:rPr>
          <w:rFonts w:hint="eastAsia" w:ascii="仿宋_GB2312" w:hAnsi="仿宋" w:eastAsia="仿宋_GB2312"/>
          <w:color w:val="auto"/>
          <w:sz w:val="32"/>
          <w:szCs w:val="32"/>
        </w:rPr>
        <w:t>实现公车公营，</w:t>
      </w:r>
      <w:r>
        <w:rPr>
          <w:rFonts w:hint="eastAsia" w:ascii="仿宋_GB2312" w:hAnsi="仿宋" w:eastAsia="仿宋_GB2312"/>
          <w:color w:val="auto"/>
          <w:sz w:val="32"/>
          <w:szCs w:val="32"/>
          <w:lang w:val="en-US" w:eastAsia="zh-CN"/>
        </w:rPr>
        <w:t>存在</w:t>
      </w:r>
      <w:r>
        <w:rPr>
          <w:rFonts w:hint="eastAsia" w:ascii="仿宋_GB2312" w:hAnsi="仿宋" w:eastAsia="仿宋_GB2312"/>
          <w:color w:val="auto"/>
          <w:sz w:val="32"/>
          <w:szCs w:val="32"/>
        </w:rPr>
        <w:t>车辆</w:t>
      </w:r>
      <w:r>
        <w:rPr>
          <w:rFonts w:hint="eastAsia" w:ascii="仿宋_GB2312" w:hAnsi="仿宋" w:eastAsia="仿宋_GB2312"/>
          <w:color w:val="auto"/>
          <w:sz w:val="32"/>
          <w:szCs w:val="32"/>
          <w:lang w:eastAsia="zh-CN"/>
        </w:rPr>
        <w:t>承包</w:t>
      </w:r>
      <w:r>
        <w:rPr>
          <w:rFonts w:hint="eastAsia" w:ascii="仿宋_GB2312" w:hAnsi="仿宋" w:eastAsia="仿宋_GB2312"/>
          <w:color w:val="auto"/>
          <w:sz w:val="32"/>
          <w:szCs w:val="32"/>
        </w:rPr>
        <w:t>经营</w:t>
      </w:r>
      <w:r>
        <w:rPr>
          <w:rFonts w:hint="eastAsia" w:ascii="仿宋_GB2312" w:hAnsi="仿宋" w:eastAsia="仿宋_GB2312"/>
          <w:color w:val="auto"/>
          <w:sz w:val="32"/>
          <w:szCs w:val="32"/>
          <w:lang w:eastAsia="zh-CN"/>
        </w:rPr>
        <w:t>、挂靠经营</w:t>
      </w:r>
      <w:r>
        <w:rPr>
          <w:rFonts w:hint="eastAsia" w:ascii="仿宋_GB2312" w:hAnsi="仿宋" w:eastAsia="仿宋_GB2312"/>
          <w:color w:val="auto"/>
          <w:sz w:val="32"/>
          <w:szCs w:val="32"/>
          <w:lang w:val="en-US" w:eastAsia="zh-CN"/>
        </w:rPr>
        <w:t>的</w:t>
      </w:r>
      <w:r>
        <w:rPr>
          <w:rFonts w:hint="eastAsia" w:ascii="仿宋_GB2312" w:hAnsi="仿宋" w:eastAsia="仿宋_GB2312"/>
          <w:color w:val="auto"/>
          <w:sz w:val="32"/>
          <w:szCs w:val="32"/>
          <w:lang w:eastAsia="zh-CN"/>
        </w:rPr>
        <w:t>。</w:t>
      </w:r>
    </w:p>
    <w:p w14:paraId="40AEEA1B">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九</w:t>
      </w:r>
      <w:r>
        <w:rPr>
          <w:rFonts w:hint="eastAsia" w:ascii="黑体" w:hAnsi="黑体" w:eastAsia="黑体"/>
          <w:color w:val="auto"/>
          <w:sz w:val="32"/>
          <w:szCs w:val="32"/>
        </w:rPr>
        <w:t>条</w:t>
      </w:r>
      <w:r>
        <w:rPr>
          <w:rFonts w:hint="eastAsia" w:eastAsia="黑体"/>
          <w:color w:val="auto"/>
          <w:sz w:val="32"/>
          <w:szCs w:val="32"/>
        </w:rPr>
        <w:t> </w:t>
      </w:r>
      <w:r>
        <w:rPr>
          <w:rFonts w:hint="eastAsia" w:ascii="黑体" w:hAnsi="黑体" w:eastAsia="黑体"/>
          <w:color w:val="auto"/>
          <w:sz w:val="32"/>
          <w:szCs w:val="32"/>
        </w:rPr>
        <w:t xml:space="preserve"> 违约责任</w:t>
      </w:r>
    </w:p>
    <w:p w14:paraId="306DDE3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乙方在甲方管理过程中，15日内拒绝接受行业管理部门对乙方的履约处理，</w:t>
      </w:r>
      <w:r>
        <w:rPr>
          <w:rFonts w:hint="eastAsia" w:ascii="仿宋_GB2312" w:hAnsi="仿宋" w:eastAsia="仿宋_GB2312"/>
          <w:color w:val="auto"/>
          <w:sz w:val="32"/>
          <w:szCs w:val="32"/>
          <w:lang w:val="en-US" w:eastAsia="zh-CN"/>
        </w:rPr>
        <w:t>或因乙方原因导致协议解除的，</w:t>
      </w:r>
      <w:r>
        <w:rPr>
          <w:rFonts w:hint="eastAsia" w:ascii="仿宋_GB2312" w:hAnsi="仿宋" w:eastAsia="仿宋_GB2312"/>
          <w:color w:val="auto"/>
          <w:sz w:val="32"/>
          <w:szCs w:val="32"/>
        </w:rPr>
        <w:t>甲方应将乙方违规情况纳入服务质量信誉考核档案。</w:t>
      </w:r>
    </w:p>
    <w:p w14:paraId="61D8F7D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第十条</w:t>
      </w:r>
      <w:r>
        <w:rPr>
          <w:rFonts w:hint="eastAsia" w:eastAsia="黑体"/>
          <w:color w:val="auto"/>
          <w:sz w:val="32"/>
          <w:szCs w:val="32"/>
        </w:rPr>
        <w:t> </w:t>
      </w:r>
      <w:r>
        <w:rPr>
          <w:rFonts w:hint="eastAsia" w:ascii="黑体" w:hAnsi="黑体" w:eastAsia="黑体"/>
          <w:color w:val="auto"/>
          <w:sz w:val="32"/>
          <w:szCs w:val="32"/>
        </w:rPr>
        <w:t xml:space="preserve"> 争议解决方式</w:t>
      </w:r>
    </w:p>
    <w:p w14:paraId="0AEDC2E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协议履行期间</w:t>
      </w:r>
      <w:r>
        <w:rPr>
          <w:rFonts w:hint="eastAsia" w:ascii="仿宋_GB2312" w:hAnsi="仿宋" w:eastAsia="仿宋_GB2312"/>
          <w:color w:val="auto"/>
          <w:sz w:val="32"/>
          <w:szCs w:val="32"/>
        </w:rPr>
        <w:t>，当事人之间发生争议的，应由双方协商解决；协商不成的，任何一方均可依法向有管辖权的人民法院起诉。</w:t>
      </w:r>
    </w:p>
    <w:p w14:paraId="177789B6">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一</w:t>
      </w:r>
      <w:r>
        <w:rPr>
          <w:rFonts w:hint="eastAsia" w:ascii="黑体" w:hAnsi="黑体" w:eastAsia="黑体"/>
          <w:color w:val="auto"/>
          <w:sz w:val="32"/>
          <w:szCs w:val="32"/>
        </w:rPr>
        <w:t>条</w:t>
      </w:r>
      <w:r>
        <w:rPr>
          <w:rFonts w:hint="eastAsia" w:eastAsia="黑体"/>
          <w:color w:val="auto"/>
          <w:sz w:val="32"/>
          <w:szCs w:val="32"/>
        </w:rPr>
        <w:t> </w:t>
      </w:r>
      <w:r>
        <w:rPr>
          <w:rFonts w:hint="eastAsia" w:ascii="黑体" w:hAnsi="黑体" w:eastAsia="黑体"/>
          <w:color w:val="auto"/>
          <w:sz w:val="32"/>
          <w:szCs w:val="32"/>
        </w:rPr>
        <w:t xml:space="preserve"> 其他约定事项</w:t>
      </w:r>
    </w:p>
    <w:p w14:paraId="01CFDA48">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1.本协议</w:t>
      </w:r>
      <w:r>
        <w:rPr>
          <w:rFonts w:hint="eastAsia" w:ascii="仿宋_GB2312" w:hAnsi="仿宋" w:eastAsia="仿宋_GB2312"/>
          <w:color w:val="auto"/>
          <w:sz w:val="32"/>
          <w:szCs w:val="32"/>
          <w:lang w:eastAsia="zh-CN"/>
        </w:rPr>
        <w:t>一经签订</w:t>
      </w:r>
      <w:r>
        <w:rPr>
          <w:rFonts w:hint="eastAsia" w:ascii="仿宋_GB2312" w:hAnsi="仿宋" w:eastAsia="仿宋_GB2312"/>
          <w:color w:val="auto"/>
          <w:sz w:val="32"/>
          <w:szCs w:val="32"/>
        </w:rPr>
        <w:t>，双方必须共同遵守。本协议的解除与变更依照《</w:t>
      </w:r>
      <w:r>
        <w:rPr>
          <w:rFonts w:hint="eastAsia" w:ascii="仿宋_GB2312" w:hAnsi="仿宋" w:eastAsia="仿宋_GB2312"/>
          <w:color w:val="auto"/>
          <w:sz w:val="32"/>
          <w:szCs w:val="32"/>
          <w:lang w:eastAsia="zh-CN"/>
        </w:rPr>
        <w:t>民法典</w:t>
      </w:r>
      <w:r>
        <w:rPr>
          <w:rFonts w:hint="eastAsia" w:ascii="仿宋_GB2312" w:hAnsi="仿宋" w:eastAsia="仿宋_GB2312"/>
          <w:color w:val="auto"/>
          <w:sz w:val="32"/>
          <w:szCs w:val="32"/>
        </w:rPr>
        <w:t>》和国家有关</w:t>
      </w:r>
      <w:r>
        <w:rPr>
          <w:rFonts w:hint="eastAsia" w:ascii="仿宋_GB2312" w:hAnsi="仿宋" w:eastAsia="仿宋_GB2312"/>
          <w:color w:val="auto"/>
          <w:sz w:val="32"/>
          <w:szCs w:val="32"/>
          <w:lang w:eastAsia="zh-CN"/>
        </w:rPr>
        <w:t>法律法规</w:t>
      </w:r>
      <w:r>
        <w:rPr>
          <w:rFonts w:hint="eastAsia" w:ascii="仿宋_GB2312" w:hAnsi="仿宋" w:eastAsia="仿宋_GB2312"/>
          <w:color w:val="auto"/>
          <w:sz w:val="32"/>
          <w:szCs w:val="32"/>
        </w:rPr>
        <w:t>处理。双方对本协议内容的变更或补充应采用书面形式订立</w:t>
      </w:r>
      <w:r>
        <w:rPr>
          <w:rFonts w:hint="eastAsia" w:ascii="仿宋_GB2312" w:hAnsi="仿宋" w:eastAsia="仿宋_GB2312"/>
          <w:color w:val="auto"/>
          <w:sz w:val="32"/>
          <w:szCs w:val="32"/>
          <w:lang w:eastAsia="zh-CN"/>
        </w:rPr>
        <w:t>；</w:t>
      </w:r>
    </w:p>
    <w:p w14:paraId="4C67010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2.本协议含附件《线路明细表》，未尽事宜，双方可在本协议外另行约定，但不得与本协议相抵触</w:t>
      </w:r>
      <w:r>
        <w:rPr>
          <w:rFonts w:hint="eastAsia" w:ascii="仿宋_GB2312" w:hAnsi="仿宋" w:eastAsia="仿宋_GB2312"/>
          <w:color w:val="auto"/>
          <w:sz w:val="32"/>
          <w:szCs w:val="32"/>
          <w:lang w:eastAsia="zh-CN"/>
        </w:rPr>
        <w:t>；</w:t>
      </w:r>
    </w:p>
    <w:p w14:paraId="7A064ACF">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3.乙方应制定运营安全保障制度和措施，作为本协议附件</w:t>
      </w:r>
      <w:r>
        <w:rPr>
          <w:rFonts w:hint="eastAsia" w:ascii="仿宋_GB2312" w:hAnsi="仿宋" w:eastAsia="仿宋_GB2312"/>
          <w:color w:val="auto"/>
          <w:sz w:val="32"/>
          <w:szCs w:val="32"/>
          <w:lang w:eastAsia="zh-CN"/>
        </w:rPr>
        <w:t>；</w:t>
      </w:r>
    </w:p>
    <w:p w14:paraId="3A84F12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4.本协议一式肆份，甲乙双方各持贰份。</w:t>
      </w:r>
    </w:p>
    <w:p w14:paraId="66E8DB6F">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p>
    <w:p w14:paraId="79922920">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附件：线路明细表</w:t>
      </w:r>
      <w:r>
        <w:rPr>
          <w:rFonts w:hint="eastAsia" w:ascii="仿宋_GB2312" w:hAnsi="仿宋" w:eastAsia="仿宋_GB2312"/>
          <w:color w:val="auto"/>
          <w:sz w:val="32"/>
          <w:szCs w:val="32"/>
          <w:lang w:val="en-US" w:eastAsia="zh-CN"/>
        </w:rPr>
        <w:t>（对应第一条第一款列明）</w:t>
      </w:r>
    </w:p>
    <w:p w14:paraId="42C86D07">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p>
    <w:p w14:paraId="47B7A867">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甲 方（盖章）： </w:t>
      </w:r>
      <w:r>
        <w:rPr>
          <w:rFonts w:hint="eastAsia" w:ascii="仿宋_GB2312" w:hAnsi="仿宋" w:eastAsia="仿宋_GB2312"/>
          <w:color w:val="auto"/>
          <w:sz w:val="32"/>
          <w:szCs w:val="32"/>
          <w:lang w:val="en-US" w:eastAsia="zh-CN"/>
        </w:rPr>
        <w:t>***交通运输局</w:t>
      </w:r>
    </w:p>
    <w:p w14:paraId="08B5B3B5">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法定代表人：</w:t>
      </w:r>
    </w:p>
    <w:p w14:paraId="0A4535EC">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rPr>
        <w:t>年</w:t>
      </w:r>
      <w:r>
        <w:rPr>
          <w:rFonts w:hint="eastAsia" w:eastAsia="仿宋_GB2312"/>
          <w:color w:val="auto"/>
          <w:sz w:val="32"/>
          <w:szCs w:val="32"/>
        </w:rPr>
        <w:t>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hAnsi="仿宋" w:eastAsia="仿宋_GB2312"/>
          <w:color w:val="auto"/>
          <w:sz w:val="32"/>
          <w:szCs w:val="32"/>
        </w:rPr>
        <w:t>月</w:t>
      </w:r>
      <w:r>
        <w:rPr>
          <w:rFonts w:hint="eastAsia" w:eastAsia="仿宋_GB2312"/>
          <w:color w:val="auto"/>
          <w:sz w:val="32"/>
          <w:szCs w:val="32"/>
        </w:rPr>
        <w:t>  </w:t>
      </w:r>
      <w:r>
        <w:rPr>
          <w:rFonts w:hint="eastAsia" w:ascii="仿宋_GB2312" w:hAnsi="仿宋" w:eastAsia="仿宋_GB2312"/>
          <w:color w:val="auto"/>
          <w:sz w:val="32"/>
          <w:szCs w:val="32"/>
        </w:rPr>
        <w:t xml:space="preserve">  日</w:t>
      </w:r>
    </w:p>
    <w:p w14:paraId="3861CBE5">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p>
    <w:p w14:paraId="3E95081B">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乙</w:t>
      </w:r>
      <w:r>
        <w:rPr>
          <w:rFonts w:hint="eastAsia" w:ascii="仿宋_GB2312" w:hAnsi="仿宋" w:eastAsia="仿宋_GB2312"/>
          <w:color w:val="auto"/>
          <w:sz w:val="32"/>
          <w:szCs w:val="32"/>
        </w:rPr>
        <w:t xml:space="preserve"> 方（盖章）： </w:t>
      </w:r>
      <w:r>
        <w:rPr>
          <w:rFonts w:hint="eastAsia" w:ascii="仿宋_GB2312" w:hAnsi="仿宋" w:eastAsia="仿宋_GB2312"/>
          <w:color w:val="auto"/>
          <w:sz w:val="32"/>
          <w:szCs w:val="32"/>
          <w:lang w:val="en-US" w:eastAsia="zh-CN"/>
        </w:rPr>
        <w:t>***公司</w:t>
      </w:r>
    </w:p>
    <w:p w14:paraId="7CD87D4F">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法定代表人：</w:t>
      </w:r>
    </w:p>
    <w:p w14:paraId="50B06EAD">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年</w:t>
      </w:r>
      <w:r>
        <w:rPr>
          <w:rFonts w:hint="eastAsia" w:eastAsia="仿宋_GB2312"/>
          <w:color w:val="auto"/>
          <w:sz w:val="32"/>
          <w:szCs w:val="32"/>
        </w:rPr>
        <w:t>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hAnsi="仿宋" w:eastAsia="仿宋_GB2312"/>
          <w:color w:val="auto"/>
          <w:sz w:val="32"/>
          <w:szCs w:val="32"/>
        </w:rPr>
        <w:t>月</w:t>
      </w:r>
      <w:r>
        <w:rPr>
          <w:rFonts w:hint="eastAsia" w:eastAsia="仿宋_GB2312"/>
          <w:color w:val="auto"/>
          <w:sz w:val="32"/>
          <w:szCs w:val="32"/>
        </w:rPr>
        <w:t>  </w:t>
      </w:r>
      <w:r>
        <w:rPr>
          <w:rFonts w:hint="eastAsia" w:ascii="仿宋_GB2312" w:hAnsi="仿宋" w:eastAsia="仿宋_GB2312"/>
          <w:color w:val="auto"/>
          <w:sz w:val="32"/>
          <w:szCs w:val="32"/>
        </w:rPr>
        <w:t xml:space="preserve">  日</w:t>
      </w:r>
    </w:p>
    <w:p w14:paraId="769A20E7">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p>
    <w:p w14:paraId="58F0A50C">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丙</w:t>
      </w:r>
      <w:r>
        <w:rPr>
          <w:rFonts w:hint="eastAsia" w:ascii="仿宋_GB2312" w:hAnsi="仿宋" w:eastAsia="仿宋_GB2312"/>
          <w:color w:val="auto"/>
          <w:sz w:val="32"/>
          <w:szCs w:val="32"/>
        </w:rPr>
        <w:t xml:space="preserve"> 方（</w:t>
      </w:r>
      <w:r>
        <w:rPr>
          <w:rFonts w:hint="eastAsia" w:ascii="仿宋_GB2312" w:hAnsi="仿宋" w:eastAsia="仿宋_GB2312"/>
          <w:color w:val="auto"/>
          <w:sz w:val="32"/>
          <w:szCs w:val="32"/>
          <w:lang w:eastAsia="zh-CN"/>
        </w:rPr>
        <w:t>如有</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***公司</w:t>
      </w:r>
    </w:p>
    <w:p w14:paraId="4B903F5F">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法定代表人：</w:t>
      </w:r>
    </w:p>
    <w:p w14:paraId="39C20F31">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年</w:t>
      </w:r>
      <w:r>
        <w:rPr>
          <w:rFonts w:hint="eastAsia" w:eastAsia="仿宋_GB2312"/>
          <w:color w:val="auto"/>
          <w:sz w:val="32"/>
          <w:szCs w:val="32"/>
        </w:rPr>
        <w:t>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hAnsi="仿宋" w:eastAsia="仿宋_GB2312"/>
          <w:color w:val="auto"/>
          <w:sz w:val="32"/>
          <w:szCs w:val="32"/>
        </w:rPr>
        <w:t>月</w:t>
      </w:r>
      <w:r>
        <w:rPr>
          <w:rFonts w:hint="eastAsia" w:eastAsia="仿宋_GB2312"/>
          <w:color w:val="auto"/>
          <w:sz w:val="32"/>
          <w:szCs w:val="32"/>
        </w:rPr>
        <w:t>  </w:t>
      </w:r>
      <w:r>
        <w:rPr>
          <w:rFonts w:hint="eastAsia" w:ascii="仿宋_GB2312" w:hAnsi="仿宋" w:eastAsia="仿宋_GB2312"/>
          <w:color w:val="auto"/>
          <w:sz w:val="32"/>
          <w:szCs w:val="32"/>
        </w:rPr>
        <w:t xml:space="preserve">  日</w:t>
      </w:r>
    </w:p>
    <w:p w14:paraId="509CF0FB">
      <w:pPr>
        <w:pStyle w:val="2"/>
        <w:keepNext w:val="0"/>
        <w:keepLines w:val="0"/>
        <w:pageBreakBefore w:val="0"/>
        <w:kinsoku/>
        <w:wordWrap/>
        <w:overflowPunct/>
        <w:topLinePunct w:val="0"/>
        <w:autoSpaceDE/>
        <w:autoSpaceDN/>
        <w:bidi w:val="0"/>
        <w:spacing w:after="0" w:line="576" w:lineRule="exact"/>
        <w:ind w:left="0" w:leftChars="0" w:firstLine="0" w:firstLineChars="0"/>
        <w:textAlignment w:val="auto"/>
        <w:rPr>
          <w:rFonts w:hint="eastAsia" w:ascii="仿宋_GB2312" w:hAnsi="仿宋" w:eastAsia="仿宋_GB2312" w:cs="Times New Roman"/>
          <w:color w:val="auto"/>
          <w:kern w:val="2"/>
          <w:sz w:val="32"/>
          <w:szCs w:val="32"/>
          <w:lang w:val="en-US" w:eastAsia="zh-CN" w:bidi="ar-SA"/>
        </w:rPr>
        <w:sectPr>
          <w:headerReference r:id="rId3" w:type="default"/>
          <w:footerReference r:id="rId4" w:type="default"/>
          <w:pgSz w:w="11906" w:h="16838"/>
          <w:pgMar w:top="2007" w:right="1588" w:bottom="1723" w:left="1588" w:header="851" w:footer="992" w:gutter="0"/>
          <w:pgNumType w:fmt="decimal" w:start="2"/>
          <w:cols w:space="720" w:num="1"/>
          <w:docGrid w:type="lines" w:linePitch="312" w:charSpace="0"/>
        </w:sectPr>
      </w:pPr>
    </w:p>
    <w:p w14:paraId="440F2710">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14:paraId="45912BF9">
      <w:pPr>
        <w:pStyle w:val="2"/>
        <w:ind w:left="0" w:leftChars="0" w:firstLine="0" w:firstLineChars="0"/>
        <w:rPr>
          <w:rFonts w:hint="eastAsia"/>
          <w:lang w:eastAsia="zh-CN"/>
        </w:rPr>
      </w:pPr>
    </w:p>
    <w:p w14:paraId="5251F488">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Times New Roman"/>
          <w:color w:val="auto"/>
          <w:kern w:val="2"/>
          <w:sz w:val="32"/>
          <w:szCs w:val="32"/>
          <w:lang w:val="en-US" w:eastAsia="zh-CN" w:bidi="ar-SA"/>
        </w:rPr>
      </w:pPr>
      <w:r>
        <w:rPr>
          <w:rFonts w:hint="eastAsia" w:ascii="方正小标宋简体" w:hAnsi="仿宋" w:eastAsia="方正小标宋简体"/>
          <w:color w:val="auto"/>
          <w:sz w:val="44"/>
          <w:szCs w:val="44"/>
          <w:lang w:eastAsia="zh-CN"/>
        </w:rPr>
        <w:t>线路明细表</w:t>
      </w:r>
    </w:p>
    <w:tbl>
      <w:tblPr>
        <w:tblStyle w:val="10"/>
        <w:tblpPr w:leftFromText="180" w:rightFromText="180" w:vertAnchor="text" w:horzAnchor="page" w:tblpX="1642" w:tblpY="6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3"/>
      </w:tblGrid>
      <w:tr w14:paraId="4F04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14:paraId="35629F7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r>
              <w:rPr>
                <w:rFonts w:hint="eastAsia" w:ascii="楷体_GB2312" w:hAnsi="楷体_GB2312" w:eastAsia="楷体_GB2312" w:cs="楷体_GB2312"/>
                <w:color w:val="auto"/>
                <w:kern w:val="2"/>
                <w:sz w:val="32"/>
                <w:szCs w:val="32"/>
                <w:lang w:val="en-US" w:eastAsia="zh-CN" w:bidi="ar-SA"/>
              </w:rPr>
              <w:t>线路起始站点</w:t>
            </w:r>
          </w:p>
        </w:tc>
        <w:tc>
          <w:tcPr>
            <w:tcW w:w="4473" w:type="dxa"/>
            <w:noWrap w:val="0"/>
            <w:vAlign w:val="center"/>
          </w:tcPr>
          <w:p w14:paraId="252A5A4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p>
        </w:tc>
      </w:tr>
      <w:tr w14:paraId="286E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14:paraId="2894AC5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r>
              <w:rPr>
                <w:rFonts w:hint="eastAsia" w:ascii="楷体_GB2312" w:hAnsi="楷体_GB2312" w:eastAsia="楷体_GB2312" w:cs="楷体_GB2312"/>
                <w:color w:val="auto"/>
                <w:kern w:val="2"/>
                <w:sz w:val="32"/>
                <w:szCs w:val="32"/>
                <w:lang w:val="en-US" w:eastAsia="zh-CN" w:bidi="ar-SA"/>
              </w:rPr>
              <w:t>途经线路</w:t>
            </w:r>
          </w:p>
        </w:tc>
        <w:tc>
          <w:tcPr>
            <w:tcW w:w="4473" w:type="dxa"/>
            <w:noWrap w:val="0"/>
            <w:vAlign w:val="center"/>
          </w:tcPr>
          <w:p w14:paraId="67835D4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p>
        </w:tc>
      </w:tr>
      <w:tr w14:paraId="54D3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14:paraId="3A487BF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r>
              <w:rPr>
                <w:rFonts w:hint="eastAsia" w:ascii="楷体_GB2312" w:hAnsi="楷体_GB2312" w:eastAsia="楷体_GB2312" w:cs="楷体_GB2312"/>
                <w:color w:val="auto"/>
                <w:kern w:val="2"/>
                <w:sz w:val="32"/>
                <w:szCs w:val="32"/>
                <w:lang w:val="en-US" w:eastAsia="zh-CN" w:bidi="ar-SA"/>
              </w:rPr>
              <w:t>经停站点</w:t>
            </w:r>
          </w:p>
        </w:tc>
        <w:tc>
          <w:tcPr>
            <w:tcW w:w="4473" w:type="dxa"/>
            <w:noWrap w:val="0"/>
            <w:vAlign w:val="center"/>
          </w:tcPr>
          <w:p w14:paraId="176EAC6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p>
        </w:tc>
      </w:tr>
      <w:tr w14:paraId="5F5F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14:paraId="36B6838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r>
              <w:rPr>
                <w:rFonts w:hint="eastAsia" w:ascii="楷体_GB2312" w:hAnsi="楷体_GB2312" w:eastAsia="楷体_GB2312" w:cs="楷体_GB2312"/>
                <w:color w:val="auto"/>
                <w:kern w:val="2"/>
                <w:sz w:val="32"/>
                <w:szCs w:val="32"/>
                <w:lang w:val="en-US" w:eastAsia="zh-CN" w:bidi="ar-SA"/>
              </w:rPr>
              <w:t>营运里程</w:t>
            </w:r>
          </w:p>
        </w:tc>
        <w:tc>
          <w:tcPr>
            <w:tcW w:w="4473" w:type="dxa"/>
            <w:noWrap w:val="0"/>
            <w:vAlign w:val="center"/>
          </w:tcPr>
          <w:p w14:paraId="1700D67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p>
        </w:tc>
      </w:tr>
      <w:tr w14:paraId="4EC0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14:paraId="2A45641D">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日发班次</w:t>
            </w:r>
          </w:p>
        </w:tc>
        <w:tc>
          <w:tcPr>
            <w:tcW w:w="4473" w:type="dxa"/>
            <w:noWrap w:val="0"/>
            <w:vAlign w:val="center"/>
          </w:tcPr>
          <w:p w14:paraId="2A2AF7D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p>
        </w:tc>
      </w:tr>
      <w:tr w14:paraId="4C04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14:paraId="7C24109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r>
              <w:rPr>
                <w:rFonts w:hint="eastAsia" w:ascii="楷体_GB2312" w:hAnsi="楷体_GB2312" w:eastAsia="楷体_GB2312" w:cs="楷体_GB2312"/>
                <w:color w:val="auto"/>
                <w:kern w:val="2"/>
                <w:sz w:val="32"/>
                <w:szCs w:val="32"/>
                <w:lang w:val="en-US" w:eastAsia="zh-CN" w:bidi="ar-SA"/>
              </w:rPr>
              <w:t>首末班时间</w:t>
            </w:r>
          </w:p>
        </w:tc>
        <w:tc>
          <w:tcPr>
            <w:tcW w:w="4473" w:type="dxa"/>
            <w:noWrap w:val="0"/>
            <w:vAlign w:val="center"/>
          </w:tcPr>
          <w:p w14:paraId="2001866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p>
        </w:tc>
      </w:tr>
      <w:tr w14:paraId="3CCF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14:paraId="5AF7AD9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r>
              <w:rPr>
                <w:rFonts w:hint="eastAsia" w:ascii="楷体_GB2312" w:hAnsi="楷体_GB2312" w:eastAsia="楷体_GB2312" w:cs="楷体_GB2312"/>
                <w:color w:val="auto"/>
                <w:kern w:val="2"/>
                <w:sz w:val="32"/>
                <w:szCs w:val="32"/>
                <w:lang w:val="en-US" w:eastAsia="zh-CN" w:bidi="ar-SA"/>
              </w:rPr>
              <w:t>发车间隔</w:t>
            </w:r>
          </w:p>
        </w:tc>
        <w:tc>
          <w:tcPr>
            <w:tcW w:w="4473" w:type="dxa"/>
            <w:noWrap w:val="0"/>
            <w:vAlign w:val="center"/>
          </w:tcPr>
          <w:p w14:paraId="69065CB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p>
        </w:tc>
      </w:tr>
      <w:tr w14:paraId="3533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14:paraId="0EF19918">
            <w:pPr>
              <w:pStyle w:val="2"/>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楷体_GB2312" w:hAnsi="楷体_GB2312" w:eastAsia="楷体_GB2312" w:cs="楷体_GB2312"/>
                <w:color w:val="auto"/>
                <w:kern w:val="2"/>
                <w:sz w:val="32"/>
                <w:szCs w:val="32"/>
                <w:vertAlign w:val="baseline"/>
                <w:lang w:val="en-US" w:eastAsia="zh-CN" w:bidi="ar-SA"/>
              </w:rPr>
            </w:pPr>
            <w:r>
              <w:rPr>
                <w:rFonts w:hint="eastAsia" w:ascii="楷体_GB2312" w:hAnsi="楷体_GB2312" w:eastAsia="楷体_GB2312" w:cs="楷体_GB2312"/>
                <w:color w:val="auto"/>
                <w:kern w:val="2"/>
                <w:sz w:val="32"/>
                <w:szCs w:val="32"/>
                <w:lang w:val="en-US" w:eastAsia="zh-CN" w:bidi="ar-SA"/>
              </w:rPr>
              <w:t>投入营运车辆车型、数量、座位数</w:t>
            </w:r>
          </w:p>
        </w:tc>
        <w:tc>
          <w:tcPr>
            <w:tcW w:w="4473" w:type="dxa"/>
            <w:noWrap w:val="0"/>
            <w:vAlign w:val="center"/>
          </w:tcPr>
          <w:p w14:paraId="3643234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p>
        </w:tc>
      </w:tr>
      <w:tr w14:paraId="3AC1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14:paraId="1909E04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票价</w:t>
            </w:r>
          </w:p>
        </w:tc>
        <w:tc>
          <w:tcPr>
            <w:tcW w:w="4473" w:type="dxa"/>
            <w:noWrap w:val="0"/>
            <w:vAlign w:val="center"/>
          </w:tcPr>
          <w:p w14:paraId="5A5588F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_GB2312" w:hAnsi="楷体_GB2312" w:eastAsia="楷体_GB2312" w:cs="楷体_GB2312"/>
                <w:color w:val="auto"/>
                <w:kern w:val="2"/>
                <w:sz w:val="32"/>
                <w:szCs w:val="32"/>
                <w:vertAlign w:val="baseline"/>
                <w:lang w:val="en-US" w:eastAsia="zh-CN" w:bidi="ar-SA"/>
              </w:rPr>
            </w:pPr>
          </w:p>
        </w:tc>
      </w:tr>
    </w:tbl>
    <w:p w14:paraId="2928F93B">
      <w:pPr>
        <w:pStyle w:val="2"/>
        <w:tabs>
          <w:tab w:val="left" w:pos="398"/>
        </w:tabs>
        <w:ind w:left="0" w:leftChars="0" w:firstLine="0" w:firstLineChars="0"/>
        <w:rPr>
          <w:rFonts w:hint="eastAsia" w:eastAsia="宋体"/>
          <w:lang w:eastAsia="zh-CN"/>
        </w:rPr>
      </w:pPr>
    </w:p>
    <w:p w14:paraId="61F03F3B">
      <w:pPr>
        <w:pStyle w:val="2"/>
        <w:rPr>
          <w:rFonts w:hint="default"/>
        </w:rPr>
        <w:sectPr>
          <w:pgSz w:w="11906" w:h="16838"/>
          <w:pgMar w:top="1814" w:right="1474" w:bottom="1814" w:left="1474" w:header="851" w:footer="992" w:gutter="0"/>
          <w:pgNumType w:fmt="decimal" w:start="1"/>
          <w:cols w:space="0" w:num="1"/>
          <w:rtlGutter w:val="0"/>
          <w:docGrid w:type="linesAndChars" w:linePitch="600" w:charSpace="-15"/>
        </w:sectPr>
      </w:pPr>
    </w:p>
    <w:p w14:paraId="55D4EAC4">
      <w:pPr>
        <w:pStyle w:val="2"/>
        <w:rPr>
          <w:rFonts w:hint="default"/>
        </w:rPr>
      </w:pPr>
    </w:p>
    <w:p w14:paraId="1354B5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rPr>
      </w:pPr>
    </w:p>
    <w:p w14:paraId="1AC5CF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rPr>
      </w:pPr>
    </w:p>
    <w:p w14:paraId="21E8D9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sectPr>
      <w:pgSz w:w="11906" w:h="16838"/>
      <w:pgMar w:top="1814" w:right="1474" w:bottom="1814" w:left="1474" w:header="851" w:footer="992" w:gutter="0"/>
      <w:pgNumType w:fmt="decimal" w:start="1"/>
      <w:cols w:space="0" w:num="1"/>
      <w:rtlGutter w:val="0"/>
      <w:docGrid w:type="linesAndChars" w:linePitch="600"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楷体-GB18030">
    <w:altName w:val="宋体"/>
    <w:panose1 w:val="02000500000000000000"/>
    <w:charset w:val="86"/>
    <w:family w:val="auto"/>
    <w:pitch w:val="default"/>
    <w:sig w:usb0="00000000" w:usb1="00000000"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1F9A4">
    <w:pPr>
      <w:pStyle w:val="6"/>
      <w:ind w:right="320" w:rightChars="100"/>
      <w:jc w:val="right"/>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19A31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19A31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DF0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300"/>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ZjIyYTk2MmI0MmZmNDg1M2JhYWYyOGE4OTBkMzAifQ=="/>
  </w:docVars>
  <w:rsids>
    <w:rsidRoot w:val="00172A27"/>
    <w:rsid w:val="00001344"/>
    <w:rsid w:val="000015E5"/>
    <w:rsid w:val="00006DAC"/>
    <w:rsid w:val="000149C6"/>
    <w:rsid w:val="00014CD3"/>
    <w:rsid w:val="000204C6"/>
    <w:rsid w:val="00021C6E"/>
    <w:rsid w:val="000264A7"/>
    <w:rsid w:val="00031EDC"/>
    <w:rsid w:val="00035EEA"/>
    <w:rsid w:val="0004126D"/>
    <w:rsid w:val="000431AE"/>
    <w:rsid w:val="00043958"/>
    <w:rsid w:val="00047BCC"/>
    <w:rsid w:val="000570EB"/>
    <w:rsid w:val="00064CB0"/>
    <w:rsid w:val="0006543D"/>
    <w:rsid w:val="00067B57"/>
    <w:rsid w:val="0007417D"/>
    <w:rsid w:val="000741BE"/>
    <w:rsid w:val="00077458"/>
    <w:rsid w:val="00077972"/>
    <w:rsid w:val="0008492D"/>
    <w:rsid w:val="00087B4D"/>
    <w:rsid w:val="000905DE"/>
    <w:rsid w:val="00097B70"/>
    <w:rsid w:val="000A1D6E"/>
    <w:rsid w:val="000A68DD"/>
    <w:rsid w:val="000B065F"/>
    <w:rsid w:val="000B3828"/>
    <w:rsid w:val="000B5D50"/>
    <w:rsid w:val="000C27BB"/>
    <w:rsid w:val="000C592F"/>
    <w:rsid w:val="000C6525"/>
    <w:rsid w:val="000C6AFA"/>
    <w:rsid w:val="000D2BB2"/>
    <w:rsid w:val="000D3329"/>
    <w:rsid w:val="000D4123"/>
    <w:rsid w:val="000D6B41"/>
    <w:rsid w:val="000E0151"/>
    <w:rsid w:val="000E1891"/>
    <w:rsid w:val="000E52BF"/>
    <w:rsid w:val="000F0725"/>
    <w:rsid w:val="000F4B15"/>
    <w:rsid w:val="000F4EF1"/>
    <w:rsid w:val="000F5C40"/>
    <w:rsid w:val="00104BD2"/>
    <w:rsid w:val="0010519C"/>
    <w:rsid w:val="00110E4B"/>
    <w:rsid w:val="001174B1"/>
    <w:rsid w:val="0012387F"/>
    <w:rsid w:val="0012731C"/>
    <w:rsid w:val="00132DA7"/>
    <w:rsid w:val="0013685F"/>
    <w:rsid w:val="00137430"/>
    <w:rsid w:val="00141577"/>
    <w:rsid w:val="00141755"/>
    <w:rsid w:val="00143364"/>
    <w:rsid w:val="001448A3"/>
    <w:rsid w:val="001519D4"/>
    <w:rsid w:val="00154BD9"/>
    <w:rsid w:val="00156FA9"/>
    <w:rsid w:val="00166A1F"/>
    <w:rsid w:val="00172A27"/>
    <w:rsid w:val="001749C3"/>
    <w:rsid w:val="00176178"/>
    <w:rsid w:val="001839EC"/>
    <w:rsid w:val="00184383"/>
    <w:rsid w:val="001852BA"/>
    <w:rsid w:val="00187E70"/>
    <w:rsid w:val="00193D20"/>
    <w:rsid w:val="001A3546"/>
    <w:rsid w:val="001A4FAC"/>
    <w:rsid w:val="001B3A1D"/>
    <w:rsid w:val="001B684F"/>
    <w:rsid w:val="001B6E9A"/>
    <w:rsid w:val="001B6F59"/>
    <w:rsid w:val="001B713E"/>
    <w:rsid w:val="001B72C0"/>
    <w:rsid w:val="001C5CAC"/>
    <w:rsid w:val="001D0273"/>
    <w:rsid w:val="001D0755"/>
    <w:rsid w:val="001D1C5E"/>
    <w:rsid w:val="001D47DE"/>
    <w:rsid w:val="001E66D2"/>
    <w:rsid w:val="001F26CE"/>
    <w:rsid w:val="001F3562"/>
    <w:rsid w:val="001F56C1"/>
    <w:rsid w:val="0020084F"/>
    <w:rsid w:val="0020224C"/>
    <w:rsid w:val="00203E40"/>
    <w:rsid w:val="002073FA"/>
    <w:rsid w:val="00211298"/>
    <w:rsid w:val="00211DEA"/>
    <w:rsid w:val="00212939"/>
    <w:rsid w:val="00215842"/>
    <w:rsid w:val="00215E05"/>
    <w:rsid w:val="00222EB2"/>
    <w:rsid w:val="002246AD"/>
    <w:rsid w:val="00226093"/>
    <w:rsid w:val="002308F0"/>
    <w:rsid w:val="00231DC7"/>
    <w:rsid w:val="00233908"/>
    <w:rsid w:val="00234F27"/>
    <w:rsid w:val="002408BF"/>
    <w:rsid w:val="00241F77"/>
    <w:rsid w:val="00243DD5"/>
    <w:rsid w:val="00244A95"/>
    <w:rsid w:val="00260331"/>
    <w:rsid w:val="0026217F"/>
    <w:rsid w:val="00263AA2"/>
    <w:rsid w:val="00263FA6"/>
    <w:rsid w:val="00266279"/>
    <w:rsid w:val="00270E1D"/>
    <w:rsid w:val="0027443C"/>
    <w:rsid w:val="002753EA"/>
    <w:rsid w:val="00280829"/>
    <w:rsid w:val="00287D29"/>
    <w:rsid w:val="00290840"/>
    <w:rsid w:val="00291C38"/>
    <w:rsid w:val="0029262A"/>
    <w:rsid w:val="0029447D"/>
    <w:rsid w:val="00296AE5"/>
    <w:rsid w:val="00296C69"/>
    <w:rsid w:val="002A7B66"/>
    <w:rsid w:val="002B1BAD"/>
    <w:rsid w:val="002B2FF8"/>
    <w:rsid w:val="002B6C30"/>
    <w:rsid w:val="002C1BB4"/>
    <w:rsid w:val="002C1DCF"/>
    <w:rsid w:val="002C50D7"/>
    <w:rsid w:val="002C5516"/>
    <w:rsid w:val="002C6A18"/>
    <w:rsid w:val="002C7999"/>
    <w:rsid w:val="002C7FAA"/>
    <w:rsid w:val="002D6C78"/>
    <w:rsid w:val="002E1A42"/>
    <w:rsid w:val="002E28F9"/>
    <w:rsid w:val="002E2E63"/>
    <w:rsid w:val="002F2937"/>
    <w:rsid w:val="002F2C16"/>
    <w:rsid w:val="002F4223"/>
    <w:rsid w:val="00300E23"/>
    <w:rsid w:val="00301D51"/>
    <w:rsid w:val="00302B0D"/>
    <w:rsid w:val="00312D91"/>
    <w:rsid w:val="00315343"/>
    <w:rsid w:val="003156E4"/>
    <w:rsid w:val="00316F0C"/>
    <w:rsid w:val="00316F6B"/>
    <w:rsid w:val="003170A0"/>
    <w:rsid w:val="00321C80"/>
    <w:rsid w:val="003234FA"/>
    <w:rsid w:val="00326C3E"/>
    <w:rsid w:val="0033414E"/>
    <w:rsid w:val="00334862"/>
    <w:rsid w:val="00337AA0"/>
    <w:rsid w:val="00341761"/>
    <w:rsid w:val="00344912"/>
    <w:rsid w:val="00345AB9"/>
    <w:rsid w:val="00346273"/>
    <w:rsid w:val="003470B2"/>
    <w:rsid w:val="00357AC2"/>
    <w:rsid w:val="003601CB"/>
    <w:rsid w:val="00361F3A"/>
    <w:rsid w:val="00363F3A"/>
    <w:rsid w:val="0037042C"/>
    <w:rsid w:val="003714E8"/>
    <w:rsid w:val="0038004D"/>
    <w:rsid w:val="0038254B"/>
    <w:rsid w:val="00383F4F"/>
    <w:rsid w:val="00391FC1"/>
    <w:rsid w:val="0039259D"/>
    <w:rsid w:val="0039489D"/>
    <w:rsid w:val="00394F72"/>
    <w:rsid w:val="00396606"/>
    <w:rsid w:val="003975AE"/>
    <w:rsid w:val="00397B60"/>
    <w:rsid w:val="003A20FD"/>
    <w:rsid w:val="003A3682"/>
    <w:rsid w:val="003A3ECD"/>
    <w:rsid w:val="003B14C3"/>
    <w:rsid w:val="003B424B"/>
    <w:rsid w:val="003B67F5"/>
    <w:rsid w:val="003B6A91"/>
    <w:rsid w:val="003C02BB"/>
    <w:rsid w:val="003C10DC"/>
    <w:rsid w:val="003C153D"/>
    <w:rsid w:val="003C2452"/>
    <w:rsid w:val="003C68C1"/>
    <w:rsid w:val="003D30DA"/>
    <w:rsid w:val="003E4AD9"/>
    <w:rsid w:val="003E631D"/>
    <w:rsid w:val="003F0FE2"/>
    <w:rsid w:val="003F4F0C"/>
    <w:rsid w:val="00400248"/>
    <w:rsid w:val="0040372D"/>
    <w:rsid w:val="00405989"/>
    <w:rsid w:val="004145D8"/>
    <w:rsid w:val="00414F40"/>
    <w:rsid w:val="00415E81"/>
    <w:rsid w:val="00422880"/>
    <w:rsid w:val="004251EB"/>
    <w:rsid w:val="00425219"/>
    <w:rsid w:val="0043154C"/>
    <w:rsid w:val="00432C88"/>
    <w:rsid w:val="004337E0"/>
    <w:rsid w:val="00437727"/>
    <w:rsid w:val="00443558"/>
    <w:rsid w:val="004462BB"/>
    <w:rsid w:val="004513E0"/>
    <w:rsid w:val="004554B7"/>
    <w:rsid w:val="00464A10"/>
    <w:rsid w:val="00465178"/>
    <w:rsid w:val="004663E8"/>
    <w:rsid w:val="00471B7D"/>
    <w:rsid w:val="00474937"/>
    <w:rsid w:val="00476F8A"/>
    <w:rsid w:val="00477361"/>
    <w:rsid w:val="004915B9"/>
    <w:rsid w:val="00493126"/>
    <w:rsid w:val="004A1504"/>
    <w:rsid w:val="004A4C1F"/>
    <w:rsid w:val="004A6C66"/>
    <w:rsid w:val="004B007A"/>
    <w:rsid w:val="004B331B"/>
    <w:rsid w:val="004C197F"/>
    <w:rsid w:val="004C5C33"/>
    <w:rsid w:val="004D1616"/>
    <w:rsid w:val="004D1B20"/>
    <w:rsid w:val="004E0E9B"/>
    <w:rsid w:val="004E27B3"/>
    <w:rsid w:val="004F4075"/>
    <w:rsid w:val="004F5C04"/>
    <w:rsid w:val="00503650"/>
    <w:rsid w:val="005066FC"/>
    <w:rsid w:val="00510244"/>
    <w:rsid w:val="005134A4"/>
    <w:rsid w:val="00515209"/>
    <w:rsid w:val="005174FD"/>
    <w:rsid w:val="00521803"/>
    <w:rsid w:val="0053070B"/>
    <w:rsid w:val="00533296"/>
    <w:rsid w:val="00533BCC"/>
    <w:rsid w:val="005353C1"/>
    <w:rsid w:val="00537285"/>
    <w:rsid w:val="00541A01"/>
    <w:rsid w:val="00553210"/>
    <w:rsid w:val="00567137"/>
    <w:rsid w:val="00570EDB"/>
    <w:rsid w:val="00571CB6"/>
    <w:rsid w:val="005739EB"/>
    <w:rsid w:val="00581B29"/>
    <w:rsid w:val="00582253"/>
    <w:rsid w:val="005839B2"/>
    <w:rsid w:val="0058579A"/>
    <w:rsid w:val="005900C8"/>
    <w:rsid w:val="00592AAE"/>
    <w:rsid w:val="005A131A"/>
    <w:rsid w:val="005A1600"/>
    <w:rsid w:val="005A3A27"/>
    <w:rsid w:val="005B22AC"/>
    <w:rsid w:val="005B3229"/>
    <w:rsid w:val="005B5FD0"/>
    <w:rsid w:val="005C2692"/>
    <w:rsid w:val="005C2B4B"/>
    <w:rsid w:val="005C588C"/>
    <w:rsid w:val="005D2B07"/>
    <w:rsid w:val="005D35C0"/>
    <w:rsid w:val="005D3A00"/>
    <w:rsid w:val="005D4F92"/>
    <w:rsid w:val="005D5AEC"/>
    <w:rsid w:val="005D5D7C"/>
    <w:rsid w:val="005D7E3B"/>
    <w:rsid w:val="005F4DEB"/>
    <w:rsid w:val="005F52A8"/>
    <w:rsid w:val="005F5637"/>
    <w:rsid w:val="005F73DC"/>
    <w:rsid w:val="006004F5"/>
    <w:rsid w:val="006014E7"/>
    <w:rsid w:val="00602DC0"/>
    <w:rsid w:val="00603B66"/>
    <w:rsid w:val="00603C9F"/>
    <w:rsid w:val="006116B3"/>
    <w:rsid w:val="00614778"/>
    <w:rsid w:val="00614DE2"/>
    <w:rsid w:val="00615656"/>
    <w:rsid w:val="006163E2"/>
    <w:rsid w:val="00616CD6"/>
    <w:rsid w:val="006272B6"/>
    <w:rsid w:val="0063490A"/>
    <w:rsid w:val="0064145C"/>
    <w:rsid w:val="006459E3"/>
    <w:rsid w:val="0064723C"/>
    <w:rsid w:val="00650A71"/>
    <w:rsid w:val="00656B1C"/>
    <w:rsid w:val="00657DA7"/>
    <w:rsid w:val="00667FC0"/>
    <w:rsid w:val="00675F61"/>
    <w:rsid w:val="00676683"/>
    <w:rsid w:val="006801AD"/>
    <w:rsid w:val="006802F8"/>
    <w:rsid w:val="006859C4"/>
    <w:rsid w:val="00685DA3"/>
    <w:rsid w:val="00693A82"/>
    <w:rsid w:val="00694B6F"/>
    <w:rsid w:val="006A13A0"/>
    <w:rsid w:val="006A1B63"/>
    <w:rsid w:val="006A4BC4"/>
    <w:rsid w:val="006A50D1"/>
    <w:rsid w:val="006A692D"/>
    <w:rsid w:val="006A79BE"/>
    <w:rsid w:val="006B0CB8"/>
    <w:rsid w:val="006B1672"/>
    <w:rsid w:val="006B6FE0"/>
    <w:rsid w:val="006C34CA"/>
    <w:rsid w:val="006D6A5F"/>
    <w:rsid w:val="006D7639"/>
    <w:rsid w:val="006E1E93"/>
    <w:rsid w:val="006F2C60"/>
    <w:rsid w:val="006F368B"/>
    <w:rsid w:val="006F6F6C"/>
    <w:rsid w:val="0070622F"/>
    <w:rsid w:val="00711792"/>
    <w:rsid w:val="007122F8"/>
    <w:rsid w:val="00712766"/>
    <w:rsid w:val="007133A2"/>
    <w:rsid w:val="00715656"/>
    <w:rsid w:val="00716E79"/>
    <w:rsid w:val="007200AE"/>
    <w:rsid w:val="007228C7"/>
    <w:rsid w:val="00722A89"/>
    <w:rsid w:val="00723F7D"/>
    <w:rsid w:val="00734857"/>
    <w:rsid w:val="00735240"/>
    <w:rsid w:val="00736252"/>
    <w:rsid w:val="00740CBA"/>
    <w:rsid w:val="0074172A"/>
    <w:rsid w:val="007447A2"/>
    <w:rsid w:val="0074556E"/>
    <w:rsid w:val="00757786"/>
    <w:rsid w:val="00761A87"/>
    <w:rsid w:val="00761B2E"/>
    <w:rsid w:val="00764402"/>
    <w:rsid w:val="007645CE"/>
    <w:rsid w:val="00765853"/>
    <w:rsid w:val="00770679"/>
    <w:rsid w:val="007758FC"/>
    <w:rsid w:val="00776091"/>
    <w:rsid w:val="007808B9"/>
    <w:rsid w:val="00781257"/>
    <w:rsid w:val="00783C06"/>
    <w:rsid w:val="007875DF"/>
    <w:rsid w:val="007915F7"/>
    <w:rsid w:val="007A477D"/>
    <w:rsid w:val="007A4EE1"/>
    <w:rsid w:val="007A6B25"/>
    <w:rsid w:val="007B1758"/>
    <w:rsid w:val="007C0516"/>
    <w:rsid w:val="007C16FF"/>
    <w:rsid w:val="007D27DD"/>
    <w:rsid w:val="007D69FA"/>
    <w:rsid w:val="007D6C43"/>
    <w:rsid w:val="007E0FAF"/>
    <w:rsid w:val="007E6A16"/>
    <w:rsid w:val="007F1020"/>
    <w:rsid w:val="007F173F"/>
    <w:rsid w:val="007F20DE"/>
    <w:rsid w:val="007F4D30"/>
    <w:rsid w:val="007F5841"/>
    <w:rsid w:val="007F5964"/>
    <w:rsid w:val="007F59C8"/>
    <w:rsid w:val="007F62AD"/>
    <w:rsid w:val="0080379C"/>
    <w:rsid w:val="008122D3"/>
    <w:rsid w:val="008155BD"/>
    <w:rsid w:val="00820FBA"/>
    <w:rsid w:val="00821DA8"/>
    <w:rsid w:val="00823539"/>
    <w:rsid w:val="0082619A"/>
    <w:rsid w:val="008302E3"/>
    <w:rsid w:val="008401AB"/>
    <w:rsid w:val="00841C34"/>
    <w:rsid w:val="00842579"/>
    <w:rsid w:val="00851B76"/>
    <w:rsid w:val="0085248F"/>
    <w:rsid w:val="008608CE"/>
    <w:rsid w:val="00861578"/>
    <w:rsid w:val="008630B7"/>
    <w:rsid w:val="00863D43"/>
    <w:rsid w:val="00867A3F"/>
    <w:rsid w:val="00876A60"/>
    <w:rsid w:val="00881C64"/>
    <w:rsid w:val="00883FB1"/>
    <w:rsid w:val="00885A06"/>
    <w:rsid w:val="00890078"/>
    <w:rsid w:val="00891462"/>
    <w:rsid w:val="008929C8"/>
    <w:rsid w:val="0089351A"/>
    <w:rsid w:val="00897A28"/>
    <w:rsid w:val="008A1F98"/>
    <w:rsid w:val="008A58D6"/>
    <w:rsid w:val="008C059B"/>
    <w:rsid w:val="008C3BF3"/>
    <w:rsid w:val="008C4F03"/>
    <w:rsid w:val="008C758E"/>
    <w:rsid w:val="008C7EAB"/>
    <w:rsid w:val="008D3882"/>
    <w:rsid w:val="008D601A"/>
    <w:rsid w:val="008D71AC"/>
    <w:rsid w:val="008E0049"/>
    <w:rsid w:val="008E6007"/>
    <w:rsid w:val="008E7EE9"/>
    <w:rsid w:val="008F24B9"/>
    <w:rsid w:val="008F253D"/>
    <w:rsid w:val="00900637"/>
    <w:rsid w:val="00905D11"/>
    <w:rsid w:val="00912FB0"/>
    <w:rsid w:val="0092357F"/>
    <w:rsid w:val="009244A5"/>
    <w:rsid w:val="00927B78"/>
    <w:rsid w:val="009345F1"/>
    <w:rsid w:val="0094263D"/>
    <w:rsid w:val="00942CA2"/>
    <w:rsid w:val="009442AF"/>
    <w:rsid w:val="0094442B"/>
    <w:rsid w:val="009471BE"/>
    <w:rsid w:val="0095491A"/>
    <w:rsid w:val="0095538B"/>
    <w:rsid w:val="009571FB"/>
    <w:rsid w:val="0096162D"/>
    <w:rsid w:val="009617BB"/>
    <w:rsid w:val="00964476"/>
    <w:rsid w:val="00967DAB"/>
    <w:rsid w:val="00971C28"/>
    <w:rsid w:val="00973A57"/>
    <w:rsid w:val="00980F3A"/>
    <w:rsid w:val="00991E95"/>
    <w:rsid w:val="00992DCD"/>
    <w:rsid w:val="00995E56"/>
    <w:rsid w:val="009B10D7"/>
    <w:rsid w:val="009B165C"/>
    <w:rsid w:val="009B2EEE"/>
    <w:rsid w:val="009B34A5"/>
    <w:rsid w:val="009C0465"/>
    <w:rsid w:val="009C4A0C"/>
    <w:rsid w:val="009C5A71"/>
    <w:rsid w:val="009C680B"/>
    <w:rsid w:val="009C7E13"/>
    <w:rsid w:val="009D29FF"/>
    <w:rsid w:val="009D5486"/>
    <w:rsid w:val="009E00B6"/>
    <w:rsid w:val="009E3645"/>
    <w:rsid w:val="009F1B94"/>
    <w:rsid w:val="009F2645"/>
    <w:rsid w:val="009F3B1D"/>
    <w:rsid w:val="00A0045B"/>
    <w:rsid w:val="00A0605A"/>
    <w:rsid w:val="00A069AC"/>
    <w:rsid w:val="00A07019"/>
    <w:rsid w:val="00A125EC"/>
    <w:rsid w:val="00A2150E"/>
    <w:rsid w:val="00A23DF0"/>
    <w:rsid w:val="00A24583"/>
    <w:rsid w:val="00A24A67"/>
    <w:rsid w:val="00A32F57"/>
    <w:rsid w:val="00A373CF"/>
    <w:rsid w:val="00A43C5A"/>
    <w:rsid w:val="00A44CCE"/>
    <w:rsid w:val="00A4698C"/>
    <w:rsid w:val="00A5019C"/>
    <w:rsid w:val="00A50F7B"/>
    <w:rsid w:val="00A56259"/>
    <w:rsid w:val="00A56F0B"/>
    <w:rsid w:val="00A6185F"/>
    <w:rsid w:val="00A618EC"/>
    <w:rsid w:val="00A648E2"/>
    <w:rsid w:val="00A65637"/>
    <w:rsid w:val="00A67FB6"/>
    <w:rsid w:val="00A7248B"/>
    <w:rsid w:val="00A82060"/>
    <w:rsid w:val="00A8381F"/>
    <w:rsid w:val="00A868AB"/>
    <w:rsid w:val="00A91DCC"/>
    <w:rsid w:val="00AA0A4E"/>
    <w:rsid w:val="00AA12AF"/>
    <w:rsid w:val="00AA173F"/>
    <w:rsid w:val="00AA470B"/>
    <w:rsid w:val="00AB1FBE"/>
    <w:rsid w:val="00AB63D7"/>
    <w:rsid w:val="00AC0A39"/>
    <w:rsid w:val="00AC5F5B"/>
    <w:rsid w:val="00AC755D"/>
    <w:rsid w:val="00AD2CA7"/>
    <w:rsid w:val="00AD3659"/>
    <w:rsid w:val="00AD7E45"/>
    <w:rsid w:val="00AE2ED9"/>
    <w:rsid w:val="00AE3C65"/>
    <w:rsid w:val="00AE52B0"/>
    <w:rsid w:val="00AE7410"/>
    <w:rsid w:val="00AF2B88"/>
    <w:rsid w:val="00B00011"/>
    <w:rsid w:val="00B02E66"/>
    <w:rsid w:val="00B06EF1"/>
    <w:rsid w:val="00B11851"/>
    <w:rsid w:val="00B24115"/>
    <w:rsid w:val="00B250B4"/>
    <w:rsid w:val="00B26166"/>
    <w:rsid w:val="00B31E73"/>
    <w:rsid w:val="00B411A7"/>
    <w:rsid w:val="00B453E9"/>
    <w:rsid w:val="00B456DB"/>
    <w:rsid w:val="00B61D68"/>
    <w:rsid w:val="00B62441"/>
    <w:rsid w:val="00B6325A"/>
    <w:rsid w:val="00B6686E"/>
    <w:rsid w:val="00B67BFB"/>
    <w:rsid w:val="00B825D2"/>
    <w:rsid w:val="00B83AB1"/>
    <w:rsid w:val="00B936F3"/>
    <w:rsid w:val="00B94431"/>
    <w:rsid w:val="00B96951"/>
    <w:rsid w:val="00B97DCC"/>
    <w:rsid w:val="00BA55F3"/>
    <w:rsid w:val="00BB40F0"/>
    <w:rsid w:val="00BB5626"/>
    <w:rsid w:val="00BB6DF4"/>
    <w:rsid w:val="00BC0CCF"/>
    <w:rsid w:val="00BC2C66"/>
    <w:rsid w:val="00BC3320"/>
    <w:rsid w:val="00BC7C80"/>
    <w:rsid w:val="00BD57D7"/>
    <w:rsid w:val="00BD5A42"/>
    <w:rsid w:val="00BD75E6"/>
    <w:rsid w:val="00BD7861"/>
    <w:rsid w:val="00BE2697"/>
    <w:rsid w:val="00BF5D79"/>
    <w:rsid w:val="00C065E6"/>
    <w:rsid w:val="00C06B30"/>
    <w:rsid w:val="00C07B56"/>
    <w:rsid w:val="00C13DC8"/>
    <w:rsid w:val="00C20630"/>
    <w:rsid w:val="00C2196B"/>
    <w:rsid w:val="00C22443"/>
    <w:rsid w:val="00C239AA"/>
    <w:rsid w:val="00C255CA"/>
    <w:rsid w:val="00C26AB5"/>
    <w:rsid w:val="00C35C3B"/>
    <w:rsid w:val="00C406F4"/>
    <w:rsid w:val="00C41549"/>
    <w:rsid w:val="00C4205F"/>
    <w:rsid w:val="00C43A74"/>
    <w:rsid w:val="00C46A35"/>
    <w:rsid w:val="00C509A2"/>
    <w:rsid w:val="00C51BC5"/>
    <w:rsid w:val="00C5336C"/>
    <w:rsid w:val="00C635A3"/>
    <w:rsid w:val="00C65743"/>
    <w:rsid w:val="00C70206"/>
    <w:rsid w:val="00C7109D"/>
    <w:rsid w:val="00C7373F"/>
    <w:rsid w:val="00C76E6F"/>
    <w:rsid w:val="00C81EE8"/>
    <w:rsid w:val="00C82FFB"/>
    <w:rsid w:val="00C906A9"/>
    <w:rsid w:val="00C92E48"/>
    <w:rsid w:val="00C937FC"/>
    <w:rsid w:val="00CA2732"/>
    <w:rsid w:val="00CA35CF"/>
    <w:rsid w:val="00CB5CFA"/>
    <w:rsid w:val="00CB5EEF"/>
    <w:rsid w:val="00CC092A"/>
    <w:rsid w:val="00CD15DC"/>
    <w:rsid w:val="00CD7614"/>
    <w:rsid w:val="00CE59B5"/>
    <w:rsid w:val="00CE5F2B"/>
    <w:rsid w:val="00CE7D32"/>
    <w:rsid w:val="00CE7ECA"/>
    <w:rsid w:val="00CF009D"/>
    <w:rsid w:val="00CF0968"/>
    <w:rsid w:val="00CF33A6"/>
    <w:rsid w:val="00CF5A77"/>
    <w:rsid w:val="00D038C4"/>
    <w:rsid w:val="00D20854"/>
    <w:rsid w:val="00D215DB"/>
    <w:rsid w:val="00D237E9"/>
    <w:rsid w:val="00D247C9"/>
    <w:rsid w:val="00D25FB6"/>
    <w:rsid w:val="00D3062B"/>
    <w:rsid w:val="00D332F9"/>
    <w:rsid w:val="00D40CB9"/>
    <w:rsid w:val="00D436F0"/>
    <w:rsid w:val="00D4592D"/>
    <w:rsid w:val="00D51A5E"/>
    <w:rsid w:val="00D51A93"/>
    <w:rsid w:val="00D555C1"/>
    <w:rsid w:val="00D55708"/>
    <w:rsid w:val="00D57A4C"/>
    <w:rsid w:val="00D632DA"/>
    <w:rsid w:val="00D7012E"/>
    <w:rsid w:val="00D764C2"/>
    <w:rsid w:val="00D768AB"/>
    <w:rsid w:val="00D77466"/>
    <w:rsid w:val="00D7763C"/>
    <w:rsid w:val="00D77DA6"/>
    <w:rsid w:val="00D80720"/>
    <w:rsid w:val="00D81916"/>
    <w:rsid w:val="00D81D97"/>
    <w:rsid w:val="00D83AD4"/>
    <w:rsid w:val="00D85CD0"/>
    <w:rsid w:val="00D863C2"/>
    <w:rsid w:val="00D87679"/>
    <w:rsid w:val="00D9025D"/>
    <w:rsid w:val="00D9530E"/>
    <w:rsid w:val="00D95829"/>
    <w:rsid w:val="00DA3326"/>
    <w:rsid w:val="00DB1CB1"/>
    <w:rsid w:val="00DB1E41"/>
    <w:rsid w:val="00DB2803"/>
    <w:rsid w:val="00DB473E"/>
    <w:rsid w:val="00DC1531"/>
    <w:rsid w:val="00DC2489"/>
    <w:rsid w:val="00DC3F9F"/>
    <w:rsid w:val="00DC7421"/>
    <w:rsid w:val="00DD1092"/>
    <w:rsid w:val="00DD2CA1"/>
    <w:rsid w:val="00DD3EB5"/>
    <w:rsid w:val="00DD5261"/>
    <w:rsid w:val="00DE5A40"/>
    <w:rsid w:val="00DE717F"/>
    <w:rsid w:val="00DE7951"/>
    <w:rsid w:val="00DF2B15"/>
    <w:rsid w:val="00DF6B04"/>
    <w:rsid w:val="00E03273"/>
    <w:rsid w:val="00E0538D"/>
    <w:rsid w:val="00E15E98"/>
    <w:rsid w:val="00E165C1"/>
    <w:rsid w:val="00E16A17"/>
    <w:rsid w:val="00E21BA6"/>
    <w:rsid w:val="00E2322C"/>
    <w:rsid w:val="00E235DC"/>
    <w:rsid w:val="00E23752"/>
    <w:rsid w:val="00E23F65"/>
    <w:rsid w:val="00E25974"/>
    <w:rsid w:val="00E3178C"/>
    <w:rsid w:val="00E31DDA"/>
    <w:rsid w:val="00E320DB"/>
    <w:rsid w:val="00E34E4C"/>
    <w:rsid w:val="00E36580"/>
    <w:rsid w:val="00E36E4A"/>
    <w:rsid w:val="00E403CA"/>
    <w:rsid w:val="00E405F6"/>
    <w:rsid w:val="00E41513"/>
    <w:rsid w:val="00E53B5C"/>
    <w:rsid w:val="00E56890"/>
    <w:rsid w:val="00E61927"/>
    <w:rsid w:val="00E63FD2"/>
    <w:rsid w:val="00E70CF7"/>
    <w:rsid w:val="00E7132D"/>
    <w:rsid w:val="00E72A13"/>
    <w:rsid w:val="00E817C7"/>
    <w:rsid w:val="00E85E33"/>
    <w:rsid w:val="00E8627B"/>
    <w:rsid w:val="00E87A26"/>
    <w:rsid w:val="00E97112"/>
    <w:rsid w:val="00E97722"/>
    <w:rsid w:val="00EA5911"/>
    <w:rsid w:val="00EA6202"/>
    <w:rsid w:val="00EA66A2"/>
    <w:rsid w:val="00EA7C18"/>
    <w:rsid w:val="00EC10BE"/>
    <w:rsid w:val="00EC187C"/>
    <w:rsid w:val="00EE2480"/>
    <w:rsid w:val="00EE527A"/>
    <w:rsid w:val="00EF1221"/>
    <w:rsid w:val="00EF1CF6"/>
    <w:rsid w:val="00EF4CBF"/>
    <w:rsid w:val="00EF668A"/>
    <w:rsid w:val="00F00802"/>
    <w:rsid w:val="00F059D9"/>
    <w:rsid w:val="00F164D8"/>
    <w:rsid w:val="00F22D07"/>
    <w:rsid w:val="00F25F1E"/>
    <w:rsid w:val="00F26AB8"/>
    <w:rsid w:val="00F27E88"/>
    <w:rsid w:val="00F33A6B"/>
    <w:rsid w:val="00F36BE9"/>
    <w:rsid w:val="00F379FE"/>
    <w:rsid w:val="00F41669"/>
    <w:rsid w:val="00F41940"/>
    <w:rsid w:val="00F45730"/>
    <w:rsid w:val="00F466C9"/>
    <w:rsid w:val="00F4673A"/>
    <w:rsid w:val="00F5066B"/>
    <w:rsid w:val="00F50D6A"/>
    <w:rsid w:val="00F51E4C"/>
    <w:rsid w:val="00F54A44"/>
    <w:rsid w:val="00F54EBF"/>
    <w:rsid w:val="00F5551C"/>
    <w:rsid w:val="00F55C6E"/>
    <w:rsid w:val="00F655AB"/>
    <w:rsid w:val="00F72209"/>
    <w:rsid w:val="00F77E32"/>
    <w:rsid w:val="00F81B72"/>
    <w:rsid w:val="00F827E0"/>
    <w:rsid w:val="00F83C66"/>
    <w:rsid w:val="00F849AC"/>
    <w:rsid w:val="00F85935"/>
    <w:rsid w:val="00F914A5"/>
    <w:rsid w:val="00F9191C"/>
    <w:rsid w:val="00F9200F"/>
    <w:rsid w:val="00F925D2"/>
    <w:rsid w:val="00F94B99"/>
    <w:rsid w:val="00FA5F77"/>
    <w:rsid w:val="00FA6E7E"/>
    <w:rsid w:val="00FA7E0F"/>
    <w:rsid w:val="00FB4070"/>
    <w:rsid w:val="00FB47A8"/>
    <w:rsid w:val="00FB4918"/>
    <w:rsid w:val="00FC1AB1"/>
    <w:rsid w:val="00FC39E9"/>
    <w:rsid w:val="00FC636B"/>
    <w:rsid w:val="00FC7934"/>
    <w:rsid w:val="00FE0289"/>
    <w:rsid w:val="00FE0AB3"/>
    <w:rsid w:val="00FE21E0"/>
    <w:rsid w:val="00FE24E6"/>
    <w:rsid w:val="00FE4449"/>
    <w:rsid w:val="00FF7216"/>
    <w:rsid w:val="015113D1"/>
    <w:rsid w:val="0244641E"/>
    <w:rsid w:val="04517E6E"/>
    <w:rsid w:val="048FE797"/>
    <w:rsid w:val="06100522"/>
    <w:rsid w:val="068E300E"/>
    <w:rsid w:val="078FB3CF"/>
    <w:rsid w:val="08F53768"/>
    <w:rsid w:val="094942D0"/>
    <w:rsid w:val="09595A64"/>
    <w:rsid w:val="0A2B6493"/>
    <w:rsid w:val="0A660AD6"/>
    <w:rsid w:val="0B0B16BC"/>
    <w:rsid w:val="0BB23CA0"/>
    <w:rsid w:val="0D2A3BC4"/>
    <w:rsid w:val="0D400846"/>
    <w:rsid w:val="0E2B1A07"/>
    <w:rsid w:val="0F2B515B"/>
    <w:rsid w:val="11C44D4E"/>
    <w:rsid w:val="12013AE7"/>
    <w:rsid w:val="13276979"/>
    <w:rsid w:val="138F0A28"/>
    <w:rsid w:val="160550C9"/>
    <w:rsid w:val="17745668"/>
    <w:rsid w:val="1797E440"/>
    <w:rsid w:val="17D4311B"/>
    <w:rsid w:val="18680B75"/>
    <w:rsid w:val="18950986"/>
    <w:rsid w:val="19094219"/>
    <w:rsid w:val="1ACD2271"/>
    <w:rsid w:val="1B4668DD"/>
    <w:rsid w:val="1BBB0935"/>
    <w:rsid w:val="1C93469F"/>
    <w:rsid w:val="1CDA3225"/>
    <w:rsid w:val="1D361557"/>
    <w:rsid w:val="1D4B0BCE"/>
    <w:rsid w:val="1DAF1339"/>
    <w:rsid w:val="1DC13845"/>
    <w:rsid w:val="1E3649B9"/>
    <w:rsid w:val="1EF05DE3"/>
    <w:rsid w:val="1F2D3C6C"/>
    <w:rsid w:val="1FFE10AA"/>
    <w:rsid w:val="203F0A22"/>
    <w:rsid w:val="20E76031"/>
    <w:rsid w:val="21EB5AB4"/>
    <w:rsid w:val="2260450E"/>
    <w:rsid w:val="23B42C6D"/>
    <w:rsid w:val="252267CD"/>
    <w:rsid w:val="252F41C4"/>
    <w:rsid w:val="26EE4279"/>
    <w:rsid w:val="27F20657"/>
    <w:rsid w:val="28107987"/>
    <w:rsid w:val="28247569"/>
    <w:rsid w:val="294675D6"/>
    <w:rsid w:val="2A5B30EC"/>
    <w:rsid w:val="2AD3601F"/>
    <w:rsid w:val="2CFFB4CE"/>
    <w:rsid w:val="2D404FF5"/>
    <w:rsid w:val="2DE465F6"/>
    <w:rsid w:val="2DFF09FC"/>
    <w:rsid w:val="2E237CBD"/>
    <w:rsid w:val="2E48557E"/>
    <w:rsid w:val="2EFF1F67"/>
    <w:rsid w:val="2F9C152E"/>
    <w:rsid w:val="2FE247BE"/>
    <w:rsid w:val="30140F55"/>
    <w:rsid w:val="309E2DC2"/>
    <w:rsid w:val="30A81BF8"/>
    <w:rsid w:val="313D1ECF"/>
    <w:rsid w:val="32684D92"/>
    <w:rsid w:val="3348573C"/>
    <w:rsid w:val="35345946"/>
    <w:rsid w:val="367FB557"/>
    <w:rsid w:val="375CAFC9"/>
    <w:rsid w:val="375F4194"/>
    <w:rsid w:val="38B17ACF"/>
    <w:rsid w:val="38EE2DD1"/>
    <w:rsid w:val="38F97767"/>
    <w:rsid w:val="38FDCD35"/>
    <w:rsid w:val="393EB353"/>
    <w:rsid w:val="397F2556"/>
    <w:rsid w:val="3A2747FC"/>
    <w:rsid w:val="3A36413A"/>
    <w:rsid w:val="3AA957FD"/>
    <w:rsid w:val="3AB6630B"/>
    <w:rsid w:val="3ADA6659"/>
    <w:rsid w:val="3AF143FE"/>
    <w:rsid w:val="3BF7DCFD"/>
    <w:rsid w:val="3BFFEB39"/>
    <w:rsid w:val="3C34124F"/>
    <w:rsid w:val="3D4FB0A2"/>
    <w:rsid w:val="3DEC81F1"/>
    <w:rsid w:val="3E024A9C"/>
    <w:rsid w:val="3F379026"/>
    <w:rsid w:val="3FDEFE13"/>
    <w:rsid w:val="3FDF6341"/>
    <w:rsid w:val="3FEF7217"/>
    <w:rsid w:val="3FFB666C"/>
    <w:rsid w:val="412179FD"/>
    <w:rsid w:val="41BF0A89"/>
    <w:rsid w:val="42010BF6"/>
    <w:rsid w:val="42E775D5"/>
    <w:rsid w:val="434A241B"/>
    <w:rsid w:val="44452C2E"/>
    <w:rsid w:val="45FF56D1"/>
    <w:rsid w:val="47F81401"/>
    <w:rsid w:val="4B9C4DC2"/>
    <w:rsid w:val="4C0F745D"/>
    <w:rsid w:val="4DAA5782"/>
    <w:rsid w:val="4E7B76FB"/>
    <w:rsid w:val="4EEC5FE5"/>
    <w:rsid w:val="4F4135B7"/>
    <w:rsid w:val="4FA5B644"/>
    <w:rsid w:val="4FC51B78"/>
    <w:rsid w:val="501A7A19"/>
    <w:rsid w:val="512C6179"/>
    <w:rsid w:val="51366132"/>
    <w:rsid w:val="51837238"/>
    <w:rsid w:val="518D575B"/>
    <w:rsid w:val="530D1DD8"/>
    <w:rsid w:val="53B0625A"/>
    <w:rsid w:val="53FC488E"/>
    <w:rsid w:val="54EDA322"/>
    <w:rsid w:val="55BC57C2"/>
    <w:rsid w:val="56937D13"/>
    <w:rsid w:val="56CBB0B8"/>
    <w:rsid w:val="571C4C48"/>
    <w:rsid w:val="577322D8"/>
    <w:rsid w:val="57FB59F1"/>
    <w:rsid w:val="58B879C3"/>
    <w:rsid w:val="58DE2CA8"/>
    <w:rsid w:val="59782EF9"/>
    <w:rsid w:val="5A7F732F"/>
    <w:rsid w:val="5BF61CB3"/>
    <w:rsid w:val="5D1427EB"/>
    <w:rsid w:val="5D325D70"/>
    <w:rsid w:val="5DAB7F00"/>
    <w:rsid w:val="5DB04C17"/>
    <w:rsid w:val="5DC62336"/>
    <w:rsid w:val="5DFD2AC8"/>
    <w:rsid w:val="5F347032"/>
    <w:rsid w:val="5F94547B"/>
    <w:rsid w:val="5FBFEF74"/>
    <w:rsid w:val="5FEBAD1D"/>
    <w:rsid w:val="5FED3F14"/>
    <w:rsid w:val="60AB2B40"/>
    <w:rsid w:val="60E7660B"/>
    <w:rsid w:val="60F856BF"/>
    <w:rsid w:val="61515A6C"/>
    <w:rsid w:val="64DDAB81"/>
    <w:rsid w:val="65B6767A"/>
    <w:rsid w:val="65C854C3"/>
    <w:rsid w:val="65E07C61"/>
    <w:rsid w:val="661748FA"/>
    <w:rsid w:val="665B2628"/>
    <w:rsid w:val="66CF133F"/>
    <w:rsid w:val="67560703"/>
    <w:rsid w:val="6812409A"/>
    <w:rsid w:val="68CB7079"/>
    <w:rsid w:val="699F229F"/>
    <w:rsid w:val="6A017EA1"/>
    <w:rsid w:val="6AEF2510"/>
    <w:rsid w:val="6B883CBC"/>
    <w:rsid w:val="6BFEF42B"/>
    <w:rsid w:val="6D4F1181"/>
    <w:rsid w:val="6D8272A9"/>
    <w:rsid w:val="6DA53323"/>
    <w:rsid w:val="6DED7015"/>
    <w:rsid w:val="6DEFF912"/>
    <w:rsid w:val="6E0A46B0"/>
    <w:rsid w:val="6EDCFDC0"/>
    <w:rsid w:val="6F035387"/>
    <w:rsid w:val="6F552CBA"/>
    <w:rsid w:val="6F8B71C4"/>
    <w:rsid w:val="6FCF053E"/>
    <w:rsid w:val="6FDB352D"/>
    <w:rsid w:val="6FDFBFD8"/>
    <w:rsid w:val="6FF7745F"/>
    <w:rsid w:val="718F540F"/>
    <w:rsid w:val="71C73453"/>
    <w:rsid w:val="71EF6FBC"/>
    <w:rsid w:val="72F971D6"/>
    <w:rsid w:val="73B43FF5"/>
    <w:rsid w:val="73DA0B4E"/>
    <w:rsid w:val="74447A36"/>
    <w:rsid w:val="749E1189"/>
    <w:rsid w:val="74FF56DB"/>
    <w:rsid w:val="75AB1F93"/>
    <w:rsid w:val="76CF9583"/>
    <w:rsid w:val="776A6982"/>
    <w:rsid w:val="78231FE5"/>
    <w:rsid w:val="785A0F3E"/>
    <w:rsid w:val="786DA0A3"/>
    <w:rsid w:val="78FEAB39"/>
    <w:rsid w:val="78FFBF29"/>
    <w:rsid w:val="79826CFF"/>
    <w:rsid w:val="79B7C2FF"/>
    <w:rsid w:val="79E26B39"/>
    <w:rsid w:val="7A4D2EC6"/>
    <w:rsid w:val="7A7F49FB"/>
    <w:rsid w:val="7ADF6B03"/>
    <w:rsid w:val="7AF739E7"/>
    <w:rsid w:val="7B0911C7"/>
    <w:rsid w:val="7B1973F2"/>
    <w:rsid w:val="7B363E21"/>
    <w:rsid w:val="7B7734ED"/>
    <w:rsid w:val="7BDFF639"/>
    <w:rsid w:val="7BEF601A"/>
    <w:rsid w:val="7CB43D99"/>
    <w:rsid w:val="7D177AB2"/>
    <w:rsid w:val="7D5EFDB7"/>
    <w:rsid w:val="7D7740C1"/>
    <w:rsid w:val="7DF720D0"/>
    <w:rsid w:val="7DFF3261"/>
    <w:rsid w:val="7EAF3712"/>
    <w:rsid w:val="7EEDBDD5"/>
    <w:rsid w:val="7EEF847A"/>
    <w:rsid w:val="7EFF580D"/>
    <w:rsid w:val="7F5F579D"/>
    <w:rsid w:val="7FDF9618"/>
    <w:rsid w:val="7FE71C7D"/>
    <w:rsid w:val="7FF729D1"/>
    <w:rsid w:val="7FFECA4D"/>
    <w:rsid w:val="7FFFCE4F"/>
    <w:rsid w:val="923F2FE2"/>
    <w:rsid w:val="977F0C74"/>
    <w:rsid w:val="979B13CC"/>
    <w:rsid w:val="9CFDC13B"/>
    <w:rsid w:val="ADDFA602"/>
    <w:rsid w:val="ADEF3404"/>
    <w:rsid w:val="AF7B56A7"/>
    <w:rsid w:val="AFFF24E2"/>
    <w:rsid w:val="B2FD6801"/>
    <w:rsid w:val="B3BE3293"/>
    <w:rsid w:val="B3EF130C"/>
    <w:rsid w:val="B7775A37"/>
    <w:rsid w:val="B793EC2B"/>
    <w:rsid w:val="B7F72225"/>
    <w:rsid w:val="B7FDA8C7"/>
    <w:rsid w:val="B8FBF1D0"/>
    <w:rsid w:val="B9ABF314"/>
    <w:rsid w:val="B9DFC01F"/>
    <w:rsid w:val="BBB7EFFD"/>
    <w:rsid w:val="BBEC7D08"/>
    <w:rsid w:val="BE5FB322"/>
    <w:rsid w:val="BE7DF951"/>
    <w:rsid w:val="BF9F0461"/>
    <w:rsid w:val="BFD89D34"/>
    <w:rsid w:val="BFDF0CA1"/>
    <w:rsid w:val="BFF9F87A"/>
    <w:rsid w:val="BFFD43C8"/>
    <w:rsid w:val="BFFFA694"/>
    <w:rsid w:val="C7BF9A88"/>
    <w:rsid w:val="CFC5165F"/>
    <w:rsid w:val="CFFF8A59"/>
    <w:rsid w:val="D5FA58C0"/>
    <w:rsid w:val="D7FF45F4"/>
    <w:rsid w:val="DA4F2676"/>
    <w:rsid w:val="DBB9518C"/>
    <w:rsid w:val="DBBFF20D"/>
    <w:rsid w:val="DF9F6D0E"/>
    <w:rsid w:val="DFB5AC95"/>
    <w:rsid w:val="E11EF8BF"/>
    <w:rsid w:val="E775E8C1"/>
    <w:rsid w:val="EEF71DAF"/>
    <w:rsid w:val="EF1564FA"/>
    <w:rsid w:val="EF7FF8B0"/>
    <w:rsid w:val="EFDE538E"/>
    <w:rsid w:val="EFE7F839"/>
    <w:rsid w:val="EFEA6662"/>
    <w:rsid w:val="EFEE97E5"/>
    <w:rsid w:val="EFF3A97D"/>
    <w:rsid w:val="F31BC2D6"/>
    <w:rsid w:val="F5DB3AAE"/>
    <w:rsid w:val="F6FFA836"/>
    <w:rsid w:val="F7D95D2A"/>
    <w:rsid w:val="F7DD4AE3"/>
    <w:rsid w:val="F7DF382F"/>
    <w:rsid w:val="F7FDA43B"/>
    <w:rsid w:val="F7FFFBEF"/>
    <w:rsid w:val="F8E68F93"/>
    <w:rsid w:val="FB9E6BFA"/>
    <w:rsid w:val="FB9F1631"/>
    <w:rsid w:val="FD7FFBCF"/>
    <w:rsid w:val="FDE7FC1B"/>
    <w:rsid w:val="FE1BBBC6"/>
    <w:rsid w:val="FED63FD4"/>
    <w:rsid w:val="FEFDE21E"/>
    <w:rsid w:val="FEFF1493"/>
    <w:rsid w:val="FFBE86AF"/>
    <w:rsid w:val="FFDF2E12"/>
    <w:rsid w:val="FFDF571D"/>
    <w:rsid w:val="FFE7B008"/>
    <w:rsid w:val="FFEFD6EC"/>
    <w:rsid w:val="FFFA1352"/>
    <w:rsid w:val="FFFF9BA4"/>
    <w:rsid w:val="FFFFA95F"/>
    <w:rsid w:val="FFFFE75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lang w:val="en-US" w:eastAsia="zh-CN" w:bidi="ar-SA"/>
    </w:rPr>
  </w:style>
  <w:style w:type="paragraph" w:styleId="4">
    <w:name w:val="heading 1"/>
    <w:basedOn w:val="1"/>
    <w:next w:val="1"/>
    <w:qFormat/>
    <w:uiPriority w:val="0"/>
    <w:pPr>
      <w:keepNext/>
      <w:keepLines/>
      <w:jc w:val="center"/>
      <w:outlineLvl w:val="0"/>
    </w:pPr>
    <w:rPr>
      <w:rFonts w:eastAsia="方正小标宋简体"/>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5">
    <w:name w:val="Balloon Text"/>
    <w:basedOn w:val="1"/>
    <w:link w:val="33"/>
    <w:semiHidden/>
    <w:unhideWhenUsed/>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码1"/>
    <w:basedOn w:val="11"/>
    <w:qFormat/>
    <w:uiPriority w:val="0"/>
    <w:rPr>
      <w:rFonts w:cs="Times New Roman"/>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页眉 New New New"/>
    <w:basedOn w:val="16"/>
    <w:qFormat/>
    <w:uiPriority w:val="0"/>
    <w:pPr>
      <w:pBdr>
        <w:bottom w:val="single" w:color="auto" w:sz="6" w:space="1"/>
      </w:pBdr>
      <w:tabs>
        <w:tab w:val="center" w:pos="4153"/>
        <w:tab w:val="right" w:pos="8306"/>
      </w:tabs>
      <w:snapToGrid w:val="0"/>
      <w:jc w:val="center"/>
    </w:pPr>
    <w:rPr>
      <w:sz w:val="18"/>
      <w:szCs w:val="18"/>
    </w:rPr>
  </w:style>
  <w:style w:type="paragraph" w:customStyle="1" w:styleId="16">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页眉 New New"/>
    <w:basedOn w:val="18"/>
    <w:qFormat/>
    <w:uiPriority w:val="0"/>
    <w:pPr>
      <w:pBdr>
        <w:bottom w:val="single" w:color="auto" w:sz="6" w:space="1"/>
      </w:pBdr>
      <w:tabs>
        <w:tab w:val="center" w:pos="4153"/>
        <w:tab w:val="right" w:pos="8306"/>
      </w:tabs>
      <w:snapToGrid w:val="0"/>
      <w:jc w:val="center"/>
    </w:pPr>
    <w:rPr>
      <w:sz w:val="18"/>
      <w:szCs w:val="18"/>
    </w:rPr>
  </w:style>
  <w:style w:type="paragraph" w:customStyle="1" w:styleId="20">
    <w:name w:val="页脚 New New New"/>
    <w:basedOn w:val="17"/>
    <w:qFormat/>
    <w:uiPriority w:val="0"/>
    <w:pPr>
      <w:tabs>
        <w:tab w:val="center" w:pos="4153"/>
        <w:tab w:val="right" w:pos="8306"/>
      </w:tabs>
      <w:snapToGrid w:val="0"/>
      <w:jc w:val="left"/>
    </w:pPr>
    <w:rPr>
      <w:sz w:val="18"/>
      <w:szCs w:val="18"/>
    </w:rPr>
  </w:style>
  <w:style w:type="paragraph" w:customStyle="1" w:styleId="21">
    <w:name w:val="Char Char Char Char Char Char"/>
    <w:basedOn w:val="17"/>
    <w:qFormat/>
    <w:uiPriority w:val="0"/>
    <w:pPr>
      <w:spacing w:line="360" w:lineRule="auto"/>
      <w:ind w:firstLine="200" w:firstLineChars="200"/>
    </w:pPr>
  </w:style>
  <w:style w:type="paragraph" w:customStyle="1" w:styleId="22">
    <w:name w:val="页脚 New New New New New New"/>
    <w:basedOn w:val="18"/>
    <w:qFormat/>
    <w:uiPriority w:val="0"/>
    <w:pPr>
      <w:tabs>
        <w:tab w:val="center" w:pos="4153"/>
        <w:tab w:val="right" w:pos="8306"/>
      </w:tabs>
      <w:snapToGrid w:val="0"/>
      <w:jc w:val="left"/>
    </w:pPr>
    <w:rPr>
      <w:sz w:val="18"/>
      <w:szCs w:val="18"/>
    </w:rPr>
  </w:style>
  <w:style w:type="paragraph" w:customStyle="1" w:styleId="23">
    <w:name w:val="页脚 New New New New New New New"/>
    <w:basedOn w:val="16"/>
    <w:qFormat/>
    <w:uiPriority w:val="0"/>
    <w:pPr>
      <w:tabs>
        <w:tab w:val="center" w:pos="4153"/>
        <w:tab w:val="right" w:pos="8306"/>
      </w:tabs>
      <w:snapToGrid w:val="0"/>
      <w:jc w:val="left"/>
    </w:pPr>
    <w:rPr>
      <w:sz w:val="18"/>
      <w:szCs w:val="18"/>
    </w:rPr>
  </w:style>
  <w:style w:type="paragraph" w:customStyle="1" w:styleId="24">
    <w:name w:val="页眉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页脚 New"/>
    <w:basedOn w:val="27"/>
    <w:qFormat/>
    <w:uiPriority w:val="0"/>
    <w:pPr>
      <w:tabs>
        <w:tab w:val="center" w:pos="4153"/>
        <w:tab w:val="right" w:pos="8306"/>
      </w:tabs>
      <w:snapToGrid w:val="0"/>
      <w:jc w:val="left"/>
    </w:pPr>
    <w:rPr>
      <w:sz w:val="18"/>
      <w:szCs w:val="18"/>
    </w:rPr>
  </w:style>
  <w:style w:type="paragraph" w:customStyle="1" w:styleId="27">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28">
    <w:name w:val="页脚 New New New New"/>
    <w:basedOn w:val="29"/>
    <w:qFormat/>
    <w:uiPriority w:val="0"/>
    <w:pPr>
      <w:tabs>
        <w:tab w:val="center" w:pos="4153"/>
        <w:tab w:val="right" w:pos="8306"/>
      </w:tabs>
      <w:snapToGrid w:val="0"/>
      <w:jc w:val="left"/>
    </w:pPr>
    <w:rPr>
      <w:sz w:val="18"/>
      <w:szCs w:val="18"/>
    </w:rPr>
  </w:style>
  <w:style w:type="paragraph" w:customStyle="1" w:styleId="2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页脚 New New"/>
    <w:basedOn w:val="14"/>
    <w:qFormat/>
    <w:uiPriority w:val="0"/>
    <w:pPr>
      <w:tabs>
        <w:tab w:val="center" w:pos="4153"/>
        <w:tab w:val="right" w:pos="8306"/>
      </w:tabs>
      <w:snapToGrid w:val="0"/>
      <w:jc w:val="left"/>
    </w:pPr>
    <w:rPr>
      <w:sz w:val="18"/>
      <w:szCs w:val="18"/>
    </w:rPr>
  </w:style>
  <w:style w:type="paragraph" w:customStyle="1" w:styleId="31">
    <w:name w:val="页脚 New New New New New"/>
    <w:basedOn w:val="25"/>
    <w:qFormat/>
    <w:uiPriority w:val="0"/>
    <w:pPr>
      <w:tabs>
        <w:tab w:val="center" w:pos="4153"/>
        <w:tab w:val="right" w:pos="8306"/>
      </w:tabs>
      <w:snapToGrid w:val="0"/>
      <w:jc w:val="left"/>
    </w:pPr>
    <w:rPr>
      <w:sz w:val="18"/>
      <w:szCs w:val="18"/>
    </w:rPr>
  </w:style>
  <w:style w:type="paragraph" w:styleId="32">
    <w:name w:val="List Paragraph"/>
    <w:basedOn w:val="1"/>
    <w:qFormat/>
    <w:uiPriority w:val="99"/>
    <w:pPr>
      <w:ind w:firstLine="420" w:firstLineChars="200"/>
    </w:pPr>
  </w:style>
  <w:style w:type="character" w:customStyle="1" w:styleId="33">
    <w:name w:val="批注框文本 字符"/>
    <w:basedOn w:val="11"/>
    <w:link w:val="5"/>
    <w:semiHidden/>
    <w:qFormat/>
    <w:uiPriority w:val="0"/>
    <w:rPr>
      <w:kern w:val="2"/>
      <w:sz w:val="18"/>
      <w:szCs w:val="18"/>
    </w:rPr>
  </w:style>
  <w:style w:type="paragraph" w:customStyle="1" w:styleId="34">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2538</Words>
  <Characters>2559</Characters>
  <Lines>16</Lines>
  <Paragraphs>4</Paragraphs>
  <TotalTime>1</TotalTime>
  <ScaleCrop>false</ScaleCrop>
  <LinksUpToDate>false</LinksUpToDate>
  <CharactersWithSpaces>2604</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2016-08-15T11:10:00Z</dcterms:created>
  <dc:creator>LENOVO</dc:creator>
  <cp:lastModifiedBy>Administrator</cp:lastModifiedBy>
  <cp:lastPrinted>2025-08-26T18:46:00Z</cp:lastPrinted>
  <dcterms:modified xsi:type="dcterms:W3CDTF">2025-11-10T02:01:06Z</dcterms:modified>
  <dc:title>关于对2016年上半年全厅重点工作</dc:title>
  <cp:revision>512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A5DC8A2CEC73470BA95F76BA9A44F30D_13</vt:lpwstr>
  </property>
  <property fmtid="{D5CDD505-2E9C-101B-9397-08002B2CF9AE}" pid="4" name="KSOTemplateDocerSaveRecord">
    <vt:lpwstr>eyJoZGlkIjoiYzA1Y2IwMGUwOTFkODdiMzk0YjlkMmEyYTgwYWJjNzEifQ==</vt:lpwstr>
  </property>
</Properties>
</file>