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9AB961">
      <w:pPr>
        <w:jc w:val="center"/>
        <w:rPr>
          <w:rFonts w:hint="eastAsia" w:ascii="宋体" w:hAnsi="宋体"/>
          <w:b/>
          <w:sz w:val="32"/>
          <w:szCs w:val="32"/>
        </w:rPr>
      </w:pPr>
      <w:r>
        <w:rPr>
          <w:rFonts w:hint="eastAsia" w:ascii="宋体" w:hAnsi="宋体"/>
          <w:b/>
          <w:sz w:val="32"/>
          <w:szCs w:val="32"/>
          <w:lang w:eastAsia="zh-CN"/>
        </w:rPr>
        <w:t>长岭县2026-2028年度普通国省干线公路日常养护</w:t>
      </w:r>
    </w:p>
    <w:p w14:paraId="02FF4997">
      <w:pPr>
        <w:jc w:val="center"/>
        <w:rPr>
          <w:rFonts w:hint="eastAsia" w:ascii="宋体" w:hAnsi="宋体"/>
          <w:b/>
          <w:sz w:val="32"/>
          <w:szCs w:val="32"/>
        </w:rPr>
      </w:pPr>
      <w:r>
        <w:rPr>
          <w:rFonts w:hint="eastAsia" w:ascii="宋体" w:hAnsi="宋体"/>
          <w:b/>
          <w:sz w:val="32"/>
          <w:szCs w:val="32"/>
        </w:rPr>
        <w:t>招标关键内容信息招标公开</w:t>
      </w:r>
    </w:p>
    <w:p w14:paraId="7ADF526E">
      <w:pPr>
        <w:jc w:val="center"/>
        <w:rPr>
          <w:rFonts w:hint="eastAsia" w:ascii="宋体" w:hAnsi="宋体"/>
          <w:b/>
          <w:sz w:val="32"/>
          <w:szCs w:val="32"/>
        </w:rPr>
      </w:pPr>
    </w:p>
    <w:p w14:paraId="472813F5">
      <w:pPr>
        <w:pStyle w:val="18"/>
        <w:tabs>
          <w:tab w:val="left" w:pos="426"/>
        </w:tabs>
        <w:spacing w:line="360" w:lineRule="auto"/>
        <w:jc w:val="left"/>
        <w:outlineLvl w:val="2"/>
        <w:rPr>
          <w:rFonts w:ascii="宋体" w:hAnsi="宋体"/>
          <w:b w:val="0"/>
          <w:sz w:val="21"/>
          <w:szCs w:val="21"/>
        </w:rPr>
      </w:pPr>
      <w:bookmarkStart w:id="0" w:name="_Toc444517387"/>
      <w:bookmarkStart w:id="1" w:name="_Toc257655326"/>
      <w:bookmarkStart w:id="2" w:name="_Toc31255"/>
      <w:bookmarkStart w:id="3" w:name="_Toc257655327"/>
      <w:bookmarkStart w:id="4" w:name="_Toc458772797"/>
      <w:bookmarkStart w:id="5" w:name="_Toc444517388"/>
      <w:bookmarkStart w:id="6" w:name="_Toc474499945"/>
      <w:bookmarkStart w:id="7" w:name="_Toc474499946"/>
      <w:bookmarkStart w:id="8" w:name="_Toc361838103"/>
      <w:bookmarkStart w:id="9" w:name="_Toc356741789"/>
      <w:bookmarkStart w:id="10" w:name="_Toc356741788"/>
      <w:bookmarkStart w:id="11" w:name="_Toc508633107"/>
      <w:bookmarkStart w:id="12" w:name="_Toc458772798"/>
      <w:bookmarkStart w:id="13" w:name="_Toc361838102"/>
      <w:bookmarkStart w:id="14" w:name="_Toc6168"/>
      <w:bookmarkStart w:id="15" w:name="_Toc8741"/>
      <w:bookmarkStart w:id="16" w:name="_Toc356741791"/>
      <w:bookmarkStart w:id="17" w:name="_Toc29184"/>
      <w:bookmarkStart w:id="18" w:name="_Toc257655330"/>
      <w:bookmarkStart w:id="19" w:name="_Toc22563"/>
      <w:bookmarkStart w:id="20" w:name="_Toc361838105"/>
      <w:r>
        <w:rPr>
          <w:rFonts w:hint="eastAsia" w:ascii="宋体" w:hAnsi="宋体"/>
          <w:b w:val="0"/>
          <w:sz w:val="21"/>
          <w:szCs w:val="21"/>
        </w:rPr>
        <w:t>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rFonts w:hint="eastAsia" w:ascii="宋体" w:hAnsi="宋体"/>
          <w:b w:val="0"/>
          <w:sz w:val="21"/>
          <w:szCs w:val="21"/>
        </w:rPr>
        <w:t>招标条件</w:t>
      </w:r>
      <w:bookmarkEnd w:id="15"/>
    </w:p>
    <w:p w14:paraId="7DFB32EC">
      <w:pPr>
        <w:pStyle w:val="18"/>
        <w:tabs>
          <w:tab w:val="left" w:pos="426"/>
        </w:tabs>
        <w:spacing w:line="360" w:lineRule="auto"/>
        <w:jc w:val="left"/>
        <w:outlineLvl w:val="2"/>
        <w:rPr>
          <w:rFonts w:hint="eastAsia" w:ascii="宋体" w:hAnsi="宋体" w:cs="宋体"/>
          <w:b w:val="0"/>
          <w:bCs w:val="0"/>
          <w:kern w:val="2"/>
          <w:sz w:val="21"/>
          <w:szCs w:val="21"/>
        </w:rPr>
      </w:pPr>
      <w:bookmarkStart w:id="21" w:name="_Toc19071"/>
      <w:bookmarkStart w:id="22" w:name="_Toc4576"/>
      <w:bookmarkStart w:id="23" w:name="_Toc11855"/>
      <w:bookmarkStart w:id="24" w:name="_Toc510098970"/>
      <w:r>
        <w:rPr>
          <w:rFonts w:hint="eastAsia" w:ascii="宋体" w:hAnsi="宋体" w:cs="宋体"/>
          <w:b w:val="0"/>
          <w:bCs w:val="0"/>
          <w:kern w:val="2"/>
          <w:sz w:val="21"/>
          <w:szCs w:val="21"/>
          <w:lang w:val="en-US" w:eastAsia="zh-CN"/>
        </w:rPr>
        <w:t>本招标项目</w:t>
      </w:r>
      <w:r>
        <w:rPr>
          <w:rFonts w:hint="eastAsia" w:ascii="宋体" w:hAnsi="宋体" w:cs="宋体"/>
          <w:b w:val="0"/>
          <w:bCs w:val="0"/>
          <w:kern w:val="2"/>
          <w:sz w:val="21"/>
          <w:szCs w:val="21"/>
          <w:lang w:eastAsia="zh-CN"/>
        </w:rPr>
        <w:t>长岭县2026-2028年度普通国省干线公路日常养护</w:t>
      </w:r>
      <w:r>
        <w:rPr>
          <w:rFonts w:hint="eastAsia" w:ascii="宋体" w:hAnsi="宋体" w:cs="宋体"/>
          <w:b w:val="0"/>
          <w:bCs w:val="0"/>
          <w:kern w:val="2"/>
          <w:sz w:val="21"/>
          <w:szCs w:val="21"/>
          <w:lang w:val="en-US" w:eastAsia="zh-CN"/>
        </w:rPr>
        <w:t>已由上级部门批准实施</w:t>
      </w:r>
      <w:r>
        <w:rPr>
          <w:rFonts w:hint="eastAsia" w:ascii="宋体" w:hAnsi="宋体" w:cs="宋体"/>
          <w:b w:val="0"/>
          <w:bCs w:val="0"/>
          <w:kern w:val="2"/>
          <w:sz w:val="21"/>
          <w:szCs w:val="21"/>
        </w:rPr>
        <w:t>，</w:t>
      </w:r>
      <w:r>
        <w:rPr>
          <w:rFonts w:hint="eastAsia" w:ascii="宋体" w:hAnsi="宋体" w:cs="宋体"/>
          <w:b w:val="0"/>
          <w:bCs w:val="0"/>
          <w:kern w:val="2"/>
          <w:sz w:val="21"/>
          <w:szCs w:val="21"/>
          <w:lang w:val="en-US" w:eastAsia="zh-CN"/>
        </w:rPr>
        <w:t>项目业主为吉林省公路管理局，建设资金来自财政资金，出资比例为100%。招标人为松原市公路服务中心、长岭县公路管理段，</w:t>
      </w:r>
      <w:r>
        <w:rPr>
          <w:rFonts w:hint="eastAsia" w:ascii="宋体" w:hAnsi="宋体" w:cs="宋体"/>
          <w:b w:val="0"/>
          <w:bCs w:val="0"/>
          <w:kern w:val="2"/>
          <w:sz w:val="21"/>
          <w:szCs w:val="21"/>
        </w:rPr>
        <w:t>项目已具备招标条件，现对该项目进行公开招标。</w:t>
      </w:r>
    </w:p>
    <w:p w14:paraId="50731A46">
      <w:pPr>
        <w:pStyle w:val="18"/>
        <w:tabs>
          <w:tab w:val="left" w:pos="426"/>
        </w:tabs>
        <w:spacing w:line="360" w:lineRule="auto"/>
        <w:jc w:val="left"/>
        <w:outlineLvl w:val="2"/>
        <w:rPr>
          <w:rFonts w:ascii="宋体" w:hAnsi="宋体"/>
          <w:b w:val="0"/>
          <w:sz w:val="21"/>
          <w:szCs w:val="21"/>
        </w:rPr>
      </w:pPr>
      <w:r>
        <w:rPr>
          <w:rFonts w:hint="eastAsia" w:ascii="宋体" w:hAnsi="宋体"/>
          <w:b w:val="0"/>
          <w:sz w:val="21"/>
          <w:szCs w:val="21"/>
        </w:rPr>
        <w:t>2.项目概况与招标范围</w:t>
      </w:r>
      <w:bookmarkEnd w:id="21"/>
      <w:bookmarkEnd w:id="22"/>
      <w:bookmarkEnd w:id="23"/>
      <w:bookmarkEnd w:id="24"/>
    </w:p>
    <w:p w14:paraId="0B7FC293">
      <w:pPr>
        <w:pageBreakBefore w:val="0"/>
        <w:widowControl w:val="0"/>
        <w:kinsoku/>
        <w:overflowPunct/>
        <w:topLinePunct w:val="0"/>
        <w:autoSpaceDE/>
        <w:autoSpaceDN/>
        <w:bidi w:val="0"/>
        <w:spacing w:line="500" w:lineRule="exact"/>
        <w:textAlignment w:val="auto"/>
        <w:rPr>
          <w:rFonts w:ascii="宋体" w:hAnsi="宋体" w:cs="宋体"/>
          <w:highlight w:val="none"/>
        </w:rPr>
      </w:pPr>
      <w:bookmarkStart w:id="25" w:name="_Hlk92438530"/>
      <w:bookmarkStart w:id="26" w:name="_Toc436994095"/>
      <w:bookmarkStart w:id="27" w:name="_Toc361838104"/>
      <w:bookmarkStart w:id="28" w:name="_Toc356741790"/>
      <w:bookmarkStart w:id="29" w:name="_Toc257655328"/>
      <w:bookmarkStart w:id="30" w:name="_Toc2137"/>
      <w:bookmarkStart w:id="31" w:name="_Toc2436"/>
      <w:bookmarkStart w:id="32" w:name="_Toc510098971"/>
      <w:bookmarkStart w:id="33" w:name="_Toc474499947"/>
      <w:bookmarkStart w:id="34" w:name="_Toc18613"/>
      <w:bookmarkStart w:id="35" w:name="_Toc444517389"/>
      <w:bookmarkStart w:id="36" w:name="_Toc458772799"/>
      <w:r>
        <w:rPr>
          <w:rFonts w:hint="eastAsia" w:ascii="宋体" w:hAnsi="宋体" w:cs="宋体"/>
          <w:highlight w:val="none"/>
        </w:rPr>
        <w:t>2.1建设地点：吉林省</w:t>
      </w:r>
      <w:r>
        <w:rPr>
          <w:rFonts w:hint="eastAsia" w:ascii="宋体" w:hAnsi="宋体" w:cs="宋体"/>
          <w:highlight w:val="none"/>
          <w:lang w:val="en-US" w:eastAsia="zh-CN"/>
        </w:rPr>
        <w:t>长岭</w:t>
      </w:r>
      <w:r>
        <w:rPr>
          <w:rFonts w:hint="eastAsia" w:ascii="宋体" w:hAnsi="宋体" w:cs="宋体"/>
          <w:highlight w:val="none"/>
        </w:rPr>
        <w:t>县境内。</w:t>
      </w:r>
    </w:p>
    <w:p w14:paraId="251BD3CC">
      <w:pPr>
        <w:pageBreakBefore w:val="0"/>
        <w:widowControl w:val="0"/>
        <w:kinsoku/>
        <w:overflowPunct/>
        <w:topLinePunct w:val="0"/>
        <w:autoSpaceDE/>
        <w:autoSpaceDN/>
        <w:bidi w:val="0"/>
        <w:spacing w:line="500" w:lineRule="exact"/>
        <w:textAlignment w:val="auto"/>
        <w:rPr>
          <w:rFonts w:ascii="宋体" w:hAnsi="宋体" w:cs="宋体"/>
          <w:highlight w:val="none"/>
        </w:rPr>
      </w:pPr>
      <w:r>
        <w:rPr>
          <w:rFonts w:hint="eastAsia" w:ascii="宋体" w:hAnsi="宋体" w:cs="宋体"/>
          <w:highlight w:val="none"/>
        </w:rPr>
        <w:t>2.2建设</w:t>
      </w:r>
      <w:r>
        <w:rPr>
          <w:rFonts w:hint="eastAsia" w:ascii="宋体" w:hAnsi="宋体" w:cs="宋体"/>
          <w:highlight w:val="none"/>
          <w:lang w:val="en-US" w:eastAsia="zh-CN"/>
        </w:rPr>
        <w:t>概况</w:t>
      </w:r>
      <w:r>
        <w:rPr>
          <w:rFonts w:hint="eastAsia" w:ascii="宋体" w:hAnsi="宋体" w:cs="宋体"/>
          <w:highlight w:val="none"/>
        </w:rPr>
        <w:t>：</w:t>
      </w:r>
      <w:r>
        <w:rPr>
          <w:rFonts w:hint="eastAsia" w:ascii="宋体" w:hAnsi="宋体" w:cs="宋体"/>
          <w:highlight w:val="none"/>
          <w:lang w:eastAsia="zh-CN"/>
        </w:rPr>
        <w:t>长岭县2026-2028年度普通国省干线公路日常养护</w:t>
      </w:r>
      <w:r>
        <w:rPr>
          <w:rFonts w:hint="eastAsia" w:ascii="宋体" w:hAnsi="宋体" w:cs="宋体"/>
          <w:highlight w:val="none"/>
        </w:rPr>
        <w:t>总长</w:t>
      </w:r>
      <w:r>
        <w:rPr>
          <w:rFonts w:hint="eastAsia" w:ascii="宋体" w:hAnsi="宋体" w:cs="宋体"/>
          <w:highlight w:val="none"/>
          <w:lang w:val="en-US" w:eastAsia="zh-CN"/>
        </w:rPr>
        <w:t>212.356</w:t>
      </w:r>
      <w:r>
        <w:rPr>
          <w:rFonts w:hint="eastAsia" w:ascii="宋体" w:hAnsi="宋体" w:cs="宋体"/>
          <w:highlight w:val="none"/>
        </w:rPr>
        <w:t>km</w:t>
      </w:r>
      <w:r>
        <w:rPr>
          <w:rFonts w:ascii="宋体" w:hAnsi="宋体" w:cs="宋体"/>
          <w:highlight w:val="none"/>
        </w:rPr>
        <w:t>。项目主要内容为公路用地范围内路基、路面、</w:t>
      </w:r>
      <w:r>
        <w:rPr>
          <w:rFonts w:hint="eastAsia" w:ascii="宋体" w:hAnsi="宋体" w:cs="宋体"/>
          <w:highlight w:val="none"/>
          <w:lang w:eastAsia="zh-CN"/>
        </w:rPr>
        <w:t>桥涵</w:t>
      </w:r>
      <w:r>
        <w:rPr>
          <w:rFonts w:ascii="宋体" w:hAnsi="宋体" w:cs="宋体"/>
          <w:highlight w:val="none"/>
        </w:rPr>
        <w:t>、沿线设施、交通安全设施、绿化等项目的日常巡查、日常保养、日常维修及防汛抢险</w:t>
      </w:r>
      <w:r>
        <w:rPr>
          <w:rFonts w:hint="eastAsia" w:ascii="宋体" w:hAnsi="宋体" w:cs="宋体"/>
          <w:highlight w:val="none"/>
          <w:lang w:eastAsia="zh-CN"/>
        </w:rPr>
        <w:t>、</w:t>
      </w:r>
      <w:r>
        <w:rPr>
          <w:rFonts w:hint="eastAsia" w:ascii="宋体" w:hAnsi="宋体" w:cs="宋体"/>
          <w:highlight w:val="none"/>
          <w:lang w:val="en-US" w:eastAsia="zh-CN"/>
        </w:rPr>
        <w:t>除雪防滑</w:t>
      </w:r>
      <w:r>
        <w:rPr>
          <w:rFonts w:ascii="宋体" w:hAnsi="宋体" w:cs="宋体"/>
          <w:highlight w:val="none"/>
        </w:rPr>
        <w:t>等其他日常养护作业</w:t>
      </w:r>
      <w:r>
        <w:rPr>
          <w:rFonts w:hint="eastAsia" w:ascii="宋体" w:hAnsi="宋体" w:eastAsia="宋体" w:cs="宋体"/>
          <w:highlight w:val="none"/>
          <w:lang w:val="en-US" w:eastAsia="zh-CN"/>
        </w:rPr>
        <w:t>（包括全部路段内的桥梁除雪工作；松原地区普通国省干线公路桥梁一体化养护项目实施期间，桥梁其他日常养护实施除外）</w:t>
      </w:r>
      <w:r>
        <w:rPr>
          <w:rFonts w:ascii="宋体" w:hAnsi="宋体" w:cs="宋体"/>
          <w:highlight w:val="none"/>
        </w:rPr>
        <w:t>。</w:t>
      </w:r>
    </w:p>
    <w:p w14:paraId="41C76C88">
      <w:pPr>
        <w:pageBreakBefore w:val="0"/>
        <w:widowControl w:val="0"/>
        <w:kinsoku/>
        <w:overflowPunct/>
        <w:topLinePunct w:val="0"/>
        <w:autoSpaceDE/>
        <w:autoSpaceDN/>
        <w:bidi w:val="0"/>
        <w:spacing w:line="500" w:lineRule="exact"/>
        <w:textAlignment w:val="auto"/>
        <w:rPr>
          <w:rFonts w:hint="eastAsia" w:ascii="宋体" w:hAnsi="宋体" w:eastAsia="宋体" w:cs="宋体"/>
          <w:highlight w:val="none"/>
          <w:lang w:eastAsia="zh-CN"/>
        </w:rPr>
      </w:pPr>
      <w:r>
        <w:rPr>
          <w:rFonts w:hint="eastAsia" w:ascii="宋体" w:hAnsi="宋体" w:cs="宋体"/>
          <w:highlight w:val="none"/>
        </w:rPr>
        <w:t>2.3标段划分：本项目划分为</w:t>
      </w:r>
      <w:r>
        <w:rPr>
          <w:rFonts w:hint="eastAsia" w:ascii="宋体" w:hAnsi="宋体" w:cs="宋体"/>
          <w:highlight w:val="none"/>
          <w:lang w:val="en-US" w:eastAsia="zh-CN"/>
        </w:rPr>
        <w:t>三</w:t>
      </w:r>
      <w:r>
        <w:rPr>
          <w:rFonts w:hint="eastAsia" w:ascii="宋体" w:hAnsi="宋体" w:cs="宋体"/>
          <w:highlight w:val="none"/>
        </w:rPr>
        <w:t>个标段</w:t>
      </w:r>
      <w:r>
        <w:rPr>
          <w:rFonts w:hint="eastAsia" w:ascii="宋体" w:hAnsi="宋体" w:cs="宋体"/>
          <w:highlight w:val="none"/>
          <w:lang w:val="en-US" w:eastAsia="zh-CN"/>
        </w:rPr>
        <w:t>具体如下：</w:t>
      </w:r>
    </w:p>
    <w:tbl>
      <w:tblPr>
        <w:tblStyle w:val="15"/>
        <w:tblW w:w="85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4"/>
        <w:gridCol w:w="1151"/>
        <w:gridCol w:w="1145"/>
        <w:gridCol w:w="1043"/>
        <w:gridCol w:w="828"/>
        <w:gridCol w:w="866"/>
        <w:gridCol w:w="683"/>
        <w:gridCol w:w="1225"/>
        <w:gridCol w:w="944"/>
      </w:tblGrid>
      <w:tr w14:paraId="11A07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4" w:type="dxa"/>
            <w:noWrap w:val="0"/>
            <w:vAlign w:val="center"/>
          </w:tcPr>
          <w:p w14:paraId="2B64C293">
            <w:pPr>
              <w:keepNext w:val="0"/>
              <w:keepLines w:val="0"/>
              <w:widowControl/>
              <w:suppressLineNumbers w:val="0"/>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标段</w:t>
            </w:r>
          </w:p>
        </w:tc>
        <w:tc>
          <w:tcPr>
            <w:tcW w:w="1151" w:type="dxa"/>
            <w:noWrap w:val="0"/>
            <w:vAlign w:val="center"/>
          </w:tcPr>
          <w:p w14:paraId="142FE3CF">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路线名称</w:t>
            </w:r>
          </w:p>
        </w:tc>
        <w:tc>
          <w:tcPr>
            <w:tcW w:w="1145" w:type="dxa"/>
            <w:noWrap w:val="0"/>
            <w:vAlign w:val="center"/>
          </w:tcPr>
          <w:p w14:paraId="3376CA39">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起点桩号</w:t>
            </w:r>
          </w:p>
        </w:tc>
        <w:tc>
          <w:tcPr>
            <w:tcW w:w="1043" w:type="dxa"/>
            <w:noWrap w:val="0"/>
            <w:vAlign w:val="center"/>
          </w:tcPr>
          <w:p w14:paraId="40893499">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终点桩号</w:t>
            </w:r>
          </w:p>
        </w:tc>
        <w:tc>
          <w:tcPr>
            <w:tcW w:w="828" w:type="dxa"/>
            <w:noWrap w:val="0"/>
            <w:vAlign w:val="center"/>
          </w:tcPr>
          <w:p w14:paraId="1487CB05">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长度（km）</w:t>
            </w:r>
          </w:p>
        </w:tc>
        <w:tc>
          <w:tcPr>
            <w:tcW w:w="866" w:type="dxa"/>
            <w:noWrap w:val="0"/>
            <w:vAlign w:val="center"/>
          </w:tcPr>
          <w:p w14:paraId="4E5D1E5D">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总计里程（km）</w:t>
            </w:r>
          </w:p>
        </w:tc>
        <w:tc>
          <w:tcPr>
            <w:tcW w:w="683" w:type="dxa"/>
            <w:noWrap w:val="0"/>
            <w:vAlign w:val="center"/>
          </w:tcPr>
          <w:p w14:paraId="78DC0599">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公路等级</w:t>
            </w:r>
          </w:p>
        </w:tc>
        <w:tc>
          <w:tcPr>
            <w:tcW w:w="1225" w:type="dxa"/>
            <w:noWrap w:val="0"/>
            <w:vAlign w:val="center"/>
          </w:tcPr>
          <w:p w14:paraId="787C8135">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路面类型</w:t>
            </w:r>
          </w:p>
        </w:tc>
        <w:tc>
          <w:tcPr>
            <w:tcW w:w="944" w:type="dxa"/>
            <w:noWrap w:val="0"/>
            <w:vAlign w:val="center"/>
          </w:tcPr>
          <w:p w14:paraId="7CFF3184">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路面宽度（m）</w:t>
            </w:r>
          </w:p>
        </w:tc>
      </w:tr>
      <w:tr w14:paraId="66191A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4" w:type="dxa"/>
            <w:noWrap w:val="0"/>
            <w:vAlign w:val="center"/>
          </w:tcPr>
          <w:p w14:paraId="1B275ACF">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CLRY01</w:t>
            </w:r>
          </w:p>
        </w:tc>
        <w:tc>
          <w:tcPr>
            <w:tcW w:w="1151" w:type="dxa"/>
            <w:noWrap w:val="0"/>
            <w:vAlign w:val="center"/>
          </w:tcPr>
          <w:p w14:paraId="7EDA7143">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绥沈线 G203</w:t>
            </w:r>
          </w:p>
        </w:tc>
        <w:tc>
          <w:tcPr>
            <w:tcW w:w="1145" w:type="dxa"/>
            <w:noWrap w:val="0"/>
            <w:vAlign w:val="center"/>
          </w:tcPr>
          <w:p w14:paraId="44C23067">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rPr>
            </w:pPr>
            <w:r>
              <w:rPr>
                <w:rFonts w:hint="eastAsia" w:ascii="宋体" w:hAnsi="宋体" w:eastAsia="宋体" w:cs="宋体"/>
                <w:spacing w:val="-3"/>
                <w:sz w:val="21"/>
                <w:szCs w:val="21"/>
                <w:highlight w:val="none"/>
                <w:vertAlign w:val="baseline"/>
                <w:lang w:val="en-US" w:eastAsia="zh-CN"/>
              </w:rPr>
              <w:t>K447+533</w:t>
            </w:r>
          </w:p>
        </w:tc>
        <w:tc>
          <w:tcPr>
            <w:tcW w:w="1043" w:type="dxa"/>
            <w:noWrap w:val="0"/>
            <w:vAlign w:val="center"/>
          </w:tcPr>
          <w:p w14:paraId="22376637">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K491+042</w:t>
            </w:r>
          </w:p>
        </w:tc>
        <w:tc>
          <w:tcPr>
            <w:tcW w:w="828" w:type="dxa"/>
            <w:noWrap w:val="0"/>
            <w:vAlign w:val="center"/>
          </w:tcPr>
          <w:p w14:paraId="577C343B">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43.509</w:t>
            </w:r>
          </w:p>
        </w:tc>
        <w:tc>
          <w:tcPr>
            <w:tcW w:w="866" w:type="dxa"/>
            <w:noWrap w:val="0"/>
            <w:vAlign w:val="center"/>
          </w:tcPr>
          <w:p w14:paraId="6F5ACE1F">
            <w:pPr>
              <w:keepNext w:val="0"/>
              <w:keepLines w:val="0"/>
              <w:widowControl/>
              <w:suppressLineNumbers w:val="0"/>
              <w:spacing w:before="115" w:line="219" w:lineRule="auto"/>
              <w:jc w:val="center"/>
              <w:rPr>
                <w:rFonts w:hint="eastAsia" w:ascii="宋体" w:hAnsi="宋体" w:eastAsia="宋体" w:cs="宋体"/>
                <w:spacing w:val="-3"/>
                <w:kern w:val="2"/>
                <w:sz w:val="21"/>
                <w:szCs w:val="21"/>
                <w:highlight w:val="none"/>
                <w:vertAlign w:val="baseline"/>
                <w:lang w:val="en-US" w:eastAsia="zh-CN" w:bidi="ar-SA"/>
              </w:rPr>
            </w:pPr>
            <w:r>
              <w:rPr>
                <w:rFonts w:hint="eastAsia" w:ascii="宋体" w:hAnsi="宋体" w:eastAsia="宋体" w:cs="宋体"/>
                <w:spacing w:val="-3"/>
                <w:sz w:val="21"/>
                <w:szCs w:val="21"/>
                <w:highlight w:val="none"/>
                <w:vertAlign w:val="baseline"/>
                <w:lang w:val="en-US" w:eastAsia="zh-CN"/>
              </w:rPr>
              <w:t>43.509</w:t>
            </w:r>
          </w:p>
        </w:tc>
        <w:tc>
          <w:tcPr>
            <w:tcW w:w="683" w:type="dxa"/>
            <w:noWrap w:val="0"/>
            <w:vAlign w:val="center"/>
          </w:tcPr>
          <w:p w14:paraId="134BF718">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二级</w:t>
            </w:r>
          </w:p>
        </w:tc>
        <w:tc>
          <w:tcPr>
            <w:tcW w:w="1225" w:type="dxa"/>
            <w:noWrap w:val="0"/>
            <w:vAlign w:val="center"/>
          </w:tcPr>
          <w:p w14:paraId="1491F9EF">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沥青混凝土</w:t>
            </w:r>
          </w:p>
        </w:tc>
        <w:tc>
          <w:tcPr>
            <w:tcW w:w="944" w:type="dxa"/>
            <w:noWrap w:val="0"/>
            <w:vAlign w:val="center"/>
          </w:tcPr>
          <w:p w14:paraId="413EDB32">
            <w:pPr>
              <w:keepNext w:val="0"/>
              <w:keepLines w:val="0"/>
              <w:widowControl/>
              <w:suppressLineNumbers w:val="0"/>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12</w:t>
            </w:r>
          </w:p>
        </w:tc>
      </w:tr>
      <w:tr w14:paraId="0D5D3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4" w:type="dxa"/>
            <w:vMerge w:val="restart"/>
            <w:noWrap w:val="0"/>
            <w:vAlign w:val="center"/>
          </w:tcPr>
          <w:p w14:paraId="02090E04">
            <w:pPr>
              <w:spacing w:before="115" w:line="219" w:lineRule="auto"/>
              <w:jc w:val="center"/>
              <w:rPr>
                <w:rFonts w:hint="default" w:ascii="宋体" w:hAnsi="宋体" w:eastAsia="宋体" w:cs="宋体"/>
                <w:spacing w:val="-3"/>
                <w:sz w:val="21"/>
                <w:szCs w:val="21"/>
                <w:highlight w:val="none"/>
                <w:vertAlign w:val="baseline"/>
                <w:lang w:val="en-US"/>
              </w:rPr>
            </w:pPr>
            <w:r>
              <w:rPr>
                <w:rFonts w:hint="eastAsia" w:ascii="宋体" w:hAnsi="宋体" w:eastAsia="宋体" w:cs="宋体"/>
                <w:spacing w:val="-3"/>
                <w:sz w:val="21"/>
                <w:szCs w:val="21"/>
                <w:highlight w:val="none"/>
                <w:vertAlign w:val="baseline"/>
                <w:lang w:val="en-US" w:eastAsia="zh-CN"/>
              </w:rPr>
              <w:t>CLRY02</w:t>
            </w:r>
          </w:p>
        </w:tc>
        <w:tc>
          <w:tcPr>
            <w:tcW w:w="1151" w:type="dxa"/>
            <w:vMerge w:val="restart"/>
            <w:noWrap w:val="0"/>
            <w:vAlign w:val="center"/>
          </w:tcPr>
          <w:p w14:paraId="5A7B0520">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龙东线 G334</w:t>
            </w:r>
          </w:p>
        </w:tc>
        <w:tc>
          <w:tcPr>
            <w:tcW w:w="1145" w:type="dxa"/>
            <w:noWrap w:val="0"/>
            <w:vAlign w:val="center"/>
          </w:tcPr>
          <w:p w14:paraId="40693DA2">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K649+728</w:t>
            </w:r>
          </w:p>
        </w:tc>
        <w:tc>
          <w:tcPr>
            <w:tcW w:w="1043" w:type="dxa"/>
            <w:noWrap w:val="0"/>
            <w:vAlign w:val="center"/>
          </w:tcPr>
          <w:p w14:paraId="492C4694">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K698+233</w:t>
            </w:r>
          </w:p>
        </w:tc>
        <w:tc>
          <w:tcPr>
            <w:tcW w:w="828" w:type="dxa"/>
            <w:noWrap w:val="0"/>
            <w:vAlign w:val="center"/>
          </w:tcPr>
          <w:p w14:paraId="7825E091">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48.505</w:t>
            </w:r>
          </w:p>
        </w:tc>
        <w:tc>
          <w:tcPr>
            <w:tcW w:w="866" w:type="dxa"/>
            <w:vMerge w:val="restart"/>
            <w:noWrap w:val="0"/>
            <w:vAlign w:val="center"/>
          </w:tcPr>
          <w:p w14:paraId="79AEE092">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99.519</w:t>
            </w:r>
          </w:p>
        </w:tc>
        <w:tc>
          <w:tcPr>
            <w:tcW w:w="683" w:type="dxa"/>
            <w:noWrap w:val="0"/>
            <w:vAlign w:val="center"/>
          </w:tcPr>
          <w:p w14:paraId="582737D8">
            <w:pPr>
              <w:keepNext w:val="0"/>
              <w:keepLines w:val="0"/>
              <w:widowControl/>
              <w:suppressLineNumbers w:val="0"/>
              <w:spacing w:before="115" w:line="219" w:lineRule="auto"/>
              <w:jc w:val="center"/>
              <w:rPr>
                <w:rFonts w:hint="eastAsia" w:ascii="宋体" w:hAnsi="宋体" w:eastAsia="宋体" w:cs="宋体"/>
                <w:spacing w:val="-3"/>
                <w:kern w:val="2"/>
                <w:sz w:val="21"/>
                <w:szCs w:val="21"/>
                <w:highlight w:val="none"/>
                <w:vertAlign w:val="baseline"/>
                <w:lang w:val="en-US" w:eastAsia="zh-CN" w:bidi="ar-SA"/>
              </w:rPr>
            </w:pPr>
            <w:r>
              <w:rPr>
                <w:rFonts w:hint="eastAsia" w:ascii="宋体" w:hAnsi="宋体" w:eastAsia="宋体" w:cs="宋体"/>
                <w:spacing w:val="-3"/>
                <w:sz w:val="21"/>
                <w:szCs w:val="21"/>
                <w:highlight w:val="none"/>
                <w:vertAlign w:val="baseline"/>
                <w:lang w:val="en-US" w:eastAsia="zh-CN"/>
              </w:rPr>
              <w:t>二级</w:t>
            </w:r>
          </w:p>
        </w:tc>
        <w:tc>
          <w:tcPr>
            <w:tcW w:w="1225" w:type="dxa"/>
            <w:noWrap w:val="0"/>
            <w:vAlign w:val="center"/>
          </w:tcPr>
          <w:p w14:paraId="44E4E4B6">
            <w:pPr>
              <w:keepNext w:val="0"/>
              <w:keepLines w:val="0"/>
              <w:widowControl/>
              <w:suppressLineNumbers w:val="0"/>
              <w:spacing w:before="115" w:line="219" w:lineRule="auto"/>
              <w:jc w:val="center"/>
              <w:rPr>
                <w:rFonts w:hint="eastAsia" w:ascii="宋体" w:hAnsi="宋体" w:eastAsia="宋体" w:cs="宋体"/>
                <w:spacing w:val="-3"/>
                <w:kern w:val="2"/>
                <w:sz w:val="21"/>
                <w:szCs w:val="21"/>
                <w:highlight w:val="none"/>
                <w:vertAlign w:val="baseline"/>
                <w:lang w:val="en-US" w:eastAsia="zh-CN" w:bidi="ar-SA"/>
              </w:rPr>
            </w:pPr>
            <w:r>
              <w:rPr>
                <w:rFonts w:hint="eastAsia" w:ascii="宋体" w:hAnsi="宋体" w:eastAsia="宋体" w:cs="宋体"/>
                <w:spacing w:val="-3"/>
                <w:sz w:val="21"/>
                <w:szCs w:val="21"/>
                <w:highlight w:val="none"/>
                <w:vertAlign w:val="baseline"/>
                <w:lang w:val="en-US" w:eastAsia="zh-CN"/>
              </w:rPr>
              <w:t>沥青混凝土</w:t>
            </w:r>
          </w:p>
        </w:tc>
        <w:tc>
          <w:tcPr>
            <w:tcW w:w="944" w:type="dxa"/>
            <w:noWrap w:val="0"/>
            <w:vAlign w:val="center"/>
          </w:tcPr>
          <w:p w14:paraId="2179CF4C">
            <w:pPr>
              <w:keepNext w:val="0"/>
              <w:keepLines w:val="0"/>
              <w:widowControl/>
              <w:suppressLineNumbers w:val="0"/>
              <w:spacing w:before="115" w:line="219" w:lineRule="auto"/>
              <w:jc w:val="center"/>
              <w:rPr>
                <w:rFonts w:hint="eastAsia" w:ascii="宋体" w:hAnsi="宋体" w:eastAsia="宋体" w:cs="宋体"/>
                <w:spacing w:val="-3"/>
                <w:kern w:val="2"/>
                <w:sz w:val="21"/>
                <w:szCs w:val="21"/>
                <w:highlight w:val="none"/>
                <w:vertAlign w:val="baseline"/>
                <w:lang w:val="en-US" w:eastAsia="zh-CN" w:bidi="ar-SA"/>
              </w:rPr>
            </w:pPr>
            <w:r>
              <w:rPr>
                <w:rFonts w:hint="eastAsia" w:ascii="宋体" w:hAnsi="宋体" w:eastAsia="宋体" w:cs="宋体"/>
                <w:spacing w:val="-3"/>
                <w:sz w:val="21"/>
                <w:szCs w:val="21"/>
                <w:highlight w:val="none"/>
                <w:vertAlign w:val="baseline"/>
                <w:lang w:val="en-US" w:eastAsia="zh-CN"/>
              </w:rPr>
              <w:t>12</w:t>
            </w:r>
          </w:p>
        </w:tc>
      </w:tr>
      <w:tr w14:paraId="31AEE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4" w:type="dxa"/>
            <w:vMerge w:val="continue"/>
            <w:noWrap w:val="0"/>
            <w:vAlign w:val="center"/>
          </w:tcPr>
          <w:p w14:paraId="5022FAE8">
            <w:pPr>
              <w:spacing w:before="115" w:line="219" w:lineRule="auto"/>
              <w:jc w:val="center"/>
              <w:rPr>
                <w:rFonts w:hint="eastAsia" w:ascii="宋体" w:hAnsi="宋体" w:eastAsia="宋体" w:cs="宋体"/>
                <w:spacing w:val="-3"/>
                <w:sz w:val="21"/>
                <w:szCs w:val="21"/>
                <w:highlight w:val="none"/>
                <w:vertAlign w:val="baseline"/>
              </w:rPr>
            </w:pPr>
          </w:p>
        </w:tc>
        <w:tc>
          <w:tcPr>
            <w:tcW w:w="1151" w:type="dxa"/>
            <w:vMerge w:val="continue"/>
            <w:noWrap w:val="0"/>
            <w:vAlign w:val="center"/>
          </w:tcPr>
          <w:p w14:paraId="113F9688">
            <w:pPr>
              <w:spacing w:before="115" w:line="219" w:lineRule="auto"/>
              <w:jc w:val="center"/>
              <w:rPr>
                <w:rFonts w:hint="eastAsia" w:ascii="宋体" w:hAnsi="宋体" w:eastAsia="宋体" w:cs="宋体"/>
                <w:spacing w:val="-3"/>
                <w:sz w:val="21"/>
                <w:szCs w:val="21"/>
                <w:highlight w:val="none"/>
                <w:vertAlign w:val="baseline"/>
                <w:lang w:val="en-US" w:eastAsia="zh-CN"/>
              </w:rPr>
            </w:pPr>
          </w:p>
        </w:tc>
        <w:tc>
          <w:tcPr>
            <w:tcW w:w="1145" w:type="dxa"/>
            <w:noWrap w:val="0"/>
            <w:vAlign w:val="center"/>
          </w:tcPr>
          <w:p w14:paraId="3833E48C">
            <w:pPr>
              <w:spacing w:before="115" w:line="219" w:lineRule="auto"/>
              <w:jc w:val="center"/>
              <w:rPr>
                <w:rFonts w:hint="eastAsia" w:ascii="宋体" w:hAnsi="宋体" w:eastAsia="宋体" w:cs="宋体"/>
                <w:spacing w:val="-3"/>
                <w:kern w:val="2"/>
                <w:sz w:val="21"/>
                <w:szCs w:val="21"/>
                <w:highlight w:val="none"/>
                <w:vertAlign w:val="baseline"/>
                <w:lang w:val="en-US" w:eastAsia="zh-CN" w:bidi="ar-SA"/>
              </w:rPr>
            </w:pPr>
            <w:r>
              <w:rPr>
                <w:rFonts w:hint="eastAsia" w:ascii="宋体" w:hAnsi="宋体" w:eastAsia="宋体" w:cs="宋体"/>
                <w:spacing w:val="-3"/>
                <w:sz w:val="21"/>
                <w:szCs w:val="21"/>
                <w:highlight w:val="none"/>
                <w:vertAlign w:val="baseline"/>
                <w:lang w:val="en-US" w:eastAsia="zh-CN"/>
              </w:rPr>
              <w:t>K698+233</w:t>
            </w:r>
          </w:p>
        </w:tc>
        <w:tc>
          <w:tcPr>
            <w:tcW w:w="1043" w:type="dxa"/>
            <w:noWrap w:val="0"/>
            <w:vAlign w:val="center"/>
          </w:tcPr>
          <w:p w14:paraId="538644D6">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K699+319</w:t>
            </w:r>
          </w:p>
        </w:tc>
        <w:tc>
          <w:tcPr>
            <w:tcW w:w="828" w:type="dxa"/>
            <w:noWrap w:val="0"/>
            <w:vAlign w:val="center"/>
          </w:tcPr>
          <w:p w14:paraId="504EDE1A">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1.086</w:t>
            </w:r>
          </w:p>
        </w:tc>
        <w:tc>
          <w:tcPr>
            <w:tcW w:w="866" w:type="dxa"/>
            <w:vMerge w:val="continue"/>
            <w:noWrap w:val="0"/>
            <w:vAlign w:val="center"/>
          </w:tcPr>
          <w:p w14:paraId="7F9503CD">
            <w:pPr>
              <w:spacing w:before="115" w:line="219" w:lineRule="auto"/>
              <w:jc w:val="center"/>
              <w:rPr>
                <w:rFonts w:hint="eastAsia" w:ascii="宋体" w:hAnsi="宋体" w:eastAsia="宋体" w:cs="宋体"/>
                <w:spacing w:val="-3"/>
                <w:sz w:val="21"/>
                <w:szCs w:val="21"/>
                <w:highlight w:val="none"/>
                <w:vertAlign w:val="baseline"/>
                <w:lang w:val="en-US" w:eastAsia="zh-CN"/>
              </w:rPr>
            </w:pPr>
          </w:p>
        </w:tc>
        <w:tc>
          <w:tcPr>
            <w:tcW w:w="683" w:type="dxa"/>
            <w:noWrap w:val="0"/>
            <w:vAlign w:val="center"/>
          </w:tcPr>
          <w:p w14:paraId="0A096AC4">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一级</w:t>
            </w:r>
          </w:p>
        </w:tc>
        <w:tc>
          <w:tcPr>
            <w:tcW w:w="1225" w:type="dxa"/>
            <w:noWrap w:val="0"/>
            <w:vAlign w:val="center"/>
          </w:tcPr>
          <w:p w14:paraId="22F5A5BE">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沥青混凝土</w:t>
            </w:r>
          </w:p>
        </w:tc>
        <w:tc>
          <w:tcPr>
            <w:tcW w:w="944" w:type="dxa"/>
            <w:noWrap w:val="0"/>
            <w:vAlign w:val="center"/>
          </w:tcPr>
          <w:p w14:paraId="2F95CDEC">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16</w:t>
            </w:r>
          </w:p>
        </w:tc>
      </w:tr>
      <w:tr w14:paraId="33E72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4" w:type="dxa"/>
            <w:vMerge w:val="continue"/>
            <w:noWrap w:val="0"/>
            <w:vAlign w:val="center"/>
          </w:tcPr>
          <w:p w14:paraId="414466AB">
            <w:pPr>
              <w:spacing w:before="115" w:line="219" w:lineRule="auto"/>
              <w:jc w:val="center"/>
              <w:rPr>
                <w:rFonts w:hint="eastAsia" w:ascii="宋体" w:hAnsi="宋体" w:eastAsia="宋体" w:cs="宋体"/>
                <w:spacing w:val="-3"/>
                <w:sz w:val="21"/>
                <w:szCs w:val="21"/>
                <w:highlight w:val="none"/>
                <w:vertAlign w:val="baseline"/>
              </w:rPr>
            </w:pPr>
          </w:p>
        </w:tc>
        <w:tc>
          <w:tcPr>
            <w:tcW w:w="1151" w:type="dxa"/>
            <w:vMerge w:val="continue"/>
            <w:noWrap w:val="0"/>
            <w:vAlign w:val="center"/>
          </w:tcPr>
          <w:p w14:paraId="6A6AEAF2">
            <w:pPr>
              <w:spacing w:before="115" w:line="219" w:lineRule="auto"/>
              <w:jc w:val="center"/>
              <w:rPr>
                <w:rFonts w:hint="eastAsia" w:ascii="宋体" w:hAnsi="宋体" w:eastAsia="宋体" w:cs="宋体"/>
                <w:spacing w:val="-3"/>
                <w:sz w:val="21"/>
                <w:szCs w:val="21"/>
                <w:highlight w:val="none"/>
                <w:vertAlign w:val="baseline"/>
                <w:lang w:val="en-US" w:eastAsia="zh-CN"/>
              </w:rPr>
            </w:pPr>
          </w:p>
        </w:tc>
        <w:tc>
          <w:tcPr>
            <w:tcW w:w="1145" w:type="dxa"/>
            <w:noWrap w:val="0"/>
            <w:vAlign w:val="center"/>
          </w:tcPr>
          <w:p w14:paraId="1FE4986D">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K699+319</w:t>
            </w:r>
          </w:p>
        </w:tc>
        <w:tc>
          <w:tcPr>
            <w:tcW w:w="1043" w:type="dxa"/>
            <w:noWrap w:val="0"/>
            <w:vAlign w:val="center"/>
          </w:tcPr>
          <w:p w14:paraId="5F2B0045">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K709+085</w:t>
            </w:r>
          </w:p>
        </w:tc>
        <w:tc>
          <w:tcPr>
            <w:tcW w:w="828" w:type="dxa"/>
            <w:noWrap w:val="0"/>
            <w:vAlign w:val="center"/>
          </w:tcPr>
          <w:p w14:paraId="46BC71D3">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9.766</w:t>
            </w:r>
          </w:p>
        </w:tc>
        <w:tc>
          <w:tcPr>
            <w:tcW w:w="866" w:type="dxa"/>
            <w:vMerge w:val="continue"/>
            <w:noWrap w:val="0"/>
            <w:vAlign w:val="center"/>
          </w:tcPr>
          <w:p w14:paraId="2E488E50">
            <w:pPr>
              <w:spacing w:before="115" w:line="219" w:lineRule="auto"/>
              <w:jc w:val="center"/>
              <w:rPr>
                <w:rFonts w:hint="eastAsia" w:ascii="宋体" w:hAnsi="宋体" w:eastAsia="宋体" w:cs="宋体"/>
                <w:spacing w:val="-3"/>
                <w:sz w:val="21"/>
                <w:szCs w:val="21"/>
                <w:highlight w:val="none"/>
                <w:vertAlign w:val="baseline"/>
                <w:lang w:val="en-US" w:eastAsia="zh-CN"/>
              </w:rPr>
            </w:pPr>
          </w:p>
        </w:tc>
        <w:tc>
          <w:tcPr>
            <w:tcW w:w="683" w:type="dxa"/>
            <w:noWrap w:val="0"/>
            <w:vAlign w:val="center"/>
          </w:tcPr>
          <w:p w14:paraId="556E5C92">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二级</w:t>
            </w:r>
          </w:p>
        </w:tc>
        <w:tc>
          <w:tcPr>
            <w:tcW w:w="1225" w:type="dxa"/>
            <w:noWrap w:val="0"/>
            <w:vAlign w:val="center"/>
          </w:tcPr>
          <w:p w14:paraId="5FEB2387">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沥青混凝土</w:t>
            </w:r>
          </w:p>
        </w:tc>
        <w:tc>
          <w:tcPr>
            <w:tcW w:w="944" w:type="dxa"/>
            <w:noWrap w:val="0"/>
            <w:vAlign w:val="center"/>
          </w:tcPr>
          <w:p w14:paraId="3543392D">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12</w:t>
            </w:r>
          </w:p>
        </w:tc>
      </w:tr>
      <w:tr w14:paraId="4FB0E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4" w:type="dxa"/>
            <w:vMerge w:val="continue"/>
            <w:noWrap w:val="0"/>
            <w:vAlign w:val="center"/>
          </w:tcPr>
          <w:p w14:paraId="4962F966">
            <w:pPr>
              <w:spacing w:before="115" w:line="219" w:lineRule="auto"/>
              <w:jc w:val="center"/>
              <w:rPr>
                <w:rFonts w:hint="eastAsia" w:ascii="宋体" w:hAnsi="宋体" w:eastAsia="宋体" w:cs="宋体"/>
                <w:spacing w:val="-3"/>
                <w:sz w:val="21"/>
                <w:szCs w:val="21"/>
                <w:highlight w:val="none"/>
                <w:vertAlign w:val="baseline"/>
              </w:rPr>
            </w:pPr>
          </w:p>
        </w:tc>
        <w:tc>
          <w:tcPr>
            <w:tcW w:w="1151" w:type="dxa"/>
            <w:noWrap w:val="0"/>
            <w:vAlign w:val="center"/>
          </w:tcPr>
          <w:p w14:paraId="39042A6B">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嫩双线G231</w:t>
            </w:r>
          </w:p>
        </w:tc>
        <w:tc>
          <w:tcPr>
            <w:tcW w:w="1145" w:type="dxa"/>
            <w:noWrap w:val="0"/>
            <w:vAlign w:val="center"/>
          </w:tcPr>
          <w:p w14:paraId="41FEC767">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K659+603</w:t>
            </w:r>
          </w:p>
        </w:tc>
        <w:tc>
          <w:tcPr>
            <w:tcW w:w="1043" w:type="dxa"/>
            <w:noWrap w:val="0"/>
            <w:vAlign w:val="center"/>
          </w:tcPr>
          <w:p w14:paraId="34BE5757">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K699+765</w:t>
            </w:r>
          </w:p>
        </w:tc>
        <w:tc>
          <w:tcPr>
            <w:tcW w:w="828" w:type="dxa"/>
            <w:noWrap w:val="0"/>
            <w:vAlign w:val="center"/>
          </w:tcPr>
          <w:p w14:paraId="035E39A0">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40.162</w:t>
            </w:r>
          </w:p>
        </w:tc>
        <w:tc>
          <w:tcPr>
            <w:tcW w:w="866" w:type="dxa"/>
            <w:vMerge w:val="continue"/>
            <w:noWrap w:val="0"/>
            <w:vAlign w:val="center"/>
          </w:tcPr>
          <w:p w14:paraId="12BFC7BB">
            <w:pPr>
              <w:spacing w:before="115" w:line="219" w:lineRule="auto"/>
              <w:jc w:val="center"/>
              <w:rPr>
                <w:rFonts w:hint="eastAsia" w:ascii="宋体" w:hAnsi="宋体" w:eastAsia="宋体" w:cs="宋体"/>
                <w:spacing w:val="-3"/>
                <w:sz w:val="21"/>
                <w:szCs w:val="21"/>
                <w:highlight w:val="none"/>
                <w:vertAlign w:val="baseline"/>
                <w:lang w:val="en-US" w:eastAsia="zh-CN"/>
              </w:rPr>
            </w:pPr>
          </w:p>
        </w:tc>
        <w:tc>
          <w:tcPr>
            <w:tcW w:w="683" w:type="dxa"/>
            <w:noWrap w:val="0"/>
            <w:vAlign w:val="center"/>
          </w:tcPr>
          <w:p w14:paraId="717B29F9">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二级</w:t>
            </w:r>
          </w:p>
        </w:tc>
        <w:tc>
          <w:tcPr>
            <w:tcW w:w="1225" w:type="dxa"/>
            <w:noWrap w:val="0"/>
            <w:vAlign w:val="center"/>
          </w:tcPr>
          <w:p w14:paraId="64181E39">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沥青混凝土</w:t>
            </w:r>
          </w:p>
        </w:tc>
        <w:tc>
          <w:tcPr>
            <w:tcW w:w="944" w:type="dxa"/>
            <w:noWrap w:val="0"/>
            <w:vAlign w:val="center"/>
          </w:tcPr>
          <w:p w14:paraId="39E3BCD8">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12</w:t>
            </w:r>
          </w:p>
        </w:tc>
      </w:tr>
      <w:tr w14:paraId="49C9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4" w:type="dxa"/>
            <w:vMerge w:val="restart"/>
            <w:noWrap w:val="0"/>
            <w:vAlign w:val="center"/>
          </w:tcPr>
          <w:p w14:paraId="70535D7C">
            <w:pPr>
              <w:spacing w:before="115" w:line="219" w:lineRule="auto"/>
              <w:jc w:val="center"/>
              <w:rPr>
                <w:rFonts w:hint="default" w:ascii="宋体" w:hAnsi="宋体" w:eastAsia="宋体" w:cs="宋体"/>
                <w:spacing w:val="-3"/>
                <w:sz w:val="21"/>
                <w:szCs w:val="21"/>
                <w:highlight w:val="none"/>
                <w:vertAlign w:val="baseline"/>
                <w:lang w:val="en-US"/>
              </w:rPr>
            </w:pPr>
            <w:r>
              <w:rPr>
                <w:rFonts w:hint="eastAsia" w:ascii="宋体" w:hAnsi="宋体" w:eastAsia="宋体" w:cs="宋体"/>
                <w:spacing w:val="-3"/>
                <w:sz w:val="21"/>
                <w:szCs w:val="21"/>
                <w:highlight w:val="none"/>
                <w:vertAlign w:val="baseline"/>
                <w:lang w:val="en-US" w:eastAsia="zh-CN"/>
              </w:rPr>
              <w:t>CLRY03</w:t>
            </w:r>
          </w:p>
        </w:tc>
        <w:tc>
          <w:tcPr>
            <w:tcW w:w="1151" w:type="dxa"/>
            <w:noWrap w:val="0"/>
            <w:vAlign w:val="center"/>
          </w:tcPr>
          <w:p w14:paraId="63BE10B3">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龙东线G334</w:t>
            </w:r>
          </w:p>
        </w:tc>
        <w:tc>
          <w:tcPr>
            <w:tcW w:w="1145" w:type="dxa"/>
            <w:noWrap w:val="0"/>
            <w:vAlign w:val="center"/>
          </w:tcPr>
          <w:p w14:paraId="704B669B">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K718+799</w:t>
            </w:r>
          </w:p>
        </w:tc>
        <w:tc>
          <w:tcPr>
            <w:tcW w:w="1043" w:type="dxa"/>
            <w:noWrap w:val="0"/>
            <w:vAlign w:val="center"/>
          </w:tcPr>
          <w:p w14:paraId="14EB6057">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K744+218</w:t>
            </w:r>
          </w:p>
        </w:tc>
        <w:tc>
          <w:tcPr>
            <w:tcW w:w="828" w:type="dxa"/>
            <w:noWrap w:val="0"/>
            <w:vAlign w:val="center"/>
          </w:tcPr>
          <w:p w14:paraId="5BA0DDF3">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25.419</w:t>
            </w:r>
          </w:p>
        </w:tc>
        <w:tc>
          <w:tcPr>
            <w:tcW w:w="866" w:type="dxa"/>
            <w:vMerge w:val="restart"/>
            <w:noWrap w:val="0"/>
            <w:vAlign w:val="center"/>
          </w:tcPr>
          <w:p w14:paraId="542F4924">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69.328</w:t>
            </w:r>
          </w:p>
        </w:tc>
        <w:tc>
          <w:tcPr>
            <w:tcW w:w="683" w:type="dxa"/>
            <w:noWrap w:val="0"/>
            <w:vAlign w:val="center"/>
          </w:tcPr>
          <w:p w14:paraId="5C1C6F08">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二级</w:t>
            </w:r>
          </w:p>
        </w:tc>
        <w:tc>
          <w:tcPr>
            <w:tcW w:w="1225" w:type="dxa"/>
            <w:noWrap w:val="0"/>
            <w:vAlign w:val="center"/>
          </w:tcPr>
          <w:p w14:paraId="0C279DD2">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沥青混凝土</w:t>
            </w:r>
          </w:p>
        </w:tc>
        <w:tc>
          <w:tcPr>
            <w:tcW w:w="944" w:type="dxa"/>
            <w:noWrap w:val="0"/>
            <w:vAlign w:val="center"/>
          </w:tcPr>
          <w:p w14:paraId="5F453877">
            <w:pPr>
              <w:spacing w:before="115" w:line="219" w:lineRule="auto"/>
              <w:jc w:val="center"/>
              <w:rPr>
                <w:rFonts w:hint="eastAsia"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12</w:t>
            </w:r>
          </w:p>
        </w:tc>
      </w:tr>
      <w:tr w14:paraId="55333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664" w:type="dxa"/>
            <w:vMerge w:val="continue"/>
            <w:noWrap w:val="0"/>
            <w:vAlign w:val="center"/>
          </w:tcPr>
          <w:p w14:paraId="4F581094">
            <w:pPr>
              <w:spacing w:before="115" w:line="219" w:lineRule="auto"/>
              <w:jc w:val="center"/>
              <w:rPr>
                <w:rFonts w:hint="eastAsia" w:ascii="宋体" w:hAnsi="宋体" w:eastAsia="宋体" w:cs="宋体"/>
                <w:spacing w:val="-3"/>
                <w:sz w:val="21"/>
                <w:szCs w:val="21"/>
                <w:highlight w:val="none"/>
                <w:vertAlign w:val="baseline"/>
                <w:lang w:val="en-US" w:eastAsia="zh-CN"/>
              </w:rPr>
            </w:pPr>
          </w:p>
        </w:tc>
        <w:tc>
          <w:tcPr>
            <w:tcW w:w="1151" w:type="dxa"/>
            <w:noWrap w:val="0"/>
            <w:vAlign w:val="center"/>
          </w:tcPr>
          <w:p w14:paraId="35748E5C">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前太线S517</w:t>
            </w:r>
          </w:p>
        </w:tc>
        <w:tc>
          <w:tcPr>
            <w:tcW w:w="1145" w:type="dxa"/>
            <w:noWrap w:val="0"/>
            <w:vAlign w:val="center"/>
          </w:tcPr>
          <w:p w14:paraId="39EC5F12">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K0+000</w:t>
            </w:r>
          </w:p>
        </w:tc>
        <w:tc>
          <w:tcPr>
            <w:tcW w:w="1043" w:type="dxa"/>
            <w:noWrap w:val="0"/>
            <w:vAlign w:val="center"/>
          </w:tcPr>
          <w:p w14:paraId="67256968">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K43+909</w:t>
            </w:r>
          </w:p>
        </w:tc>
        <w:tc>
          <w:tcPr>
            <w:tcW w:w="828" w:type="dxa"/>
            <w:noWrap w:val="0"/>
            <w:vAlign w:val="center"/>
          </w:tcPr>
          <w:p w14:paraId="165DCFED">
            <w:pPr>
              <w:spacing w:before="115" w:line="219" w:lineRule="auto"/>
              <w:jc w:val="center"/>
              <w:rPr>
                <w:rFonts w:hint="default" w:ascii="宋体" w:hAnsi="宋体" w:eastAsia="宋体" w:cs="宋体"/>
                <w:spacing w:val="-3"/>
                <w:sz w:val="21"/>
                <w:szCs w:val="21"/>
                <w:highlight w:val="none"/>
                <w:vertAlign w:val="baseline"/>
                <w:lang w:val="en-US" w:eastAsia="zh-CN"/>
              </w:rPr>
            </w:pPr>
            <w:r>
              <w:rPr>
                <w:rFonts w:hint="eastAsia" w:ascii="宋体" w:hAnsi="宋体" w:eastAsia="宋体" w:cs="宋体"/>
                <w:spacing w:val="-3"/>
                <w:sz w:val="21"/>
                <w:szCs w:val="21"/>
                <w:highlight w:val="none"/>
                <w:vertAlign w:val="baseline"/>
                <w:lang w:val="en-US" w:eastAsia="zh-CN"/>
              </w:rPr>
              <w:t>43.909</w:t>
            </w:r>
          </w:p>
        </w:tc>
        <w:tc>
          <w:tcPr>
            <w:tcW w:w="866" w:type="dxa"/>
            <w:vMerge w:val="continue"/>
            <w:noWrap w:val="0"/>
            <w:vAlign w:val="center"/>
          </w:tcPr>
          <w:p w14:paraId="43E7A3A3">
            <w:pPr>
              <w:spacing w:before="115" w:line="219" w:lineRule="auto"/>
              <w:jc w:val="center"/>
              <w:rPr>
                <w:rFonts w:hint="eastAsia" w:ascii="宋体" w:hAnsi="宋体" w:eastAsia="宋体" w:cs="宋体"/>
                <w:spacing w:val="-3"/>
                <w:sz w:val="21"/>
                <w:szCs w:val="21"/>
                <w:highlight w:val="none"/>
                <w:vertAlign w:val="baseline"/>
                <w:lang w:val="en-US" w:eastAsia="zh-CN"/>
              </w:rPr>
            </w:pPr>
          </w:p>
        </w:tc>
        <w:tc>
          <w:tcPr>
            <w:tcW w:w="683" w:type="dxa"/>
            <w:noWrap w:val="0"/>
            <w:vAlign w:val="center"/>
          </w:tcPr>
          <w:p w14:paraId="57E89D1C">
            <w:pPr>
              <w:spacing w:before="115" w:line="219" w:lineRule="auto"/>
              <w:jc w:val="center"/>
              <w:rPr>
                <w:rFonts w:hint="eastAsia" w:ascii="宋体" w:hAnsi="宋体" w:eastAsia="宋体" w:cs="宋体"/>
                <w:spacing w:val="-3"/>
                <w:kern w:val="2"/>
                <w:sz w:val="21"/>
                <w:szCs w:val="21"/>
                <w:highlight w:val="none"/>
                <w:vertAlign w:val="baseline"/>
                <w:lang w:val="en-US" w:eastAsia="zh-CN" w:bidi="ar-SA"/>
              </w:rPr>
            </w:pPr>
            <w:r>
              <w:rPr>
                <w:rFonts w:hint="eastAsia" w:ascii="宋体" w:hAnsi="宋体" w:eastAsia="宋体" w:cs="宋体"/>
                <w:spacing w:val="-3"/>
                <w:sz w:val="21"/>
                <w:szCs w:val="21"/>
                <w:highlight w:val="none"/>
                <w:vertAlign w:val="baseline"/>
                <w:lang w:val="en-US" w:eastAsia="zh-CN"/>
              </w:rPr>
              <w:t>二级</w:t>
            </w:r>
          </w:p>
        </w:tc>
        <w:tc>
          <w:tcPr>
            <w:tcW w:w="1225" w:type="dxa"/>
            <w:noWrap w:val="0"/>
            <w:vAlign w:val="center"/>
          </w:tcPr>
          <w:p w14:paraId="14BD4B60">
            <w:pPr>
              <w:spacing w:before="115" w:line="219" w:lineRule="auto"/>
              <w:jc w:val="center"/>
              <w:rPr>
                <w:rFonts w:hint="eastAsia" w:ascii="宋体" w:hAnsi="宋体" w:eastAsia="宋体" w:cs="宋体"/>
                <w:spacing w:val="-3"/>
                <w:kern w:val="2"/>
                <w:sz w:val="21"/>
                <w:szCs w:val="21"/>
                <w:highlight w:val="none"/>
                <w:vertAlign w:val="baseline"/>
                <w:lang w:val="en-US" w:eastAsia="zh-CN" w:bidi="ar-SA"/>
              </w:rPr>
            </w:pPr>
            <w:r>
              <w:rPr>
                <w:rFonts w:hint="eastAsia" w:ascii="宋体" w:hAnsi="宋体" w:eastAsia="宋体" w:cs="宋体"/>
                <w:spacing w:val="-3"/>
                <w:sz w:val="21"/>
                <w:szCs w:val="21"/>
                <w:highlight w:val="none"/>
                <w:vertAlign w:val="baseline"/>
                <w:lang w:val="en-US" w:eastAsia="zh-CN"/>
              </w:rPr>
              <w:t>沥青混凝土</w:t>
            </w:r>
          </w:p>
        </w:tc>
        <w:tc>
          <w:tcPr>
            <w:tcW w:w="944" w:type="dxa"/>
            <w:noWrap w:val="0"/>
            <w:vAlign w:val="center"/>
          </w:tcPr>
          <w:p w14:paraId="272C0794">
            <w:pPr>
              <w:spacing w:before="115" w:line="219" w:lineRule="auto"/>
              <w:jc w:val="center"/>
              <w:rPr>
                <w:rFonts w:hint="eastAsia" w:ascii="宋体" w:hAnsi="宋体" w:eastAsia="宋体" w:cs="宋体"/>
                <w:spacing w:val="-3"/>
                <w:kern w:val="2"/>
                <w:sz w:val="21"/>
                <w:szCs w:val="21"/>
                <w:highlight w:val="none"/>
                <w:vertAlign w:val="baseline"/>
                <w:lang w:val="en-US" w:eastAsia="zh-CN" w:bidi="ar-SA"/>
              </w:rPr>
            </w:pPr>
            <w:r>
              <w:rPr>
                <w:rFonts w:hint="eastAsia" w:ascii="宋体" w:hAnsi="宋体" w:eastAsia="宋体" w:cs="宋体"/>
                <w:spacing w:val="-3"/>
                <w:sz w:val="21"/>
                <w:szCs w:val="21"/>
                <w:highlight w:val="none"/>
                <w:vertAlign w:val="baseline"/>
                <w:lang w:val="en-US" w:eastAsia="zh-CN"/>
              </w:rPr>
              <w:t>12</w:t>
            </w:r>
          </w:p>
        </w:tc>
      </w:tr>
    </w:tbl>
    <w:p w14:paraId="4253A513">
      <w:pPr>
        <w:spacing w:line="500" w:lineRule="exact"/>
        <w:rPr>
          <w:rFonts w:hint="eastAsia" w:ascii="宋体" w:hAnsi="宋体" w:eastAsia="宋体" w:cs="宋体"/>
          <w:highlight w:val="none"/>
          <w:lang w:eastAsia="zh-CN"/>
        </w:rPr>
      </w:pPr>
      <w:r>
        <w:rPr>
          <w:rFonts w:hint="eastAsia" w:ascii="宋体" w:hAnsi="宋体" w:eastAsia="宋体" w:cs="宋体"/>
          <w:highlight w:val="none"/>
        </w:rPr>
        <w:t>2.4</w:t>
      </w:r>
      <w:bookmarkEnd w:id="25"/>
      <w:bookmarkEnd w:id="26"/>
      <w:r>
        <w:rPr>
          <w:rFonts w:hint="eastAsia" w:ascii="宋体" w:hAnsi="宋体" w:eastAsia="宋体" w:cs="宋体"/>
          <w:highlight w:val="none"/>
        </w:rPr>
        <w:t>各标段招标范围为标段对应</w:t>
      </w:r>
      <w:r>
        <w:rPr>
          <w:rFonts w:ascii="宋体" w:hAnsi="宋体" w:cs="宋体"/>
          <w:highlight w:val="none"/>
        </w:rPr>
        <w:t>公路用地范围内路基、路面、</w:t>
      </w:r>
      <w:r>
        <w:rPr>
          <w:rFonts w:hint="eastAsia" w:ascii="宋体" w:hAnsi="宋体" w:cs="宋体"/>
          <w:highlight w:val="none"/>
          <w:lang w:eastAsia="zh-CN"/>
        </w:rPr>
        <w:t>桥涵</w:t>
      </w:r>
      <w:r>
        <w:rPr>
          <w:rFonts w:ascii="宋体" w:hAnsi="宋体" w:cs="宋体"/>
          <w:highlight w:val="none"/>
        </w:rPr>
        <w:t>、沿线设施、交通安全设施、绿化等项目的日常巡查、日常保养、日常维修及防汛抢险</w:t>
      </w:r>
      <w:r>
        <w:rPr>
          <w:rFonts w:hint="eastAsia" w:ascii="宋体" w:hAnsi="宋体" w:cs="宋体"/>
          <w:highlight w:val="none"/>
          <w:lang w:eastAsia="zh-CN"/>
        </w:rPr>
        <w:t>、</w:t>
      </w:r>
      <w:r>
        <w:rPr>
          <w:rFonts w:hint="eastAsia" w:ascii="宋体" w:hAnsi="宋体" w:cs="宋体"/>
          <w:highlight w:val="none"/>
          <w:lang w:val="en-US" w:eastAsia="zh-CN"/>
        </w:rPr>
        <w:t>除雪防滑</w:t>
      </w:r>
      <w:r>
        <w:rPr>
          <w:rFonts w:ascii="宋体" w:hAnsi="宋体" w:cs="宋体"/>
          <w:highlight w:val="none"/>
        </w:rPr>
        <w:t>等其他日常养护作业</w:t>
      </w:r>
      <w:r>
        <w:rPr>
          <w:rFonts w:hint="eastAsia" w:ascii="宋体" w:hAnsi="宋体" w:eastAsia="宋体" w:cs="宋体"/>
          <w:highlight w:val="none"/>
          <w:lang w:val="en-US" w:eastAsia="zh-CN"/>
        </w:rPr>
        <w:t>（包括全部路段内的桥梁除雪工作；松原地区普通国省干线公路桥梁一体化养护项目实施期间，桥梁其他日常养护实施除外）</w:t>
      </w:r>
      <w:r>
        <w:rPr>
          <w:rFonts w:ascii="宋体" w:hAnsi="宋体" w:cs="宋体"/>
          <w:highlight w:val="none"/>
        </w:rPr>
        <w:t>。</w:t>
      </w:r>
    </w:p>
    <w:p w14:paraId="39F7C724">
      <w:pPr>
        <w:spacing w:line="500" w:lineRule="exact"/>
        <w:rPr>
          <w:rFonts w:hint="eastAsia" w:ascii="宋体" w:hAnsi="宋体" w:cs="宋体"/>
          <w:highlight w:val="none"/>
        </w:rPr>
      </w:pPr>
      <w:r>
        <w:rPr>
          <w:rFonts w:hint="eastAsia" w:ascii="宋体" w:hAnsi="宋体" w:cs="宋体"/>
          <w:highlight w:val="none"/>
        </w:rPr>
        <w:t>2.5计划工期：</w:t>
      </w:r>
      <w:r>
        <w:rPr>
          <w:rFonts w:hint="eastAsia" w:ascii="宋体" w:hAnsi="宋体" w:cs="宋体"/>
          <w:highlight w:val="none"/>
          <w:lang w:val="en-US" w:eastAsia="zh-CN"/>
        </w:rPr>
        <w:t>从开工之日起至</w:t>
      </w:r>
      <w:r>
        <w:rPr>
          <w:rFonts w:hint="eastAsia" w:ascii="宋体" w:hAnsi="宋体" w:cs="宋体"/>
          <w:highlight w:val="none"/>
        </w:rPr>
        <w:t>202</w:t>
      </w:r>
      <w:r>
        <w:rPr>
          <w:rFonts w:hint="eastAsia" w:ascii="宋体" w:hAnsi="宋体" w:cs="宋体"/>
          <w:highlight w:val="none"/>
          <w:lang w:val="en-US" w:eastAsia="zh-CN"/>
        </w:rPr>
        <w:t>8</w:t>
      </w:r>
      <w:r>
        <w:rPr>
          <w:rFonts w:hint="eastAsia" w:ascii="宋体" w:hAnsi="宋体" w:cs="宋体"/>
          <w:highlight w:val="none"/>
        </w:rPr>
        <w:t>年</w:t>
      </w:r>
      <w:r>
        <w:rPr>
          <w:rFonts w:hint="eastAsia" w:ascii="宋体" w:hAnsi="宋体" w:cs="宋体"/>
          <w:highlight w:val="none"/>
          <w:lang w:val="en-US" w:eastAsia="zh-CN"/>
        </w:rPr>
        <w:t>12</w:t>
      </w:r>
      <w:r>
        <w:rPr>
          <w:rFonts w:hint="eastAsia" w:ascii="宋体" w:hAnsi="宋体" w:cs="宋体"/>
          <w:highlight w:val="none"/>
        </w:rPr>
        <w:t>月31日，</w:t>
      </w:r>
      <w:r>
        <w:rPr>
          <w:rFonts w:hint="eastAsia" w:ascii="宋体" w:hAnsi="宋体" w:cs="宋体"/>
          <w:highlight w:val="none"/>
          <w:lang w:val="en-US" w:eastAsia="zh-CN"/>
        </w:rPr>
        <w:t>（暂定925日历天，计划开工日</w:t>
      </w:r>
      <w:r>
        <w:rPr>
          <w:rFonts w:hint="eastAsia" w:ascii="宋体" w:hAnsi="宋体" w:cs="宋体"/>
          <w:highlight w:val="none"/>
          <w:u w:val="none"/>
          <w:lang w:val="en-US" w:eastAsia="zh-CN"/>
        </w:rPr>
        <w:t>期202</w:t>
      </w:r>
      <w:r>
        <w:rPr>
          <w:rFonts w:hint="eastAsia" w:ascii="宋体" w:hAnsi="宋体" w:cs="宋体"/>
          <w:highlight w:val="none"/>
          <w:lang w:val="en-US" w:eastAsia="zh-CN"/>
        </w:rPr>
        <w:t>6 年6月20日）</w:t>
      </w:r>
      <w:r>
        <w:rPr>
          <w:rFonts w:hint="eastAsia" w:ascii="宋体" w:hAnsi="宋体" w:cs="宋体"/>
          <w:highlight w:val="none"/>
        </w:rPr>
        <w:t>。</w:t>
      </w:r>
    </w:p>
    <w:bookmarkEnd w:id="27"/>
    <w:bookmarkEnd w:id="28"/>
    <w:bookmarkEnd w:id="29"/>
    <w:bookmarkEnd w:id="30"/>
    <w:bookmarkEnd w:id="31"/>
    <w:bookmarkEnd w:id="32"/>
    <w:bookmarkEnd w:id="33"/>
    <w:bookmarkEnd w:id="34"/>
    <w:bookmarkEnd w:id="35"/>
    <w:bookmarkEnd w:id="36"/>
    <w:p w14:paraId="5825AD2C">
      <w:pPr>
        <w:spacing w:line="500" w:lineRule="exact"/>
        <w:rPr>
          <w:rFonts w:ascii="宋体" w:hAnsi="宋体" w:cs="宋体"/>
          <w:szCs w:val="21"/>
          <w:highlight w:val="none"/>
        </w:rPr>
      </w:pPr>
      <w:r>
        <w:rPr>
          <w:rFonts w:hint="eastAsia" w:ascii="宋体" w:hAnsi="宋体" w:cs="宋体"/>
          <w:szCs w:val="21"/>
          <w:highlight w:val="none"/>
        </w:rPr>
        <w:t>3.投标人资格要求</w:t>
      </w:r>
    </w:p>
    <w:p w14:paraId="6C88DFE0">
      <w:pPr>
        <w:wordWrap w:val="0"/>
        <w:adjustRightInd w:val="0"/>
        <w:snapToGrid w:val="0"/>
        <w:spacing w:line="500" w:lineRule="exact"/>
        <w:jc w:val="left"/>
        <w:rPr>
          <w:rFonts w:hint="eastAsia" w:ascii="宋体" w:hAnsi="宋体" w:cs="宋体"/>
          <w:szCs w:val="21"/>
          <w:highlight w:val="none"/>
        </w:rPr>
      </w:pPr>
      <w:r>
        <w:rPr>
          <w:rFonts w:hint="eastAsia" w:ascii="宋体" w:hAnsi="宋体" w:cs="宋体"/>
          <w:szCs w:val="21"/>
          <w:highlight w:val="none"/>
        </w:rPr>
        <w:t>3.1</w:t>
      </w:r>
      <w:r>
        <w:rPr>
          <w:rFonts w:hint="eastAsia" w:ascii="宋体" w:hAnsi="宋体" w:cs="宋体"/>
          <w:szCs w:val="21"/>
          <w:highlight w:val="none"/>
          <w:lang w:val="en-US" w:eastAsia="zh-CN"/>
        </w:rPr>
        <w:t>本次招标要求投标人应是法人或者能够独立承担民事责任的其他组织，并须在人员、设备、财务等方面具有相应的日常养护能力</w:t>
      </w:r>
      <w:r>
        <w:rPr>
          <w:rFonts w:hint="eastAsia" w:ascii="宋体" w:hAnsi="宋体" w:cs="宋体"/>
          <w:szCs w:val="21"/>
          <w:highlight w:val="none"/>
        </w:rPr>
        <w:t>。</w:t>
      </w:r>
    </w:p>
    <w:p w14:paraId="0BD39AC0">
      <w:pPr>
        <w:spacing w:line="500" w:lineRule="exact"/>
        <w:rPr>
          <w:rFonts w:hint="eastAsia" w:ascii="宋体" w:hAnsi="宋体" w:cs="宋体"/>
          <w:highlight w:val="none"/>
        </w:rPr>
      </w:pPr>
      <w:r>
        <w:rPr>
          <w:rFonts w:hint="eastAsia" w:ascii="宋体" w:hAnsi="宋体" w:cs="宋体"/>
          <w:highlight w:val="none"/>
        </w:rPr>
        <w:t>3.2本次招标不接受联合体投标。</w:t>
      </w:r>
    </w:p>
    <w:p w14:paraId="1488216B">
      <w:pPr>
        <w:spacing w:line="500" w:lineRule="exact"/>
        <w:rPr>
          <w:rFonts w:hint="eastAsia" w:ascii="宋体" w:hAnsi="宋体" w:cs="宋体"/>
          <w:highlight w:val="none"/>
        </w:rPr>
      </w:pPr>
      <w:r>
        <w:rPr>
          <w:rFonts w:hint="eastAsia" w:ascii="宋体" w:hAnsi="宋体" w:cs="宋体"/>
          <w:highlight w:val="none"/>
        </w:rPr>
        <w:t>3.3</w:t>
      </w:r>
      <w:r>
        <w:rPr>
          <w:rFonts w:hint="eastAsia" w:ascii="宋体" w:hAnsi="宋体" w:cs="宋体"/>
          <w:highlight w:val="none"/>
          <w:lang w:val="en-US" w:eastAsia="zh-CN"/>
        </w:rPr>
        <w:t>本次招标中每个投标人可对所有标段投标，每个投标人允许中1个标段。按照CLRY01</w:t>
      </w:r>
      <w:r>
        <w:rPr>
          <w:rFonts w:hint="default" w:ascii="Arial" w:hAnsi="Arial" w:cs="Arial"/>
          <w:highlight w:val="none"/>
          <w:lang w:val="en-US" w:eastAsia="zh-CN"/>
        </w:rPr>
        <w:t>→</w:t>
      </w:r>
      <w:r>
        <w:rPr>
          <w:rFonts w:hint="eastAsia" w:ascii="宋体" w:hAnsi="宋体" w:cs="宋体"/>
          <w:highlight w:val="none"/>
          <w:lang w:val="en-US" w:eastAsia="zh-CN"/>
        </w:rPr>
        <w:t>CLRY02</w:t>
      </w:r>
      <w:r>
        <w:rPr>
          <w:rFonts w:hint="default" w:ascii="Arial" w:hAnsi="Arial" w:cs="Arial"/>
          <w:highlight w:val="none"/>
          <w:lang w:val="en-US" w:eastAsia="zh-CN"/>
        </w:rPr>
        <w:t>→</w:t>
      </w:r>
      <w:r>
        <w:rPr>
          <w:rFonts w:hint="eastAsia" w:ascii="宋体" w:hAnsi="宋体" w:cs="宋体"/>
          <w:highlight w:val="none"/>
          <w:lang w:val="en-US" w:eastAsia="zh-CN"/>
        </w:rPr>
        <w:t>CLRY03标段从小到大依次顺序评标，投标人在前一个标段被推荐为中标候选人的，后续标段将不被推荐为中标候选人。</w:t>
      </w:r>
    </w:p>
    <w:p w14:paraId="1A37D861">
      <w:pPr>
        <w:spacing w:line="500" w:lineRule="exact"/>
        <w:rPr>
          <w:rFonts w:ascii="宋体" w:hAnsi="宋体" w:cs="宋体"/>
          <w:highlight w:val="none"/>
        </w:rPr>
      </w:pPr>
      <w:r>
        <w:rPr>
          <w:rFonts w:hint="eastAsia" w:ascii="宋体" w:hAnsi="宋体" w:cs="宋体"/>
          <w:highlight w:val="none"/>
          <w:lang w:val="en-US" w:eastAsia="zh-CN"/>
        </w:rPr>
        <w:t>3.4</w:t>
      </w:r>
      <w:r>
        <w:rPr>
          <w:rFonts w:hint="eastAsia" w:ascii="宋体" w:hAnsi="宋体" w:cs="宋体"/>
          <w:highlight w:val="none"/>
        </w:rPr>
        <w:t>与招标人存在利害关系可能影响招标公正性的单位，不得参加投标。单位负责人为同一人或存在控股、管理关系的不同单位，不得同时参加同一标段投标，否则，相关投标均无效。</w:t>
      </w:r>
    </w:p>
    <w:p w14:paraId="1421A683">
      <w:pPr>
        <w:spacing w:line="500" w:lineRule="exact"/>
        <w:rPr>
          <w:rFonts w:ascii="宋体" w:hAnsi="宋体" w:cs="宋体"/>
          <w:highlight w:val="none"/>
        </w:rPr>
      </w:pPr>
      <w:r>
        <w:rPr>
          <w:rFonts w:hint="eastAsia" w:ascii="宋体" w:hAnsi="宋体" w:cs="宋体"/>
          <w:highlight w:val="none"/>
        </w:rPr>
        <w:t>3.</w:t>
      </w:r>
      <w:r>
        <w:rPr>
          <w:rFonts w:hint="eastAsia" w:ascii="宋体" w:hAnsi="宋体" w:cs="宋体"/>
          <w:highlight w:val="none"/>
          <w:lang w:val="en-US" w:eastAsia="zh-CN"/>
        </w:rPr>
        <w:t>5</w:t>
      </w:r>
      <w:r>
        <w:rPr>
          <w:rFonts w:hint="eastAsia" w:ascii="宋体" w:hAnsi="宋体" w:cs="宋体"/>
          <w:highlight w:val="none"/>
        </w:rPr>
        <w:t>在“信用中国”网站（https：//www.creditchina.gov.cn/）中被列入失信被执行人名单的投标人，不得参加投标。</w:t>
      </w:r>
    </w:p>
    <w:bookmarkEnd w:id="16"/>
    <w:bookmarkEnd w:id="17"/>
    <w:bookmarkEnd w:id="18"/>
    <w:bookmarkEnd w:id="19"/>
    <w:bookmarkEnd w:id="20"/>
    <w:p w14:paraId="10D22482">
      <w:pPr>
        <w:spacing w:line="500" w:lineRule="exact"/>
        <w:rPr>
          <w:rFonts w:ascii="宋体" w:hAnsi="宋体" w:cs="宋体"/>
          <w:b w:val="0"/>
          <w:bCs w:val="0"/>
          <w:highlight w:val="none"/>
        </w:rPr>
      </w:pPr>
      <w:bookmarkStart w:id="37" w:name="_Toc27122"/>
      <w:bookmarkStart w:id="38" w:name="_Toc510098975"/>
      <w:bookmarkStart w:id="39" w:name="_Toc361838108"/>
      <w:bookmarkStart w:id="40" w:name="_Toc444517394"/>
      <w:bookmarkStart w:id="41" w:name="_Toc257655333"/>
      <w:bookmarkStart w:id="42" w:name="_Toc458772805"/>
      <w:bookmarkStart w:id="43" w:name="_Toc356741794"/>
      <w:bookmarkStart w:id="44" w:name="_Toc6967"/>
      <w:bookmarkStart w:id="45" w:name="_Toc474499953"/>
      <w:bookmarkStart w:id="46" w:name="_Toc10092"/>
      <w:r>
        <w:rPr>
          <w:rFonts w:hint="eastAsia" w:ascii="宋体" w:hAnsi="宋体" w:cs="宋体"/>
          <w:b w:val="0"/>
          <w:bCs w:val="0"/>
          <w:highlight w:val="none"/>
        </w:rPr>
        <w:t>4.评标办法</w:t>
      </w:r>
    </w:p>
    <w:p w14:paraId="77685D3D">
      <w:pPr>
        <w:spacing w:line="500" w:lineRule="exact"/>
        <w:rPr>
          <w:rFonts w:hint="eastAsia" w:ascii="宋体" w:hAnsi="宋体" w:cs="宋体"/>
          <w:b w:val="0"/>
          <w:bCs w:val="0"/>
          <w:highlight w:val="none"/>
        </w:rPr>
      </w:pPr>
      <w:r>
        <w:rPr>
          <w:rFonts w:hint="eastAsia" w:ascii="宋体" w:hAnsi="宋体" w:cs="宋体"/>
          <w:b w:val="0"/>
          <w:bCs w:val="0"/>
          <w:highlight w:val="none"/>
          <w:lang w:val="en-US" w:eastAsia="zh-CN"/>
        </w:rPr>
        <w:t>4.1</w:t>
      </w:r>
      <w:r>
        <w:rPr>
          <w:rFonts w:hint="eastAsia" w:ascii="宋体" w:hAnsi="宋体" w:cs="宋体"/>
          <w:b w:val="0"/>
          <w:bCs w:val="0"/>
          <w:highlight w:val="none"/>
        </w:rPr>
        <w:t>评标办法采用技术评分最低标价法。</w:t>
      </w:r>
    </w:p>
    <w:p w14:paraId="33DFBB8E">
      <w:pPr>
        <w:spacing w:line="500" w:lineRule="exact"/>
        <w:rPr>
          <w:rFonts w:hint="eastAsia" w:ascii="宋体" w:hAnsi="宋体" w:cs="宋体"/>
          <w:highlight w:val="none"/>
        </w:rPr>
      </w:pPr>
      <w:r>
        <w:rPr>
          <w:rFonts w:hint="eastAsia" w:ascii="宋体" w:hAnsi="宋体" w:cs="宋体"/>
          <w:b w:val="0"/>
          <w:bCs w:val="0"/>
          <w:highlight w:val="none"/>
          <w:lang w:val="en-US" w:eastAsia="zh-CN"/>
        </w:rPr>
        <w:t>4.2根据“关于</w:t>
      </w:r>
      <w:r>
        <w:rPr>
          <w:rFonts w:hint="eastAsia" w:ascii="宋体" w:hAnsi="宋体" w:cs="宋体"/>
          <w:highlight w:val="none"/>
          <w:lang w:val="en-US" w:eastAsia="zh-CN"/>
        </w:rPr>
        <w:t>印发《全面推行招标投标“双盲”评审实施方案》的通知”规定，本项目为“双盲”评审。</w:t>
      </w:r>
    </w:p>
    <w:p w14:paraId="35D32214">
      <w:pPr>
        <w:rPr>
          <w:rFonts w:hint="eastAsia" w:ascii="宋体" w:hAnsi="宋体"/>
          <w:b w:val="0"/>
          <w:sz w:val="21"/>
          <w:szCs w:val="21"/>
        </w:rPr>
      </w:pPr>
      <w:r>
        <w:rPr>
          <w:rFonts w:hint="eastAsia" w:ascii="宋体" w:hAnsi="宋体"/>
          <w:b w:val="0"/>
          <w:sz w:val="21"/>
          <w:szCs w:val="21"/>
        </w:rPr>
        <w:br w:type="page"/>
      </w:r>
    </w:p>
    <w:p w14:paraId="6BE59ED6">
      <w:pPr>
        <w:pStyle w:val="18"/>
        <w:tabs>
          <w:tab w:val="left" w:pos="426"/>
        </w:tabs>
        <w:spacing w:line="360" w:lineRule="auto"/>
        <w:jc w:val="left"/>
        <w:outlineLvl w:val="2"/>
        <w:rPr>
          <w:rFonts w:ascii="宋体" w:hAnsi="宋体"/>
          <w:b w:val="0"/>
          <w:sz w:val="21"/>
          <w:szCs w:val="21"/>
        </w:rPr>
      </w:pPr>
      <w:r>
        <w:rPr>
          <w:rFonts w:hint="eastAsia" w:ascii="宋体" w:hAnsi="宋体"/>
          <w:b w:val="0"/>
          <w:sz w:val="21"/>
          <w:szCs w:val="21"/>
        </w:rPr>
        <w:t>5.最低要求</w:t>
      </w:r>
    </w:p>
    <w:bookmarkEnd w:id="37"/>
    <w:p w14:paraId="354C528C">
      <w:pPr>
        <w:wordWrap w:val="0"/>
        <w:adjustRightInd w:val="0"/>
        <w:snapToGrid w:val="0"/>
        <w:spacing w:line="500" w:lineRule="exact"/>
        <w:jc w:val="center"/>
        <w:rPr>
          <w:rFonts w:hint="eastAsia" w:ascii="宋体" w:hAnsi="宋体" w:cs="宋体"/>
          <w:sz w:val="21"/>
          <w:szCs w:val="21"/>
          <w:highlight w:val="none"/>
        </w:rPr>
      </w:pPr>
      <w:bookmarkStart w:id="47" w:name="_Toc12629"/>
      <w:bookmarkStart w:id="48" w:name="_Toc441605621"/>
      <w:r>
        <w:rPr>
          <w:rStyle w:val="23"/>
          <w:rFonts w:ascii="Times New Roman" w:hAnsi="Times New Roman"/>
          <w:sz w:val="21"/>
          <w:szCs w:val="21"/>
          <w:highlight w:val="none"/>
          <w:lang w:val="zh-CN"/>
        </w:rPr>
        <w:t>附录1资格审查条件（资质最低要求</w:t>
      </w:r>
      <w:r>
        <w:rPr>
          <w:rStyle w:val="23"/>
          <w:rFonts w:hint="eastAsia" w:ascii="Times New Roman" w:hAnsi="Times New Roman"/>
          <w:sz w:val="21"/>
          <w:szCs w:val="21"/>
          <w:highlight w:val="none"/>
          <w:lang w:val="zh-CN"/>
        </w:rPr>
        <w:t>）</w:t>
      </w:r>
    </w:p>
    <w:tbl>
      <w:tblPr>
        <w:tblStyle w:val="14"/>
        <w:tblW w:w="432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037"/>
      </w:tblGrid>
      <w:tr w14:paraId="09B0D8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000" w:type="pct"/>
            <w:noWrap w:val="0"/>
            <w:vAlign w:val="center"/>
          </w:tcPr>
          <w:p w14:paraId="25043A34">
            <w:pPr>
              <w:tabs>
                <w:tab w:val="left" w:pos="221"/>
              </w:tabs>
              <w:jc w:val="center"/>
              <w:rPr>
                <w:rFonts w:hint="eastAsia" w:ascii="宋体" w:hAnsi="宋体" w:cs="宋体"/>
                <w:sz w:val="21"/>
                <w:szCs w:val="21"/>
                <w:highlight w:val="none"/>
              </w:rPr>
            </w:pPr>
            <w:r>
              <w:rPr>
                <w:rFonts w:hint="eastAsia" w:ascii="宋体" w:hAnsi="宋体" w:cs="宋体"/>
                <w:sz w:val="21"/>
                <w:szCs w:val="21"/>
                <w:highlight w:val="none"/>
              </w:rPr>
              <w:t>企业资质等级要求</w:t>
            </w:r>
          </w:p>
        </w:tc>
      </w:tr>
      <w:tr w14:paraId="18CD1F3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5000" w:type="pct"/>
            <w:noWrap w:val="0"/>
            <w:vAlign w:val="center"/>
          </w:tcPr>
          <w:p w14:paraId="7373C869">
            <w:pPr>
              <w:rPr>
                <w:rFonts w:hint="default" w:eastAsia="宋体"/>
                <w:sz w:val="21"/>
                <w:szCs w:val="21"/>
                <w:highlight w:val="none"/>
                <w:lang w:val="en-US" w:eastAsia="zh-CN"/>
              </w:rPr>
            </w:pPr>
            <w:r>
              <w:rPr>
                <w:rFonts w:hint="eastAsia"/>
                <w:sz w:val="21"/>
                <w:szCs w:val="21"/>
                <w:highlight w:val="none"/>
                <w:lang w:val="en-US" w:eastAsia="zh-CN"/>
              </w:rPr>
              <w:t>无资质最低要求</w:t>
            </w:r>
          </w:p>
        </w:tc>
      </w:tr>
    </w:tbl>
    <w:p w14:paraId="15F31CD7">
      <w:pPr>
        <w:pStyle w:val="2"/>
        <w:wordWrap w:val="0"/>
        <w:spacing w:before="120" w:after="120"/>
        <w:jc w:val="center"/>
        <w:rPr>
          <w:rFonts w:ascii="Times New Roman" w:hAnsi="Times New Roman"/>
          <w:sz w:val="21"/>
          <w:szCs w:val="21"/>
          <w:highlight w:val="none"/>
          <w:lang w:val="zh-CN"/>
        </w:rPr>
      </w:pPr>
      <w:r>
        <w:rPr>
          <w:rFonts w:ascii="Times New Roman" w:hAnsi="Times New Roman"/>
          <w:sz w:val="21"/>
          <w:szCs w:val="21"/>
          <w:highlight w:val="none"/>
          <w:lang w:val="zh-CN"/>
        </w:rPr>
        <w:t>附录2资格审查条件（财务最低要求</w:t>
      </w:r>
      <w:r>
        <w:rPr>
          <w:rFonts w:hint="eastAsia" w:ascii="Times New Roman" w:hAnsi="Times New Roman"/>
          <w:sz w:val="21"/>
          <w:szCs w:val="21"/>
          <w:highlight w:val="none"/>
          <w:lang w:val="zh-CN"/>
        </w:rPr>
        <w:t>）</w:t>
      </w:r>
    </w:p>
    <w:tbl>
      <w:tblPr>
        <w:tblStyle w:val="14"/>
        <w:tblW w:w="4373"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8124"/>
      </w:tblGrid>
      <w:tr w14:paraId="64B613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317" w:hRule="atLeast"/>
          <w:jc w:val="center"/>
        </w:trPr>
        <w:tc>
          <w:tcPr>
            <w:tcW w:w="5000" w:type="pct"/>
            <w:noWrap w:val="0"/>
            <w:vAlign w:val="center"/>
          </w:tcPr>
          <w:p w14:paraId="1E847D15">
            <w:pPr>
              <w:tabs>
                <w:tab w:val="left" w:pos="221"/>
              </w:tabs>
              <w:jc w:val="center"/>
              <w:rPr>
                <w:rFonts w:hint="eastAsia" w:ascii="宋体" w:hAnsi="宋体" w:cs="宋体"/>
                <w:highlight w:val="none"/>
              </w:rPr>
            </w:pPr>
            <w:r>
              <w:rPr>
                <w:rFonts w:hint="eastAsia" w:ascii="宋体" w:hAnsi="宋体" w:cs="宋体"/>
                <w:highlight w:val="none"/>
              </w:rPr>
              <w:t>财务要求</w:t>
            </w:r>
          </w:p>
        </w:tc>
      </w:tr>
      <w:tr w14:paraId="7A6E62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31" w:hRule="atLeast"/>
          <w:jc w:val="center"/>
        </w:trPr>
        <w:tc>
          <w:tcPr>
            <w:tcW w:w="5000" w:type="pct"/>
            <w:noWrap w:val="0"/>
            <w:vAlign w:val="center"/>
          </w:tcPr>
          <w:p w14:paraId="7DCCB6B7">
            <w:pPr>
              <w:keepNext w:val="0"/>
              <w:keepLines w:val="0"/>
              <w:widowControl/>
              <w:suppressLineNumbers w:val="0"/>
              <w:jc w:val="left"/>
              <w:rPr>
                <w:kern w:val="0"/>
                <w:highlight w:val="none"/>
                <w:lang w:val="en-US" w:eastAsia="zh-CN"/>
              </w:rPr>
            </w:pPr>
            <w:r>
              <w:rPr>
                <w:rFonts w:hint="eastAsia" w:ascii="宋体" w:hAnsi="宋体" w:eastAsia="宋体" w:cs="宋体"/>
                <w:color w:val="000000"/>
                <w:kern w:val="0"/>
                <w:sz w:val="21"/>
                <w:szCs w:val="21"/>
                <w:highlight w:val="none"/>
                <w:lang w:val="en-US" w:eastAsia="zh-CN" w:bidi="ar"/>
              </w:rPr>
              <w:t>投标人近三年（2023年1月1日～投标截止时间）应当具有良好的商业信誉和健全的财务会计制度</w:t>
            </w:r>
          </w:p>
        </w:tc>
      </w:tr>
    </w:tbl>
    <w:p w14:paraId="5668A08B">
      <w:pPr>
        <w:pStyle w:val="2"/>
        <w:wordWrap w:val="0"/>
        <w:spacing w:before="120" w:after="12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附录3资格审查条件（业绩最低要求）</w:t>
      </w:r>
    </w:p>
    <w:tbl>
      <w:tblPr>
        <w:tblStyle w:val="14"/>
        <w:tblW w:w="415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10"/>
      </w:tblGrid>
      <w:tr w14:paraId="4BF6C5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5000" w:type="pct"/>
            <w:noWrap w:val="0"/>
            <w:vAlign w:val="center"/>
          </w:tcPr>
          <w:p w14:paraId="71580366">
            <w:pPr>
              <w:tabs>
                <w:tab w:val="left" w:pos="221"/>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业绩要求</w:t>
            </w:r>
          </w:p>
        </w:tc>
      </w:tr>
      <w:tr w14:paraId="24177BE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5000" w:type="pct"/>
            <w:noWrap w:val="0"/>
            <w:vAlign w:val="center"/>
          </w:tcPr>
          <w:p w14:paraId="240702FA">
            <w:pPr>
              <w:pStyle w:val="6"/>
              <w:adjustRightInd w:val="0"/>
              <w:snapToGrid w:val="0"/>
              <w:spacing w:line="360" w:lineRule="exact"/>
              <w:rPr>
                <w:rFonts w:hint="eastAsia" w:ascii="宋体" w:hAnsi="宋体" w:eastAsia="宋体" w:cs="宋体"/>
                <w:kern w:val="0"/>
                <w:sz w:val="21"/>
                <w:szCs w:val="21"/>
                <w:highlight w:val="none"/>
                <w:lang w:val="en-US" w:eastAsia="zh-CN"/>
              </w:rPr>
            </w:pPr>
            <w:r>
              <w:rPr>
                <w:rFonts w:hint="eastAsia" w:ascii="宋体" w:hAnsi="宋体" w:eastAsia="宋体" w:cs="宋体"/>
                <w:kern w:val="0"/>
                <w:sz w:val="21"/>
                <w:szCs w:val="21"/>
                <w:highlight w:val="none"/>
                <w:lang w:val="en-US" w:eastAsia="zh-CN"/>
              </w:rPr>
              <w:t>无业绩最低要求</w:t>
            </w:r>
          </w:p>
        </w:tc>
      </w:tr>
    </w:tbl>
    <w:p w14:paraId="2F7B6599">
      <w:pPr>
        <w:rPr>
          <w:rFonts w:hint="eastAsia" w:ascii="宋体" w:hAnsi="宋体" w:eastAsia="宋体" w:cs="宋体"/>
          <w:sz w:val="21"/>
          <w:szCs w:val="21"/>
          <w:highlight w:val="none"/>
          <w:lang w:val="zh-CN"/>
        </w:rPr>
      </w:pPr>
    </w:p>
    <w:p w14:paraId="13E7FE0F">
      <w:pPr>
        <w:pStyle w:val="2"/>
        <w:wordWrap w:val="0"/>
        <w:spacing w:before="120" w:after="12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lang w:val="zh-CN"/>
        </w:rPr>
        <w:t>附录4资格审查条件（信誉最低要求）</w:t>
      </w:r>
    </w:p>
    <w:tbl>
      <w:tblPr>
        <w:tblStyle w:val="14"/>
        <w:tblW w:w="417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7747"/>
      </w:tblGrid>
      <w:tr w14:paraId="286F3DC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8220" w:type="dxa"/>
            <w:noWrap w:val="0"/>
            <w:vAlign w:val="center"/>
          </w:tcPr>
          <w:p w14:paraId="0130B368">
            <w:pPr>
              <w:tabs>
                <w:tab w:val="left" w:pos="221"/>
              </w:tabs>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信誉要求</w:t>
            </w:r>
          </w:p>
        </w:tc>
      </w:tr>
      <w:tr w14:paraId="5E725D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8220" w:type="dxa"/>
            <w:noWrap w:val="0"/>
            <w:vAlign w:val="center"/>
          </w:tcPr>
          <w:p w14:paraId="5715E816">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无信誉最低要求</w:t>
            </w:r>
          </w:p>
        </w:tc>
      </w:tr>
    </w:tbl>
    <w:p w14:paraId="1918A39F">
      <w:pPr>
        <w:pStyle w:val="2"/>
        <w:wordWrap w:val="0"/>
        <w:spacing w:before="120" w:after="120"/>
        <w:jc w:val="center"/>
        <w:rPr>
          <w:rFonts w:hint="eastAsia" w:ascii="宋体" w:hAnsi="宋体" w:eastAsia="宋体" w:cs="宋体"/>
          <w:sz w:val="21"/>
          <w:szCs w:val="21"/>
          <w:highlight w:val="none"/>
          <w:lang w:val="zh-CN"/>
        </w:rPr>
      </w:pPr>
      <w:r>
        <w:rPr>
          <w:rFonts w:hint="eastAsia" w:ascii="宋体" w:hAnsi="宋体" w:eastAsia="宋体" w:cs="宋体"/>
          <w:sz w:val="21"/>
          <w:szCs w:val="21"/>
          <w:highlight w:val="none"/>
        </w:rPr>
        <w:t>附录5资格审查条件（</w:t>
      </w:r>
      <w:r>
        <w:rPr>
          <w:rFonts w:hint="eastAsia" w:ascii="宋体" w:hAnsi="宋体" w:eastAsia="宋体" w:cs="宋体"/>
          <w:sz w:val="21"/>
          <w:szCs w:val="21"/>
          <w:highlight w:val="none"/>
          <w:lang w:eastAsia="zh-CN"/>
        </w:rPr>
        <w:t>项目经理</w:t>
      </w:r>
      <w:r>
        <w:rPr>
          <w:rFonts w:hint="eastAsia" w:ascii="宋体" w:hAnsi="宋体" w:eastAsia="宋体" w:cs="宋体"/>
          <w:sz w:val="21"/>
          <w:szCs w:val="21"/>
          <w:highlight w:val="none"/>
        </w:rPr>
        <w:t>和</w:t>
      </w:r>
      <w:r>
        <w:rPr>
          <w:rFonts w:hint="eastAsia" w:ascii="宋体" w:hAnsi="宋体" w:eastAsia="宋体" w:cs="宋体"/>
          <w:sz w:val="21"/>
          <w:szCs w:val="21"/>
          <w:highlight w:val="none"/>
          <w:lang w:eastAsia="zh-CN"/>
        </w:rPr>
        <w:t>项目总工</w:t>
      </w:r>
      <w:r>
        <w:rPr>
          <w:rFonts w:hint="eastAsia" w:ascii="宋体" w:hAnsi="宋体" w:eastAsia="宋体" w:cs="宋体"/>
          <w:sz w:val="21"/>
          <w:szCs w:val="21"/>
          <w:highlight w:val="none"/>
        </w:rPr>
        <w:t>最低要求）</w:t>
      </w:r>
    </w:p>
    <w:tbl>
      <w:tblPr>
        <w:tblStyle w:val="14"/>
        <w:tblW w:w="418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27"/>
        <w:gridCol w:w="1432"/>
        <w:gridCol w:w="5107"/>
      </w:tblGrid>
      <w:tr w14:paraId="6C43B7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790" w:type="pct"/>
            <w:noWrap/>
            <w:vAlign w:val="center"/>
          </w:tcPr>
          <w:p w14:paraId="510519A8">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人员</w:t>
            </w:r>
          </w:p>
        </w:tc>
        <w:tc>
          <w:tcPr>
            <w:tcW w:w="921" w:type="pct"/>
            <w:noWrap/>
            <w:vAlign w:val="center"/>
          </w:tcPr>
          <w:p w14:paraId="688E77D4">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数量</w:t>
            </w:r>
          </w:p>
        </w:tc>
        <w:tc>
          <w:tcPr>
            <w:tcW w:w="3288" w:type="pct"/>
            <w:noWrap/>
            <w:vAlign w:val="center"/>
          </w:tcPr>
          <w:p w14:paraId="5B6F06E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资格最低要求</w:t>
            </w:r>
          </w:p>
        </w:tc>
      </w:tr>
      <w:tr w14:paraId="13473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5" w:hRule="atLeast"/>
          <w:jc w:val="center"/>
        </w:trPr>
        <w:tc>
          <w:tcPr>
            <w:tcW w:w="790" w:type="pct"/>
            <w:noWrap/>
            <w:vAlign w:val="center"/>
          </w:tcPr>
          <w:p w14:paraId="371C53CD">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w:t>
            </w:r>
          </w:p>
          <w:p w14:paraId="7936C36F">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经理</w:t>
            </w:r>
          </w:p>
        </w:tc>
        <w:tc>
          <w:tcPr>
            <w:tcW w:w="921" w:type="pct"/>
            <w:noWrap/>
            <w:vAlign w:val="center"/>
          </w:tcPr>
          <w:p w14:paraId="2A8EB0EF">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288" w:type="pct"/>
            <w:noWrap/>
            <w:vAlign w:val="center"/>
          </w:tcPr>
          <w:p w14:paraId="5F79D80C">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（1）投标人自有人员； </w:t>
            </w:r>
          </w:p>
          <w:p w14:paraId="53B3AC12">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（2）具有公路工程相关专业工程师或以上职称； </w:t>
            </w:r>
          </w:p>
          <w:p w14:paraId="2B77E437">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（3）具有公路工程养护项目的管理经验。</w:t>
            </w:r>
          </w:p>
        </w:tc>
      </w:tr>
      <w:tr w14:paraId="56FC3A7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07" w:hRule="atLeast"/>
          <w:jc w:val="center"/>
        </w:trPr>
        <w:tc>
          <w:tcPr>
            <w:tcW w:w="790" w:type="pct"/>
            <w:noWrap/>
            <w:vAlign w:val="center"/>
          </w:tcPr>
          <w:p w14:paraId="3408E61D">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w:t>
            </w:r>
          </w:p>
          <w:p w14:paraId="230C47F8">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总工</w:t>
            </w:r>
          </w:p>
        </w:tc>
        <w:tc>
          <w:tcPr>
            <w:tcW w:w="921" w:type="pct"/>
            <w:noWrap/>
            <w:vAlign w:val="center"/>
          </w:tcPr>
          <w:p w14:paraId="311600F5">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3288" w:type="pct"/>
            <w:noWrap/>
            <w:vAlign w:val="center"/>
          </w:tcPr>
          <w:p w14:paraId="72E17FAE">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（1）投标人自有人员； </w:t>
            </w:r>
          </w:p>
          <w:p w14:paraId="78FF7096">
            <w:pPr>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 xml:space="preserve">（2）具有公路工程相关专业工程师或以上职称； </w:t>
            </w:r>
          </w:p>
          <w:p w14:paraId="3477900A">
            <w:pPr>
              <w:rPr>
                <w:rFonts w:hint="eastAsia" w:ascii="宋体" w:hAnsi="宋体" w:eastAsia="宋体" w:cs="宋体"/>
                <w:sz w:val="21"/>
                <w:szCs w:val="21"/>
                <w:highlight w:val="none"/>
              </w:rPr>
            </w:pPr>
            <w:r>
              <w:rPr>
                <w:rFonts w:hint="eastAsia" w:ascii="宋体" w:hAnsi="宋体" w:eastAsia="宋体" w:cs="宋体"/>
                <w:kern w:val="2"/>
                <w:sz w:val="21"/>
                <w:szCs w:val="21"/>
                <w:highlight w:val="none"/>
                <w:lang w:val="en-US" w:eastAsia="zh-CN" w:bidi="ar-SA"/>
              </w:rPr>
              <w:t>（3）具有公路工程养护项目的管理经验。</w:t>
            </w:r>
          </w:p>
        </w:tc>
      </w:tr>
    </w:tbl>
    <w:p w14:paraId="57A521B0">
      <w:pPr>
        <w:rPr>
          <w:rFonts w:hint="eastAsia" w:ascii="宋体" w:hAnsi="宋体" w:eastAsia="宋体" w:cs="宋体"/>
          <w:b w:val="0"/>
          <w:bCs w:val="0"/>
          <w:color w:val="000000"/>
          <w:sz w:val="21"/>
          <w:szCs w:val="21"/>
          <w:highlight w:val="none"/>
        </w:rPr>
      </w:pPr>
      <w:r>
        <w:rPr>
          <w:rFonts w:hint="eastAsia" w:ascii="宋体" w:hAnsi="宋体" w:eastAsia="宋体" w:cs="宋体"/>
          <w:sz w:val="21"/>
          <w:szCs w:val="21"/>
          <w:highlight w:val="none"/>
        </w:rPr>
        <w:t>注：</w:t>
      </w:r>
      <w:r>
        <w:rPr>
          <w:rFonts w:hint="eastAsia" w:ascii="宋体" w:hAnsi="宋体" w:eastAsia="宋体" w:cs="宋体"/>
          <w:b w:val="0"/>
          <w:bCs w:val="0"/>
          <w:color w:val="000000"/>
          <w:sz w:val="21"/>
          <w:szCs w:val="21"/>
          <w:highlight w:val="none"/>
        </w:rPr>
        <w:t>①项目经理和项目总工不得兼职。</w:t>
      </w:r>
    </w:p>
    <w:p w14:paraId="08846788">
      <w:pPr>
        <w:rPr>
          <w:rFonts w:hint="eastAsia" w:ascii="宋体" w:hAnsi="宋体" w:eastAsia="宋体" w:cs="宋体"/>
          <w:b w:val="0"/>
          <w:bCs w:val="0"/>
          <w:color w:val="000000"/>
          <w:sz w:val="21"/>
          <w:szCs w:val="21"/>
          <w:highlight w:val="none"/>
        </w:rPr>
      </w:pPr>
      <w:r>
        <w:rPr>
          <w:rFonts w:hint="eastAsia" w:ascii="宋体" w:hAnsi="宋体" w:eastAsia="宋体" w:cs="宋体"/>
          <w:b w:val="0"/>
          <w:bCs w:val="0"/>
          <w:color w:val="000000"/>
          <w:sz w:val="21"/>
          <w:szCs w:val="21"/>
          <w:highlight w:val="none"/>
        </w:rPr>
        <w:t xml:space="preserve"> ②“投标人自有人员”指现由投标人为其申报社会保险登记，并为其缴纳社会保险费的人员；如拟任职人员已退休，指现由投标人正式聘用的退休人员。</w:t>
      </w:r>
    </w:p>
    <w:p w14:paraId="61835002">
      <w:pPr>
        <w:rPr>
          <w:rFonts w:hint="eastAsia" w:ascii="宋体" w:hAnsi="宋体" w:eastAsia="宋体" w:cs="宋体"/>
          <w:sz w:val="21"/>
          <w:szCs w:val="21"/>
          <w:highlight w:val="none"/>
          <w:lang w:val="zh-CN"/>
        </w:rPr>
      </w:pPr>
      <w:r>
        <w:rPr>
          <w:rFonts w:hint="eastAsia" w:ascii="宋体" w:hAnsi="宋体" w:eastAsia="宋体" w:cs="宋体"/>
          <w:b w:val="0"/>
          <w:bCs w:val="0"/>
          <w:color w:val="000000"/>
          <w:sz w:val="21"/>
          <w:szCs w:val="21"/>
          <w:highlight w:val="none"/>
        </w:rPr>
        <w:t xml:space="preserve"> ③公路工程相关专业职称包括公路工程、桥梁工程、公路与桥梁工程、交通土建、隧道（地下结构）工程、交通工程等专业职称。如职称证中无专业，则在投标文件中必须附毕业证书，且毕业证上的专业为公路工程、桥梁工程、公路与桥梁工程、交通土建、隧道（地下结构）工程、交通工程等专业。</w:t>
      </w:r>
    </w:p>
    <w:p w14:paraId="22172A2E">
      <w:pPr>
        <w:rPr>
          <w:rFonts w:hint="eastAsia" w:ascii="宋体" w:hAnsi="宋体" w:eastAsia="宋体" w:cs="宋体"/>
          <w:b w:val="0"/>
          <w:sz w:val="21"/>
          <w:szCs w:val="21"/>
        </w:rPr>
      </w:pPr>
      <w:r>
        <w:rPr>
          <w:rFonts w:hint="eastAsia" w:ascii="宋体" w:hAnsi="宋体" w:eastAsia="宋体" w:cs="宋体"/>
          <w:b w:val="0"/>
          <w:sz w:val="21"/>
          <w:szCs w:val="21"/>
        </w:rPr>
        <w:br w:type="page"/>
      </w:r>
    </w:p>
    <w:p w14:paraId="1E0B8646">
      <w:pPr>
        <w:pStyle w:val="18"/>
        <w:tabs>
          <w:tab w:val="left" w:pos="426"/>
        </w:tabs>
        <w:spacing w:line="360" w:lineRule="auto"/>
        <w:jc w:val="left"/>
        <w:outlineLvl w:val="2"/>
        <w:rPr>
          <w:rFonts w:hint="eastAsia" w:ascii="宋体" w:hAnsi="宋体" w:eastAsia="宋体" w:cs="宋体"/>
          <w:b w:val="0"/>
          <w:sz w:val="21"/>
          <w:szCs w:val="21"/>
        </w:rPr>
      </w:pPr>
      <w:r>
        <w:rPr>
          <w:rFonts w:hint="eastAsia" w:ascii="宋体" w:hAnsi="宋体" w:eastAsia="宋体" w:cs="宋体"/>
          <w:b w:val="0"/>
          <w:sz w:val="21"/>
          <w:szCs w:val="21"/>
        </w:rPr>
        <w:t>6.评标办法</w:t>
      </w:r>
    </w:p>
    <w:bookmarkEnd w:id="47"/>
    <w:bookmarkEnd w:id="48"/>
    <w:p w14:paraId="6839CF3E">
      <w:pPr>
        <w:pStyle w:val="2"/>
        <w:spacing w:before="120" w:after="120"/>
        <w:rPr>
          <w:rFonts w:hint="eastAsia" w:ascii="宋体" w:hAnsi="宋体" w:eastAsia="宋体" w:cs="宋体"/>
          <w:sz w:val="21"/>
          <w:szCs w:val="21"/>
          <w:highlight w:val="none"/>
        </w:rPr>
      </w:pPr>
      <w:bookmarkStart w:id="49" w:name="_Toc24715"/>
      <w:r>
        <w:rPr>
          <w:rFonts w:hint="eastAsia" w:ascii="宋体" w:hAnsi="宋体" w:eastAsia="宋体" w:cs="宋体"/>
          <w:b w:val="0"/>
          <w:bCs w:val="0"/>
          <w:sz w:val="21"/>
          <w:szCs w:val="21"/>
        </w:rPr>
        <w:t>评标办法前附表</w:t>
      </w:r>
      <w:bookmarkEnd w:id="49"/>
    </w:p>
    <w:tbl>
      <w:tblPr>
        <w:tblStyle w:val="14"/>
        <w:tblW w:w="962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856"/>
        <w:gridCol w:w="1389"/>
        <w:gridCol w:w="7383"/>
      </w:tblGrid>
      <w:tr w14:paraId="3BE83C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tblHeader/>
          <w:jc w:val="center"/>
        </w:trPr>
        <w:tc>
          <w:tcPr>
            <w:tcW w:w="2245" w:type="dxa"/>
            <w:gridSpan w:val="2"/>
            <w:noWrap w:val="0"/>
            <w:vAlign w:val="center"/>
          </w:tcPr>
          <w:p w14:paraId="7A5603C6">
            <w:pPr>
              <w:wordWrap w:val="0"/>
              <w:autoSpaceDE w:val="0"/>
              <w:autoSpaceDN w:val="0"/>
              <w:adjustRightInd w:val="0"/>
              <w:snapToGrid w:val="0"/>
              <w:spacing w:line="36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7383" w:type="dxa"/>
            <w:noWrap w:val="0"/>
            <w:vAlign w:val="center"/>
          </w:tcPr>
          <w:p w14:paraId="6912E3F2">
            <w:pPr>
              <w:wordWrap w:val="0"/>
              <w:autoSpaceDE w:val="0"/>
              <w:autoSpaceDN w:val="0"/>
              <w:adjustRightInd w:val="0"/>
              <w:snapToGrid w:val="0"/>
              <w:spacing w:line="36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评审因素与评审标准</w:t>
            </w:r>
          </w:p>
        </w:tc>
      </w:tr>
      <w:tr w14:paraId="14028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856" w:type="dxa"/>
            <w:noWrap w:val="0"/>
            <w:vAlign w:val="center"/>
          </w:tcPr>
          <w:p w14:paraId="07CD2135">
            <w:pPr>
              <w:wordWrap w:val="0"/>
              <w:autoSpaceDE w:val="0"/>
              <w:autoSpaceDN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w:t>
            </w:r>
          </w:p>
        </w:tc>
        <w:tc>
          <w:tcPr>
            <w:tcW w:w="1389" w:type="dxa"/>
            <w:noWrap w:val="0"/>
            <w:vAlign w:val="center"/>
          </w:tcPr>
          <w:p w14:paraId="551C7963">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评标方法</w:t>
            </w:r>
          </w:p>
        </w:tc>
        <w:tc>
          <w:tcPr>
            <w:tcW w:w="7383" w:type="dxa"/>
            <w:noWrap w:val="0"/>
            <w:vAlign w:val="center"/>
          </w:tcPr>
          <w:p w14:paraId="7896A6CE">
            <w:pPr>
              <w:wordWrap w:val="0"/>
              <w:adjustRightInd w:val="0"/>
              <w:snapToGrid w:val="0"/>
              <w:spacing w:line="360" w:lineRule="exact"/>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本次评标采用技术评分最低标价法。评标委员会对满足招标文件实质性要求的投标文件的</w:t>
            </w:r>
            <w:r>
              <w:rPr>
                <w:rFonts w:hint="eastAsia" w:ascii="宋体" w:hAnsi="宋体" w:eastAsia="宋体" w:cs="宋体"/>
                <w:sz w:val="21"/>
                <w:szCs w:val="21"/>
                <w:highlight w:val="none"/>
                <w:lang w:val="en-US" w:eastAsia="zh-CN"/>
              </w:rPr>
              <w:t>技术方案</w:t>
            </w:r>
            <w:r>
              <w:rPr>
                <w:rFonts w:hint="eastAsia" w:ascii="宋体" w:hAnsi="宋体" w:eastAsia="宋体" w:cs="宋体"/>
                <w:sz w:val="21"/>
                <w:szCs w:val="21"/>
                <w:highlight w:val="none"/>
              </w:rPr>
              <w:t>、主要人员、企业业绩等因素进行评分，按照得分由高到低排序，对排名在招标文件规定数量以内的投标人的报价文件进行评审，按照评标价由低到高的顺序推荐中标候选人，但投标报价低于其成本的除外。评标价相等时</w:t>
            </w:r>
            <w:r>
              <w:rPr>
                <w:rFonts w:hint="eastAsia" w:ascii="宋体" w:hAnsi="宋体" w:eastAsia="宋体" w:cs="宋体"/>
                <w:sz w:val="21"/>
                <w:szCs w:val="21"/>
                <w:highlight w:val="none"/>
                <w:lang w:val="en-US" w:eastAsia="zh-CN"/>
              </w:rPr>
              <w:t>，投标文件第一个信封（商务及技术文件）排序在前的投标人优先。</w:t>
            </w:r>
          </w:p>
          <w:p w14:paraId="5E7707CD">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 xml:space="preserve">一、投标文件的技术方案部分采用“暗标”形式，如果技术方案出现能识别投标人的内容，经评标委员会确定后，将否决其投标。 </w:t>
            </w:r>
          </w:p>
          <w:p w14:paraId="604D4068">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 xml:space="preserve">二、如同一标段出现多名投标人的商务和技术得分相等时，则按照以下优先顺序进行排序： </w:t>
            </w:r>
          </w:p>
          <w:p w14:paraId="26001F6C">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 xml:space="preserve">a.履约信誉得分较高的投标人； </w:t>
            </w:r>
          </w:p>
          <w:p w14:paraId="133D6E59">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 xml:space="preserve">b.技术方案得分较高的投标人； </w:t>
            </w:r>
          </w:p>
          <w:p w14:paraId="596BB6B2">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 xml:space="preserve">c.主要人员得分较高的投标人。 </w:t>
            </w:r>
          </w:p>
          <w:p w14:paraId="4B9D7303">
            <w:pPr>
              <w:wordWrap w:val="0"/>
              <w:adjustRightInd w:val="0"/>
              <w:snapToGrid w:val="0"/>
              <w:spacing w:line="360" w:lineRule="exact"/>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rPr>
              <w:t>若以上各项评分因素得分都相等，则通过评委会投票表决，推荐票数多的投标人商务和技术得分排序在先。</w:t>
            </w:r>
          </w:p>
          <w:p w14:paraId="0602413B">
            <w:pPr>
              <w:wordWrap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本次招标中每个投标人可对所有标段投标，每个投标人允许中1个标段。按照CLRY01→CLRY02→CLRY03标段从小到大依次顺序评标，投标人在前一个标段被推荐为中标候选人的，后续标段将不被推荐为中标候选人。</w:t>
            </w:r>
          </w:p>
        </w:tc>
      </w:tr>
      <w:tr w14:paraId="374BA5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856" w:type="dxa"/>
            <w:noWrap w:val="0"/>
            <w:vAlign w:val="center"/>
          </w:tcPr>
          <w:p w14:paraId="4FFA2FDB">
            <w:pPr>
              <w:wordWrap w:val="0"/>
              <w:autoSpaceDE w:val="0"/>
              <w:autoSpaceDN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45C5C2A9">
            <w:pPr>
              <w:wordWrap w:val="0"/>
              <w:autoSpaceDE w:val="0"/>
              <w:autoSpaceDN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389" w:type="dxa"/>
            <w:noWrap w:val="0"/>
            <w:vAlign w:val="center"/>
          </w:tcPr>
          <w:p w14:paraId="6DA445FA">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w:t>
            </w:r>
          </w:p>
          <w:p w14:paraId="29D41024">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与响应性</w:t>
            </w:r>
          </w:p>
          <w:p w14:paraId="085AEDD6">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评审标准</w:t>
            </w:r>
          </w:p>
        </w:tc>
        <w:tc>
          <w:tcPr>
            <w:tcW w:w="7383" w:type="dxa"/>
            <w:noWrap w:val="0"/>
            <w:vAlign w:val="center"/>
          </w:tcPr>
          <w:p w14:paraId="7391818F">
            <w:pPr>
              <w:wordWrap w:val="0"/>
              <w:spacing w:line="34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第一个信封（商务及技术文件）评审标准：</w:t>
            </w:r>
          </w:p>
          <w:p w14:paraId="7264E3E6">
            <w:pPr>
              <w:wordWrap w:val="0"/>
              <w:spacing w:line="3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r>
              <w:rPr>
                <w:rFonts w:hint="eastAsia" w:ascii="宋体" w:hAnsi="宋体" w:eastAsia="宋体" w:cs="宋体"/>
                <w:sz w:val="21"/>
                <w:szCs w:val="21"/>
                <w:highlight w:val="none"/>
                <w:lang w:val="en-US" w:eastAsia="zh-CN"/>
              </w:rPr>
              <w:t>：</w:t>
            </w:r>
          </w:p>
          <w:p w14:paraId="3D46D907">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a.投标函按招标文件规定填报了项目名称、标段号、补遗书编号（如有）、工期、工程质量要求及安全目标；</w:t>
            </w:r>
          </w:p>
          <w:p w14:paraId="2EDE9568">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b.投标文件组成齐全完整，内容均按规定填写。</w:t>
            </w:r>
          </w:p>
          <w:p w14:paraId="1E2DD0E9">
            <w:pPr>
              <w:wordWrap w:val="0"/>
              <w:spacing w:line="3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（2）投标文件上法定代表人或其委托代理人的签字、投标人的单位章盖章齐全，符合招标文件规定。</w:t>
            </w:r>
          </w:p>
          <w:p w14:paraId="3C26A2C3">
            <w:pPr>
              <w:wordWrap w:val="0"/>
              <w:spacing w:line="3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（3）投标人按照招标文件的规定提供了投标保证金：</w:t>
            </w:r>
          </w:p>
          <w:p w14:paraId="15CE5B25">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a.投标保证金金额符合招标文件规定的金额，且投标保证金有效期不少于投标有效期；</w:t>
            </w:r>
          </w:p>
          <w:p w14:paraId="3CD19C68">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b.若投标保证金采用现金或支票形式提交，投标人应在</w:t>
            </w:r>
            <w:r>
              <w:rPr>
                <w:rFonts w:hint="eastAsia" w:ascii="宋体" w:hAnsi="宋体" w:eastAsia="宋体" w:cs="宋体"/>
                <w:sz w:val="21"/>
                <w:szCs w:val="21"/>
                <w:highlight w:val="none"/>
                <w:lang w:val="zh-CN"/>
              </w:rPr>
              <w:t>递交投标文件截止时间之前</w:t>
            </w:r>
            <w:r>
              <w:rPr>
                <w:rFonts w:hint="eastAsia" w:ascii="宋体" w:hAnsi="宋体" w:eastAsia="宋体" w:cs="宋体"/>
                <w:sz w:val="21"/>
                <w:szCs w:val="21"/>
                <w:highlight w:val="none"/>
              </w:rPr>
              <w:t>，将投标保证金由投标人的基本账户转入招标人指定账户；</w:t>
            </w:r>
          </w:p>
          <w:p w14:paraId="43F42F96">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c. 若投标保证金采用保函或保单形式提交，必须为按招标文件要求在吉林省公共资源交易一体化平台办理的电子保函或电子保单。</w:t>
            </w:r>
          </w:p>
          <w:p w14:paraId="40109077">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（4）投标人法定代表人授权委托代理人签署投标文件的，须提交授权委托书，授权委托书符合招标文件规定。</w:t>
            </w:r>
          </w:p>
          <w:p w14:paraId="53B83D7E">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（5）投标人法定代表人亲自签署投标文件的，提供了法定代表人身份证明，法定代表人身份证明符合招标文件规定。</w:t>
            </w:r>
          </w:p>
          <w:p w14:paraId="1561FF4C">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（6）投标人未以联合体形式投标。</w:t>
            </w:r>
          </w:p>
          <w:p w14:paraId="53BBDED5">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（7）投标人</w:t>
            </w:r>
            <w:r>
              <w:rPr>
                <w:rFonts w:hint="eastAsia" w:ascii="宋体" w:hAnsi="宋体" w:eastAsia="宋体" w:cs="宋体"/>
                <w:sz w:val="21"/>
                <w:szCs w:val="21"/>
                <w:highlight w:val="none"/>
                <w:lang w:val="en-US" w:eastAsia="zh-CN"/>
              </w:rPr>
              <w:t>未提出</w:t>
            </w:r>
            <w:r>
              <w:rPr>
                <w:rFonts w:hint="eastAsia" w:ascii="宋体" w:hAnsi="宋体" w:eastAsia="宋体" w:cs="宋体"/>
                <w:sz w:val="21"/>
                <w:szCs w:val="21"/>
                <w:highlight w:val="none"/>
              </w:rPr>
              <w:t>分包计划。</w:t>
            </w:r>
          </w:p>
          <w:p w14:paraId="5BEADE95">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8</w:t>
            </w:r>
            <w:r>
              <w:rPr>
                <w:rFonts w:hint="eastAsia" w:ascii="宋体" w:hAnsi="宋体" w:eastAsia="宋体" w:cs="宋体"/>
                <w:sz w:val="21"/>
                <w:szCs w:val="21"/>
                <w:highlight w:val="none"/>
              </w:rPr>
              <w:t>）投标文件中未出现有关投标报价的内容。</w:t>
            </w:r>
          </w:p>
          <w:p w14:paraId="5B897382">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）投标文件载明的招标项目完成期限未超过招标文件规定的时限。</w:t>
            </w:r>
          </w:p>
          <w:p w14:paraId="396C4C26">
            <w:pPr>
              <w:wordWrap w:val="0"/>
              <w:spacing w:line="3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0</w:t>
            </w:r>
            <w:r>
              <w:rPr>
                <w:rFonts w:hint="eastAsia" w:ascii="宋体" w:hAnsi="宋体" w:eastAsia="宋体" w:cs="宋体"/>
                <w:sz w:val="21"/>
                <w:szCs w:val="21"/>
                <w:highlight w:val="none"/>
              </w:rPr>
              <w:t>）投标文件对招标文件的实质性要求和条件作出响应。</w:t>
            </w:r>
          </w:p>
          <w:p w14:paraId="38A58E30">
            <w:pPr>
              <w:wordWrap w:val="0"/>
              <w:spacing w:line="3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1</w:t>
            </w:r>
            <w:r>
              <w:rPr>
                <w:rFonts w:hint="eastAsia" w:ascii="宋体" w:hAnsi="宋体" w:eastAsia="宋体" w:cs="宋体"/>
                <w:sz w:val="21"/>
                <w:szCs w:val="21"/>
                <w:highlight w:val="none"/>
              </w:rPr>
              <w:t>）权利义务符合招标文件规定：</w:t>
            </w:r>
          </w:p>
          <w:p w14:paraId="6D5E382E">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a.投标人应接受招标文件规定的风险划分原则，未提出新的风险划分办法；</w:t>
            </w:r>
          </w:p>
          <w:p w14:paraId="032F8018">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b.投标人未增加发包人的责任范围，或减少投标人义务；</w:t>
            </w:r>
          </w:p>
          <w:p w14:paraId="7884AB72">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c.投标人未提出不同的工程验收、计量、支付办法；</w:t>
            </w:r>
          </w:p>
          <w:p w14:paraId="4BDA16F0">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d.投标人对合同纠纷、事故处理办法未提出异议；</w:t>
            </w:r>
          </w:p>
          <w:p w14:paraId="22261D89">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e.投标人在投标活动中无欺诈行为；</w:t>
            </w:r>
          </w:p>
          <w:p w14:paraId="576A226A">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f.投标人未对合同条款有重要保留。</w:t>
            </w:r>
          </w:p>
        </w:tc>
      </w:tr>
      <w:tr w14:paraId="6EB08B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856" w:type="dxa"/>
            <w:noWrap w:val="0"/>
            <w:vAlign w:val="center"/>
          </w:tcPr>
          <w:p w14:paraId="15CFEE6B">
            <w:pPr>
              <w:wordWrap w:val="0"/>
              <w:autoSpaceDE w:val="0"/>
              <w:autoSpaceDN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2.1.1</w:t>
            </w:r>
          </w:p>
          <w:p w14:paraId="3FA52151">
            <w:pPr>
              <w:wordWrap w:val="0"/>
              <w:autoSpaceDE w:val="0"/>
              <w:autoSpaceDN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2.1.3</w:t>
            </w:r>
          </w:p>
        </w:tc>
        <w:tc>
          <w:tcPr>
            <w:tcW w:w="1389" w:type="dxa"/>
            <w:noWrap w:val="0"/>
            <w:vAlign w:val="center"/>
          </w:tcPr>
          <w:p w14:paraId="5B94706A">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形式评审</w:t>
            </w:r>
          </w:p>
          <w:p w14:paraId="6FE6E2EB">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与响应性</w:t>
            </w:r>
          </w:p>
          <w:p w14:paraId="015AFEA8">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评审标准</w:t>
            </w:r>
          </w:p>
        </w:tc>
        <w:tc>
          <w:tcPr>
            <w:tcW w:w="7383" w:type="dxa"/>
            <w:noWrap w:val="0"/>
            <w:vAlign w:val="center"/>
          </w:tcPr>
          <w:p w14:paraId="51FF8A1A">
            <w:pPr>
              <w:wordWrap w:val="0"/>
              <w:adjustRightInd w:val="0"/>
              <w:snapToGrid w:val="0"/>
              <w:spacing w:line="340" w:lineRule="exact"/>
              <w:rPr>
                <w:rFonts w:hint="eastAsia" w:ascii="宋体" w:hAnsi="宋体" w:eastAsia="宋体" w:cs="宋体"/>
                <w:b/>
                <w:sz w:val="21"/>
                <w:szCs w:val="21"/>
                <w:highlight w:val="none"/>
              </w:rPr>
            </w:pPr>
            <w:r>
              <w:rPr>
                <w:rFonts w:hint="eastAsia" w:ascii="宋体" w:hAnsi="宋体" w:eastAsia="宋体" w:cs="宋体"/>
                <w:b/>
                <w:sz w:val="21"/>
                <w:szCs w:val="21"/>
                <w:highlight w:val="none"/>
              </w:rPr>
              <w:t>第二个信封（报价文件）评审标准：</w:t>
            </w:r>
          </w:p>
          <w:p w14:paraId="19A4798B">
            <w:pPr>
              <w:wordWrap w:val="0"/>
              <w:adjustRightInd w:val="0"/>
              <w:snapToGrid w:val="0"/>
              <w:spacing w:line="3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（1）投标文件按照招标文件规定的格式、内容填写，字迹清晰可辨：</w:t>
            </w:r>
          </w:p>
          <w:p w14:paraId="0E9BFEB6">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rPr>
              <w:t>a.投标函按招标文件规定填报了项目名称、标段号、补遗书编号（如有）、投标价（包括大写金额和小写金额）。</w:t>
            </w:r>
          </w:p>
          <w:p w14:paraId="01DC506A">
            <w:pPr>
              <w:wordWrap w:val="0"/>
              <w:spacing w:line="340" w:lineRule="exact"/>
              <w:ind w:firstLine="420" w:firstLineChars="20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b.</w:t>
            </w:r>
            <w:r>
              <w:rPr>
                <w:rFonts w:hint="eastAsia" w:ascii="宋体" w:hAnsi="宋体" w:eastAsia="宋体" w:cs="宋体"/>
                <w:sz w:val="21"/>
                <w:szCs w:val="21"/>
                <w:highlight w:val="none"/>
              </w:rPr>
              <w:t>投标文件组成齐全完整，内容均按规定填写。</w:t>
            </w:r>
          </w:p>
          <w:p w14:paraId="5F9C8355">
            <w:pPr>
              <w:wordWrap w:val="0"/>
              <w:adjustRightInd w:val="0"/>
              <w:snapToGrid w:val="0"/>
              <w:spacing w:line="3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（2）投标文件上法定代表人或其委托代理人的签字、投标人的单位章盖章齐全，符合招标文件规定。</w:t>
            </w:r>
          </w:p>
          <w:p w14:paraId="4D72E31C">
            <w:pPr>
              <w:wordWrap w:val="0"/>
              <w:adjustRightInd w:val="0"/>
              <w:snapToGrid w:val="0"/>
              <w:spacing w:line="3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（3）</w:t>
            </w:r>
            <w:r>
              <w:rPr>
                <w:rFonts w:hint="eastAsia" w:ascii="宋体" w:hAnsi="宋体" w:eastAsia="宋体" w:cs="宋体"/>
                <w:sz w:val="21"/>
                <w:szCs w:val="21"/>
                <w:highlight w:val="none"/>
                <w:lang w:val="en-US" w:eastAsia="zh-CN"/>
              </w:rPr>
              <w:t>投标报价未超过招标文件设定的最高投标限价</w:t>
            </w:r>
            <w:r>
              <w:rPr>
                <w:rFonts w:hint="eastAsia" w:ascii="宋体" w:hAnsi="宋体" w:eastAsia="宋体" w:cs="宋体"/>
                <w:sz w:val="21"/>
                <w:szCs w:val="21"/>
                <w:highlight w:val="none"/>
              </w:rPr>
              <w:t>。</w:t>
            </w:r>
          </w:p>
          <w:p w14:paraId="1E5E9D91">
            <w:pPr>
              <w:wordWrap w:val="0"/>
              <w:adjustRightInd w:val="0"/>
              <w:snapToGrid w:val="0"/>
              <w:spacing w:line="3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（4）投标报价中的大写金额能够确定具体数值。</w:t>
            </w:r>
          </w:p>
          <w:p w14:paraId="1B1DBAEF">
            <w:pPr>
              <w:wordWrap w:val="0"/>
              <w:adjustRightInd w:val="0"/>
              <w:snapToGrid w:val="0"/>
              <w:spacing w:line="3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（5）同一投标人在同一标段未提交两个以上不同的投标报价。</w:t>
            </w:r>
          </w:p>
          <w:p w14:paraId="04821959">
            <w:pPr>
              <w:wordWrap w:val="0"/>
              <w:adjustRightInd w:val="0"/>
              <w:snapToGrid w:val="0"/>
              <w:spacing w:line="340" w:lineRule="exact"/>
              <w:ind w:firstLine="210" w:firstLineChars="100"/>
              <w:rPr>
                <w:rFonts w:hint="eastAsia" w:ascii="宋体" w:hAnsi="宋体" w:eastAsia="宋体" w:cs="宋体"/>
                <w:sz w:val="21"/>
                <w:szCs w:val="21"/>
                <w:highlight w:val="none"/>
              </w:rPr>
            </w:pPr>
            <w:r>
              <w:rPr>
                <w:rFonts w:hint="eastAsia" w:ascii="宋体" w:hAnsi="宋体" w:eastAsia="宋体" w:cs="宋体"/>
                <w:sz w:val="21"/>
                <w:szCs w:val="21"/>
                <w:highlight w:val="none"/>
              </w:rPr>
              <w:t>（6）</w:t>
            </w:r>
            <w:r>
              <w:rPr>
                <w:rFonts w:hint="eastAsia" w:ascii="宋体" w:hAnsi="宋体" w:eastAsia="宋体" w:cs="宋体"/>
                <w:sz w:val="21"/>
                <w:szCs w:val="21"/>
                <w:highlight w:val="none"/>
                <w:lang w:val="en-US" w:eastAsia="zh-CN"/>
              </w:rPr>
              <w:t>投标人填写工程量固化清单，填写完毕的工程量固化清单未对工程量固化 清单电子文件中的数据、格式和运算定义进行修改</w:t>
            </w:r>
            <w:r>
              <w:rPr>
                <w:rFonts w:hint="eastAsia" w:ascii="宋体" w:hAnsi="宋体" w:eastAsia="宋体" w:cs="宋体"/>
                <w:sz w:val="21"/>
                <w:szCs w:val="21"/>
                <w:highlight w:val="none"/>
              </w:rPr>
              <w:t>。</w:t>
            </w:r>
          </w:p>
        </w:tc>
      </w:tr>
      <w:tr w14:paraId="3C6CB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856" w:type="dxa"/>
            <w:tcBorders>
              <w:bottom w:val="single" w:color="auto" w:sz="4" w:space="0"/>
            </w:tcBorders>
            <w:noWrap w:val="0"/>
            <w:vAlign w:val="center"/>
          </w:tcPr>
          <w:p w14:paraId="7FF7623F">
            <w:pPr>
              <w:wordWrap w:val="0"/>
              <w:autoSpaceDE w:val="0"/>
              <w:autoSpaceDN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2.1.2</w:t>
            </w:r>
          </w:p>
        </w:tc>
        <w:tc>
          <w:tcPr>
            <w:tcW w:w="1389" w:type="dxa"/>
            <w:tcBorders>
              <w:bottom w:val="single" w:color="auto" w:sz="4" w:space="0"/>
            </w:tcBorders>
            <w:noWrap w:val="0"/>
            <w:vAlign w:val="center"/>
          </w:tcPr>
          <w:p w14:paraId="2B23C2AA">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资格评</w:t>
            </w:r>
          </w:p>
          <w:p w14:paraId="3F2CD809">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审标准</w:t>
            </w:r>
          </w:p>
        </w:tc>
        <w:tc>
          <w:tcPr>
            <w:tcW w:w="7383" w:type="dxa"/>
            <w:tcBorders>
              <w:bottom w:val="single" w:color="auto" w:sz="4" w:space="0"/>
            </w:tcBorders>
            <w:noWrap w:val="0"/>
            <w:vAlign w:val="center"/>
          </w:tcPr>
          <w:p w14:paraId="52779CC4">
            <w:pPr>
              <w:wordWrap w:val="0"/>
              <w:adjustRightInd w:val="0"/>
              <w:snapToGrid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（1）投标人具备有效的营业执照、基本账户开户许可证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或基本账户开户</w:t>
            </w:r>
            <w:r>
              <w:rPr>
                <w:rFonts w:hint="eastAsia" w:ascii="宋体" w:hAnsi="宋体" w:eastAsia="宋体" w:cs="宋体"/>
                <w:sz w:val="21"/>
                <w:szCs w:val="21"/>
                <w:highlight w:val="none"/>
                <w:lang w:val="en-US" w:eastAsia="zh-CN"/>
              </w:rPr>
              <w:t>银行开具的证明</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vertAlign w:val="superscript"/>
              </w:rPr>
              <w:footnoteReference w:id="0"/>
            </w:r>
            <w:r>
              <w:rPr>
                <w:rFonts w:hint="eastAsia" w:ascii="宋体" w:hAnsi="宋体" w:eastAsia="宋体" w:cs="宋体"/>
                <w:sz w:val="21"/>
                <w:szCs w:val="21"/>
                <w:highlight w:val="none"/>
              </w:rPr>
              <w:t>。</w:t>
            </w:r>
          </w:p>
          <w:p w14:paraId="7BAC9311">
            <w:pPr>
              <w:wordWrap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（2）投标人的资质等级符合招标文件规定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不适用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14:paraId="3EBB5235">
            <w:pPr>
              <w:wordWrap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（3）投标人的财务状况符合招标文件规定。</w:t>
            </w:r>
          </w:p>
          <w:p w14:paraId="1D2F7C39">
            <w:pPr>
              <w:wordWrap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（4）投标人的类似项目业绩符合招标文件规定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不适用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14:paraId="03357753">
            <w:pPr>
              <w:wordWrap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（5）投标人的信誉符合招标文件规定</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不适用</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rPr>
              <w:t>。</w:t>
            </w:r>
          </w:p>
          <w:p w14:paraId="5FE5B638">
            <w:pPr>
              <w:wordWrap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（6）投标人的</w:t>
            </w:r>
            <w:r>
              <w:rPr>
                <w:rFonts w:hint="eastAsia" w:ascii="宋体" w:hAnsi="宋体" w:eastAsia="宋体" w:cs="宋体"/>
                <w:sz w:val="21"/>
                <w:szCs w:val="21"/>
                <w:highlight w:val="none"/>
                <w:lang w:eastAsia="zh-CN"/>
              </w:rPr>
              <w:t>项目经理</w:t>
            </w:r>
            <w:r>
              <w:rPr>
                <w:rFonts w:hint="eastAsia" w:ascii="宋体" w:hAnsi="宋体" w:eastAsia="宋体" w:cs="宋体"/>
                <w:sz w:val="21"/>
                <w:szCs w:val="21"/>
                <w:highlight w:val="none"/>
              </w:rPr>
              <w:t>和</w:t>
            </w:r>
            <w:r>
              <w:rPr>
                <w:rFonts w:hint="eastAsia" w:ascii="宋体" w:hAnsi="宋体" w:eastAsia="宋体" w:cs="宋体"/>
                <w:sz w:val="21"/>
                <w:szCs w:val="21"/>
                <w:highlight w:val="none"/>
                <w:lang w:eastAsia="zh-CN"/>
              </w:rPr>
              <w:t>项目总工</w:t>
            </w:r>
            <w:r>
              <w:rPr>
                <w:rFonts w:hint="eastAsia" w:ascii="宋体" w:hAnsi="宋体" w:eastAsia="宋体" w:cs="宋体"/>
                <w:sz w:val="21"/>
                <w:szCs w:val="21"/>
                <w:highlight w:val="none"/>
              </w:rPr>
              <w:t>资格符合招标文件规定。</w:t>
            </w:r>
          </w:p>
          <w:p w14:paraId="1B0041F3">
            <w:pPr>
              <w:wordWrap w:val="0"/>
              <w:spacing w:line="32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（7）</w:t>
            </w:r>
            <w:r>
              <w:rPr>
                <w:rFonts w:hint="eastAsia" w:ascii="宋体" w:hAnsi="宋体" w:eastAsia="宋体" w:cs="宋体"/>
                <w:sz w:val="21"/>
                <w:szCs w:val="21"/>
                <w:highlight w:val="none"/>
                <w:lang w:val="en-US" w:eastAsia="zh-CN"/>
              </w:rPr>
              <w:t>投标人的其他要求符合招标文件规定。</w:t>
            </w:r>
          </w:p>
          <w:p w14:paraId="047AF014">
            <w:pPr>
              <w:pStyle w:val="7"/>
              <w:rPr>
                <w:rFonts w:hint="eastAsia" w:ascii="宋体" w:hAnsi="宋体" w:eastAsia="宋体" w:cs="宋体"/>
                <w:sz w:val="21"/>
                <w:szCs w:val="21"/>
                <w:highlight w:val="none"/>
                <w:lang w:val="en-US" w:eastAsia="zh-CN"/>
              </w:rPr>
            </w:pPr>
            <w:r>
              <w:rPr>
                <w:rFonts w:hint="eastAsia" w:ascii="宋体" w:hAnsi="宋体" w:eastAsia="宋体" w:cs="宋体"/>
                <w:kern w:val="2"/>
                <w:sz w:val="21"/>
                <w:szCs w:val="21"/>
                <w:highlight w:val="none"/>
                <w:lang w:val="en-US" w:eastAsia="zh-CN" w:bidi="ar-SA"/>
              </w:rPr>
              <w:t>（8）投标人不存在第二章“投标人须知”第1.4.3项或第1.4.4项规定的任何一种情形。</w:t>
            </w:r>
          </w:p>
        </w:tc>
      </w:tr>
    </w:tbl>
    <w:p w14:paraId="52084FCD">
      <w:pPr>
        <w:wordWrap w:val="0"/>
        <w:spacing w:line="360" w:lineRule="auto"/>
        <w:jc w:val="right"/>
        <w:rPr>
          <w:rFonts w:hint="eastAsia" w:ascii="宋体" w:hAnsi="宋体" w:eastAsia="宋体" w:cs="宋体"/>
          <w:sz w:val="21"/>
          <w:szCs w:val="21"/>
          <w:highlight w:val="none"/>
        </w:rPr>
      </w:pPr>
    </w:p>
    <w:p w14:paraId="103EF36B">
      <w:pPr>
        <w:spacing w:line="360" w:lineRule="auto"/>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br w:type="page"/>
      </w:r>
      <w:r>
        <w:rPr>
          <w:rFonts w:hint="eastAsia" w:ascii="宋体" w:hAnsi="宋体" w:eastAsia="宋体" w:cs="宋体"/>
          <w:sz w:val="21"/>
          <w:szCs w:val="21"/>
          <w:highlight w:val="none"/>
        </w:rPr>
        <w:t>续上表</w:t>
      </w:r>
    </w:p>
    <w:tbl>
      <w:tblPr>
        <w:tblStyle w:val="14"/>
        <w:tblW w:w="971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85" w:type="dxa"/>
          <w:left w:w="0" w:type="dxa"/>
          <w:bottom w:w="85" w:type="dxa"/>
          <w:right w:w="0" w:type="dxa"/>
        </w:tblCellMar>
      </w:tblPr>
      <w:tblGrid>
        <w:gridCol w:w="1024"/>
        <w:gridCol w:w="2556"/>
        <w:gridCol w:w="6130"/>
      </w:tblGrid>
      <w:tr w14:paraId="71F6A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tblHeader/>
          <w:jc w:val="center"/>
        </w:trPr>
        <w:tc>
          <w:tcPr>
            <w:tcW w:w="1024" w:type="dxa"/>
            <w:tcBorders>
              <w:top w:val="single" w:color="000000" w:sz="4" w:space="0"/>
              <w:left w:val="single" w:color="000000" w:sz="4" w:space="0"/>
              <w:bottom w:val="single" w:color="auto" w:sz="4" w:space="0"/>
              <w:right w:val="single" w:color="000000" w:sz="4" w:space="0"/>
            </w:tcBorders>
            <w:noWrap w:val="0"/>
            <w:vAlign w:val="center"/>
          </w:tcPr>
          <w:p w14:paraId="4B574BF8">
            <w:pPr>
              <w:wordWrap w:val="0"/>
              <w:autoSpaceDE w:val="0"/>
              <w:autoSpaceDN w:val="0"/>
              <w:adjustRightInd w:val="0"/>
              <w:snapToGrid w:val="0"/>
              <w:spacing w:line="36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条款号</w:t>
            </w:r>
          </w:p>
        </w:tc>
        <w:tc>
          <w:tcPr>
            <w:tcW w:w="2556" w:type="dxa"/>
            <w:tcBorders>
              <w:top w:val="single" w:color="000000" w:sz="4" w:space="0"/>
              <w:left w:val="single" w:color="000000" w:sz="4" w:space="0"/>
              <w:bottom w:val="single" w:color="auto" w:sz="4" w:space="0"/>
              <w:right w:val="single" w:color="000000" w:sz="4" w:space="0"/>
            </w:tcBorders>
            <w:noWrap w:val="0"/>
            <w:vAlign w:val="center"/>
          </w:tcPr>
          <w:p w14:paraId="0E9B8235">
            <w:pPr>
              <w:wordWrap w:val="0"/>
              <w:adjustRightInd w:val="0"/>
              <w:snapToGrid w:val="0"/>
              <w:spacing w:line="36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条款内容</w:t>
            </w:r>
          </w:p>
        </w:tc>
        <w:tc>
          <w:tcPr>
            <w:tcW w:w="6130" w:type="dxa"/>
            <w:tcBorders>
              <w:top w:val="single" w:color="000000" w:sz="4" w:space="0"/>
              <w:left w:val="single" w:color="000000" w:sz="4" w:space="0"/>
              <w:bottom w:val="single" w:color="auto" w:sz="4" w:space="0"/>
              <w:right w:val="single" w:color="000000" w:sz="4" w:space="0"/>
            </w:tcBorders>
            <w:noWrap w:val="0"/>
            <w:vAlign w:val="center"/>
          </w:tcPr>
          <w:p w14:paraId="3402716A">
            <w:pPr>
              <w:wordWrap w:val="0"/>
              <w:adjustRightInd w:val="0"/>
              <w:snapToGrid w:val="0"/>
              <w:spacing w:line="360" w:lineRule="exact"/>
              <w:jc w:val="center"/>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编列内容</w:t>
            </w:r>
          </w:p>
        </w:tc>
      </w:tr>
      <w:tr w14:paraId="16279CB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1024" w:type="dxa"/>
            <w:tcBorders>
              <w:top w:val="single" w:color="000000" w:sz="4" w:space="0"/>
              <w:left w:val="single" w:color="000000" w:sz="4" w:space="0"/>
              <w:bottom w:val="single" w:color="auto" w:sz="4" w:space="0"/>
              <w:right w:val="single" w:color="000000" w:sz="4" w:space="0"/>
            </w:tcBorders>
            <w:noWrap w:val="0"/>
            <w:vAlign w:val="center"/>
          </w:tcPr>
          <w:p w14:paraId="6E11325D">
            <w:pPr>
              <w:wordWrap w:val="0"/>
              <w:autoSpaceDE w:val="0"/>
              <w:autoSpaceDN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2.2.1</w:t>
            </w:r>
          </w:p>
        </w:tc>
        <w:tc>
          <w:tcPr>
            <w:tcW w:w="2556" w:type="dxa"/>
            <w:tcBorders>
              <w:top w:val="single" w:color="000000" w:sz="4" w:space="0"/>
              <w:left w:val="single" w:color="000000" w:sz="4" w:space="0"/>
              <w:bottom w:val="single" w:color="auto" w:sz="4" w:space="0"/>
              <w:right w:val="single" w:color="000000" w:sz="4" w:space="0"/>
            </w:tcBorders>
            <w:noWrap w:val="0"/>
            <w:vAlign w:val="center"/>
          </w:tcPr>
          <w:p w14:paraId="6BED2F3A">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第一个信封</w:t>
            </w:r>
          </w:p>
          <w:p w14:paraId="13D694FA">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评分分值构成</w:t>
            </w:r>
          </w:p>
          <w:p w14:paraId="19D9F708">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（总分100分）</w:t>
            </w:r>
          </w:p>
        </w:tc>
        <w:tc>
          <w:tcPr>
            <w:tcW w:w="6130" w:type="dxa"/>
            <w:tcBorders>
              <w:top w:val="single" w:color="000000" w:sz="4" w:space="0"/>
              <w:left w:val="single" w:color="000000" w:sz="4" w:space="0"/>
              <w:bottom w:val="single" w:color="auto" w:sz="4" w:space="0"/>
              <w:right w:val="single" w:color="000000" w:sz="4" w:space="0"/>
            </w:tcBorders>
            <w:noWrap w:val="0"/>
            <w:vAlign w:val="center"/>
          </w:tcPr>
          <w:p w14:paraId="2C2856C2">
            <w:pPr>
              <w:wordWrap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技术方案</w:t>
            </w:r>
            <w:r>
              <w:rPr>
                <w:rFonts w:hint="eastAsia" w:ascii="宋体" w:hAnsi="宋体" w:eastAsia="宋体" w:cs="宋体"/>
                <w:sz w:val="21"/>
                <w:szCs w:val="21"/>
                <w:highlight w:val="none"/>
              </w:rPr>
              <w:t>：</w:t>
            </w:r>
            <w:r>
              <w:rPr>
                <w:rFonts w:hint="eastAsia" w:ascii="宋体" w:hAnsi="宋体" w:eastAsia="宋体" w:cs="宋体"/>
                <w:sz w:val="21"/>
                <w:szCs w:val="21"/>
                <w:highlight w:val="none"/>
                <w:u w:val="single"/>
              </w:rPr>
              <w:t xml:space="preserve"> 40 </w:t>
            </w:r>
            <w:r>
              <w:rPr>
                <w:rFonts w:hint="eastAsia" w:ascii="宋体" w:hAnsi="宋体" w:eastAsia="宋体" w:cs="宋体"/>
                <w:sz w:val="21"/>
                <w:szCs w:val="21"/>
                <w:highlight w:val="none"/>
              </w:rPr>
              <w:t>分</w:t>
            </w:r>
          </w:p>
          <w:p w14:paraId="6BF32325">
            <w:pPr>
              <w:wordWrap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主要人员：</w:t>
            </w:r>
            <w:r>
              <w:rPr>
                <w:rFonts w:hint="eastAsia" w:ascii="宋体" w:hAnsi="宋体" w:eastAsia="宋体" w:cs="宋体"/>
                <w:sz w:val="21"/>
                <w:szCs w:val="21"/>
                <w:highlight w:val="none"/>
                <w:u w:val="single"/>
              </w:rPr>
              <w:t xml:space="preserve"> 25 </w:t>
            </w:r>
            <w:r>
              <w:rPr>
                <w:rFonts w:hint="eastAsia" w:ascii="宋体" w:hAnsi="宋体" w:eastAsia="宋体" w:cs="宋体"/>
                <w:sz w:val="21"/>
                <w:szCs w:val="21"/>
                <w:highlight w:val="none"/>
              </w:rPr>
              <w:t>分</w:t>
            </w:r>
          </w:p>
          <w:p w14:paraId="0F1C2A3E">
            <w:pPr>
              <w:wordWrap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企业业绩：</w:t>
            </w:r>
            <w:r>
              <w:rPr>
                <w:rFonts w:hint="eastAsia" w:ascii="宋体" w:hAnsi="宋体" w:eastAsia="宋体" w:cs="宋体"/>
                <w:sz w:val="21"/>
                <w:szCs w:val="21"/>
                <w:highlight w:val="none"/>
                <w:u w:val="single"/>
              </w:rPr>
              <w:t xml:space="preserve"> 20 </w:t>
            </w:r>
            <w:r>
              <w:rPr>
                <w:rFonts w:hint="eastAsia" w:ascii="宋体" w:hAnsi="宋体" w:eastAsia="宋体" w:cs="宋体"/>
                <w:sz w:val="21"/>
                <w:szCs w:val="21"/>
                <w:highlight w:val="none"/>
              </w:rPr>
              <w:t>分</w:t>
            </w:r>
          </w:p>
          <w:p w14:paraId="7E7A83AE">
            <w:pPr>
              <w:wordWrap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履约信誉：</w:t>
            </w:r>
            <w:r>
              <w:rPr>
                <w:rFonts w:hint="eastAsia" w:ascii="宋体" w:hAnsi="宋体" w:eastAsia="宋体" w:cs="宋体"/>
                <w:sz w:val="21"/>
                <w:szCs w:val="21"/>
                <w:highlight w:val="none"/>
                <w:u w:val="single"/>
              </w:rPr>
              <w:t xml:space="preserve"> 15 </w:t>
            </w:r>
            <w:r>
              <w:rPr>
                <w:rFonts w:hint="eastAsia" w:ascii="宋体" w:hAnsi="宋体" w:eastAsia="宋体" w:cs="宋体"/>
                <w:sz w:val="21"/>
                <w:szCs w:val="21"/>
                <w:highlight w:val="none"/>
              </w:rPr>
              <w:t>分</w:t>
            </w:r>
          </w:p>
        </w:tc>
      </w:tr>
      <w:tr w14:paraId="3861D7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1024" w:type="dxa"/>
            <w:tcBorders>
              <w:top w:val="single" w:color="000000" w:sz="4" w:space="0"/>
              <w:left w:val="single" w:color="000000" w:sz="4" w:space="0"/>
              <w:bottom w:val="single" w:color="auto" w:sz="4" w:space="0"/>
              <w:right w:val="single" w:color="000000" w:sz="4" w:space="0"/>
            </w:tcBorders>
            <w:noWrap w:val="0"/>
            <w:vAlign w:val="center"/>
          </w:tcPr>
          <w:p w14:paraId="7412C4D8">
            <w:pPr>
              <w:wordWrap w:val="0"/>
              <w:autoSpaceDE w:val="0"/>
              <w:autoSpaceDN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2.2.3</w:t>
            </w:r>
          </w:p>
        </w:tc>
        <w:tc>
          <w:tcPr>
            <w:tcW w:w="2556" w:type="dxa"/>
            <w:tcBorders>
              <w:top w:val="single" w:color="000000" w:sz="4" w:space="0"/>
              <w:left w:val="single" w:color="000000" w:sz="4" w:space="0"/>
              <w:bottom w:val="single" w:color="auto" w:sz="4" w:space="0"/>
              <w:right w:val="single" w:color="000000" w:sz="4" w:space="0"/>
            </w:tcBorders>
            <w:noWrap w:val="0"/>
            <w:vAlign w:val="center"/>
          </w:tcPr>
          <w:p w14:paraId="5430C0C2">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第二个信封</w:t>
            </w:r>
          </w:p>
          <w:p w14:paraId="0B48FF77">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详细评审标准</w:t>
            </w:r>
          </w:p>
        </w:tc>
        <w:tc>
          <w:tcPr>
            <w:tcW w:w="6130" w:type="dxa"/>
            <w:tcBorders>
              <w:top w:val="single" w:color="000000" w:sz="4" w:space="0"/>
              <w:left w:val="single" w:color="000000" w:sz="4" w:space="0"/>
              <w:bottom w:val="single" w:color="auto" w:sz="4" w:space="0"/>
              <w:right w:val="single" w:color="000000" w:sz="4" w:space="0"/>
            </w:tcBorders>
            <w:noWrap w:val="0"/>
            <w:vAlign w:val="center"/>
          </w:tcPr>
          <w:p w14:paraId="5D6538CC">
            <w:pPr>
              <w:wordWrap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sz w:val="21"/>
                <w:szCs w:val="21"/>
                <w:highlight w:val="none"/>
              </w:rPr>
              <w:t>评标价计算公式：评标价=投标函文字报价</w:t>
            </w:r>
          </w:p>
        </w:tc>
      </w:tr>
      <w:tr w14:paraId="50875F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85" w:type="dxa"/>
            <w:left w:w="0" w:type="dxa"/>
            <w:bottom w:w="85" w:type="dxa"/>
            <w:right w:w="0" w:type="dxa"/>
          </w:tblCellMar>
        </w:tblPrEx>
        <w:trPr>
          <w:trHeight w:val="567" w:hRule="atLeast"/>
          <w:jc w:val="center"/>
        </w:trPr>
        <w:tc>
          <w:tcPr>
            <w:tcW w:w="1024" w:type="dxa"/>
            <w:tcBorders>
              <w:top w:val="single" w:color="000000" w:sz="4" w:space="0"/>
              <w:left w:val="single" w:color="000000" w:sz="4" w:space="0"/>
              <w:bottom w:val="single" w:color="auto" w:sz="4" w:space="0"/>
              <w:right w:val="single" w:color="000000" w:sz="4" w:space="0"/>
            </w:tcBorders>
            <w:noWrap w:val="0"/>
            <w:vAlign w:val="center"/>
          </w:tcPr>
          <w:p w14:paraId="7986131C">
            <w:pPr>
              <w:wordWrap w:val="0"/>
              <w:autoSpaceDE w:val="0"/>
              <w:autoSpaceDN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3.2.4</w:t>
            </w:r>
          </w:p>
        </w:tc>
        <w:tc>
          <w:tcPr>
            <w:tcW w:w="2556" w:type="dxa"/>
            <w:tcBorders>
              <w:top w:val="single" w:color="000000" w:sz="4" w:space="0"/>
              <w:left w:val="single" w:color="000000" w:sz="4" w:space="0"/>
              <w:bottom w:val="single" w:color="auto" w:sz="4" w:space="0"/>
              <w:right w:val="single" w:color="000000" w:sz="4" w:space="0"/>
            </w:tcBorders>
            <w:noWrap w:val="0"/>
            <w:vAlign w:val="center"/>
          </w:tcPr>
          <w:p w14:paraId="0C9B3C16">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通过第一个信封</w:t>
            </w:r>
          </w:p>
          <w:p w14:paraId="0D75374C">
            <w:pPr>
              <w:wordWrap w:val="0"/>
              <w:adjustRightInd w:val="0"/>
              <w:snapToGrid w:val="0"/>
              <w:spacing w:line="360" w:lineRule="exact"/>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详细评审的投标人数量</w:t>
            </w:r>
          </w:p>
        </w:tc>
        <w:tc>
          <w:tcPr>
            <w:tcW w:w="6130" w:type="dxa"/>
            <w:tcBorders>
              <w:top w:val="single" w:color="000000" w:sz="4" w:space="0"/>
              <w:left w:val="single" w:color="000000" w:sz="4" w:space="0"/>
              <w:bottom w:val="single" w:color="auto" w:sz="4" w:space="0"/>
              <w:right w:val="single" w:color="000000" w:sz="4" w:space="0"/>
            </w:tcBorders>
            <w:noWrap w:val="0"/>
            <w:vAlign w:val="center"/>
          </w:tcPr>
          <w:p w14:paraId="48BF30AF">
            <w:pPr>
              <w:wordWrap w:val="0"/>
              <w:adjustRightInd w:val="0"/>
              <w:snapToGrid w:val="0"/>
              <w:spacing w:line="360" w:lineRule="exact"/>
              <w:rPr>
                <w:rFonts w:hint="eastAsia" w:ascii="宋体" w:hAnsi="宋体" w:eastAsia="宋体" w:cs="宋体"/>
                <w:sz w:val="21"/>
                <w:szCs w:val="21"/>
                <w:highlight w:val="none"/>
              </w:rPr>
            </w:pPr>
            <w:r>
              <w:rPr>
                <w:rFonts w:hint="eastAsia" w:ascii="宋体" w:hAnsi="宋体" w:eastAsia="宋体" w:cs="宋体"/>
                <w:b/>
                <w:bCs/>
                <w:sz w:val="21"/>
                <w:szCs w:val="21"/>
                <w:highlight w:val="none"/>
              </w:rPr>
              <w:t>按照投标人的商务和技术得分由高到低排序，选择前</w:t>
            </w:r>
            <w:r>
              <w:rPr>
                <w:rFonts w:hint="eastAsia" w:ascii="宋体" w:hAnsi="宋体" w:eastAsia="宋体" w:cs="宋体"/>
                <w:b/>
                <w:bCs/>
                <w:sz w:val="21"/>
                <w:szCs w:val="21"/>
                <w:highlight w:val="none"/>
                <w:u w:val="single"/>
              </w:rPr>
              <w:t xml:space="preserve"> 3 </w:t>
            </w:r>
            <w:r>
              <w:rPr>
                <w:rFonts w:hint="eastAsia" w:ascii="宋体" w:hAnsi="宋体" w:eastAsia="宋体" w:cs="宋体"/>
                <w:b/>
                <w:bCs/>
                <w:sz w:val="21"/>
                <w:szCs w:val="21"/>
                <w:highlight w:val="none"/>
              </w:rPr>
              <w:t>名通过</w:t>
            </w:r>
            <w:r>
              <w:rPr>
                <w:rFonts w:hint="eastAsia" w:ascii="宋体" w:hAnsi="宋体" w:eastAsia="宋体" w:cs="宋体"/>
                <w:b/>
                <w:bCs/>
                <w:sz w:val="21"/>
                <w:szCs w:val="21"/>
                <w:highlight w:val="none"/>
                <w:lang w:val="en-US" w:eastAsia="zh-CN"/>
              </w:rPr>
              <w:t>第一个信封</w:t>
            </w:r>
            <w:r>
              <w:rPr>
                <w:rFonts w:hint="eastAsia" w:ascii="宋体" w:hAnsi="宋体" w:eastAsia="宋体" w:cs="宋体"/>
                <w:b/>
                <w:bCs/>
                <w:sz w:val="21"/>
                <w:szCs w:val="21"/>
                <w:highlight w:val="none"/>
              </w:rPr>
              <w:t>详细评审。</w:t>
            </w:r>
            <w:r>
              <w:rPr>
                <w:rFonts w:hint="eastAsia" w:ascii="宋体" w:hAnsi="宋体" w:eastAsia="宋体" w:cs="宋体"/>
                <w:sz w:val="21"/>
                <w:szCs w:val="21"/>
                <w:highlight w:val="none"/>
              </w:rPr>
              <w:t>如通过第一个信封详细评审的投标人数量不足3名时，由评标委员会根据法律、法规和部门规章的相关规定确定是否继续进行评标。</w:t>
            </w:r>
          </w:p>
        </w:tc>
      </w:tr>
    </w:tbl>
    <w:p w14:paraId="4F53D86A">
      <w:pPr>
        <w:wordWrap w:val="0"/>
        <w:adjustRightInd w:val="0"/>
        <w:snapToGrid w:val="0"/>
        <w:spacing w:line="360" w:lineRule="auto"/>
        <w:ind w:firstLine="420" w:firstLineChars="200"/>
        <w:rPr>
          <w:rFonts w:hint="eastAsia" w:ascii="宋体" w:hAnsi="宋体" w:eastAsia="宋体" w:cs="宋体"/>
          <w:sz w:val="21"/>
          <w:szCs w:val="21"/>
          <w:highlight w:val="none"/>
        </w:rPr>
      </w:pPr>
    </w:p>
    <w:p w14:paraId="7F578E9E">
      <w:pPr>
        <w:wordWrap w:val="0"/>
        <w:adjustRightInd w:val="0"/>
        <w:snapToGrid w:val="0"/>
        <w:spacing w:line="360" w:lineRule="auto"/>
        <w:ind w:firstLine="420" w:firstLineChars="200"/>
        <w:rPr>
          <w:rFonts w:hint="eastAsia" w:ascii="宋体" w:hAnsi="宋体" w:eastAsia="宋体" w:cs="宋体"/>
          <w:sz w:val="21"/>
          <w:szCs w:val="21"/>
          <w:highlight w:val="none"/>
        </w:rPr>
      </w:pPr>
    </w:p>
    <w:p w14:paraId="6E3C43A0">
      <w:pPr>
        <w:wordWrap w:val="0"/>
        <w:adjustRightInd w:val="0"/>
        <w:snapToGrid w:val="0"/>
        <w:spacing w:line="360" w:lineRule="auto"/>
        <w:ind w:firstLine="420" w:firstLineChars="200"/>
        <w:rPr>
          <w:rFonts w:hint="eastAsia" w:ascii="宋体" w:hAnsi="宋体" w:eastAsia="宋体" w:cs="宋体"/>
          <w:sz w:val="21"/>
          <w:szCs w:val="21"/>
          <w:highlight w:val="none"/>
        </w:rPr>
      </w:pPr>
    </w:p>
    <w:p w14:paraId="0E607154">
      <w:pPr>
        <w:wordWrap w:val="0"/>
        <w:adjustRightInd w:val="0"/>
        <w:snapToGrid w:val="0"/>
        <w:spacing w:line="360" w:lineRule="auto"/>
        <w:ind w:firstLine="420" w:firstLineChars="200"/>
        <w:rPr>
          <w:rFonts w:hint="eastAsia" w:ascii="宋体" w:hAnsi="宋体" w:eastAsia="宋体" w:cs="宋体"/>
          <w:sz w:val="21"/>
          <w:szCs w:val="21"/>
          <w:highlight w:val="none"/>
        </w:rPr>
        <w:sectPr>
          <w:headerReference r:id="rId4" w:type="default"/>
          <w:footerReference r:id="rId5" w:type="default"/>
          <w:footnotePr>
            <w:numFmt w:val="decimalEnclosedCircleChinese"/>
            <w:numRestart w:val="eachPage"/>
          </w:footnotePr>
          <w:pgSz w:w="11907" w:h="16840"/>
          <w:pgMar w:top="1417" w:right="1417" w:bottom="1417" w:left="1417" w:header="992" w:footer="850" w:gutter="0"/>
          <w:pgBorders>
            <w:top w:val="none" w:sz="0" w:space="0"/>
            <w:left w:val="none" w:sz="0" w:space="0"/>
            <w:bottom w:val="none" w:sz="0" w:space="0"/>
            <w:right w:val="none" w:sz="0" w:space="0"/>
          </w:pgBorders>
          <w:pgNumType w:fmt="decimal"/>
          <w:cols w:space="720" w:num="1"/>
        </w:sectPr>
      </w:pPr>
    </w:p>
    <w:p w14:paraId="601F9FA4">
      <w:pPr>
        <w:rPr>
          <w:rFonts w:hint="eastAsia" w:ascii="宋体" w:hAnsi="宋体" w:eastAsia="宋体" w:cs="宋体"/>
          <w:sz w:val="21"/>
          <w:szCs w:val="21"/>
          <w:highlight w:val="none"/>
        </w:rPr>
      </w:pPr>
      <w:r>
        <w:rPr>
          <w:rFonts w:hint="eastAsia" w:ascii="宋体" w:hAnsi="宋体" w:eastAsia="宋体" w:cs="宋体"/>
          <w:sz w:val="21"/>
          <w:szCs w:val="21"/>
          <w:highlight w:val="none"/>
        </w:rPr>
        <w:t>续上表</w:t>
      </w:r>
    </w:p>
    <w:tbl>
      <w:tblPr>
        <w:tblStyle w:val="14"/>
        <w:tblW w:w="102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739"/>
        <w:gridCol w:w="503"/>
        <w:gridCol w:w="504"/>
        <w:gridCol w:w="1073"/>
        <w:gridCol w:w="2158"/>
        <w:gridCol w:w="747"/>
        <w:gridCol w:w="4515"/>
      </w:tblGrid>
      <w:tr w14:paraId="7A15C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7" w:hRule="atLeast"/>
          <w:tblHeader/>
          <w:jc w:val="center"/>
        </w:trPr>
        <w:tc>
          <w:tcPr>
            <w:tcW w:w="5724" w:type="dxa"/>
            <w:gridSpan w:val="6"/>
            <w:noWrap/>
            <w:vAlign w:val="center"/>
          </w:tcPr>
          <w:p w14:paraId="6FE65BBE">
            <w:pP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评分因素与拟定权重分值</w:t>
            </w:r>
          </w:p>
        </w:tc>
        <w:tc>
          <w:tcPr>
            <w:tcW w:w="4515" w:type="dxa"/>
            <w:vMerge w:val="restart"/>
            <w:noWrap/>
            <w:vAlign w:val="center"/>
          </w:tcPr>
          <w:p w14:paraId="0270D43B">
            <w:pPr>
              <w:rPr>
                <w:rFonts w:hint="eastAsia" w:ascii="宋体" w:hAnsi="宋体" w:eastAsia="宋体" w:cs="宋体"/>
                <w:sz w:val="21"/>
                <w:szCs w:val="21"/>
                <w:highlight w:val="none"/>
              </w:rPr>
            </w:pPr>
            <w:r>
              <w:rPr>
                <w:rFonts w:hint="eastAsia" w:ascii="宋体" w:hAnsi="宋体" w:eastAsia="宋体" w:cs="宋体"/>
                <w:sz w:val="21"/>
                <w:szCs w:val="21"/>
                <w:highlight w:val="none"/>
              </w:rPr>
              <w:t>评分标准</w:t>
            </w:r>
          </w:p>
        </w:tc>
      </w:tr>
      <w:tr w14:paraId="63F93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277" w:hRule="atLeast"/>
          <w:tblHeader/>
          <w:jc w:val="center"/>
        </w:trPr>
        <w:tc>
          <w:tcPr>
            <w:tcW w:w="739" w:type="dxa"/>
            <w:noWrap/>
            <w:vAlign w:val="center"/>
          </w:tcPr>
          <w:p w14:paraId="02717E0C">
            <w:pPr>
              <w:rPr>
                <w:rFonts w:hint="eastAsia" w:ascii="宋体" w:hAnsi="宋体" w:eastAsia="宋体" w:cs="宋体"/>
                <w:sz w:val="21"/>
                <w:szCs w:val="21"/>
                <w:highlight w:val="none"/>
              </w:rPr>
            </w:pPr>
            <w:r>
              <w:rPr>
                <w:rFonts w:hint="eastAsia" w:ascii="宋体" w:hAnsi="宋体" w:eastAsia="宋体" w:cs="宋体"/>
                <w:sz w:val="21"/>
                <w:szCs w:val="21"/>
                <w:highlight w:val="none"/>
              </w:rPr>
              <w:t>条款</w:t>
            </w:r>
          </w:p>
          <w:p w14:paraId="562DDA93">
            <w:pPr>
              <w:rPr>
                <w:rFonts w:hint="eastAsia" w:ascii="宋体" w:hAnsi="宋体" w:eastAsia="宋体" w:cs="宋体"/>
                <w:sz w:val="21"/>
                <w:szCs w:val="21"/>
                <w:highlight w:val="none"/>
              </w:rPr>
            </w:pPr>
            <w:r>
              <w:rPr>
                <w:rFonts w:hint="eastAsia" w:ascii="宋体" w:hAnsi="宋体" w:eastAsia="宋体" w:cs="宋体"/>
                <w:sz w:val="21"/>
                <w:szCs w:val="21"/>
                <w:highlight w:val="none"/>
              </w:rPr>
              <w:t>号</w:t>
            </w:r>
          </w:p>
        </w:tc>
        <w:tc>
          <w:tcPr>
            <w:tcW w:w="1007" w:type="dxa"/>
            <w:gridSpan w:val="2"/>
            <w:noWrap/>
            <w:vAlign w:val="center"/>
          </w:tcPr>
          <w:p w14:paraId="7C30314C">
            <w:pPr>
              <w:rPr>
                <w:rFonts w:hint="eastAsia" w:ascii="宋体" w:hAnsi="宋体" w:eastAsia="宋体" w:cs="宋体"/>
                <w:sz w:val="21"/>
                <w:szCs w:val="21"/>
                <w:highlight w:val="none"/>
              </w:rPr>
            </w:pPr>
            <w:r>
              <w:rPr>
                <w:rFonts w:hint="eastAsia" w:ascii="宋体" w:hAnsi="宋体" w:eastAsia="宋体" w:cs="宋体"/>
                <w:sz w:val="21"/>
                <w:szCs w:val="21"/>
                <w:highlight w:val="none"/>
              </w:rPr>
              <w:t>评分</w:t>
            </w:r>
          </w:p>
          <w:p w14:paraId="4987A9CB">
            <w:pPr>
              <w:rPr>
                <w:rFonts w:hint="eastAsia" w:ascii="宋体" w:hAnsi="宋体" w:eastAsia="宋体" w:cs="宋体"/>
                <w:sz w:val="21"/>
                <w:szCs w:val="21"/>
                <w:highlight w:val="none"/>
              </w:rPr>
            </w:pPr>
            <w:r>
              <w:rPr>
                <w:rFonts w:hint="eastAsia" w:ascii="宋体" w:hAnsi="宋体" w:eastAsia="宋体" w:cs="宋体"/>
                <w:sz w:val="21"/>
                <w:szCs w:val="21"/>
                <w:highlight w:val="none"/>
              </w:rPr>
              <w:t>因素</w:t>
            </w:r>
          </w:p>
        </w:tc>
        <w:tc>
          <w:tcPr>
            <w:tcW w:w="1073" w:type="dxa"/>
            <w:noWrap/>
            <w:vAlign w:val="center"/>
          </w:tcPr>
          <w:p w14:paraId="190ABD27">
            <w:pPr>
              <w:rPr>
                <w:rFonts w:hint="eastAsia" w:ascii="宋体" w:hAnsi="宋体" w:eastAsia="宋体" w:cs="宋体"/>
                <w:sz w:val="21"/>
                <w:szCs w:val="21"/>
                <w:highlight w:val="none"/>
              </w:rPr>
            </w:pPr>
            <w:r>
              <w:rPr>
                <w:rFonts w:hint="eastAsia" w:ascii="宋体" w:hAnsi="宋体" w:eastAsia="宋体" w:cs="宋体"/>
                <w:sz w:val="21"/>
                <w:szCs w:val="21"/>
                <w:highlight w:val="none"/>
              </w:rPr>
              <w:t>评分因素</w:t>
            </w:r>
          </w:p>
          <w:p w14:paraId="535F8F7A">
            <w:pPr>
              <w:rPr>
                <w:rFonts w:hint="eastAsia" w:ascii="宋体" w:hAnsi="宋体" w:eastAsia="宋体" w:cs="宋体"/>
                <w:sz w:val="21"/>
                <w:szCs w:val="21"/>
                <w:highlight w:val="none"/>
              </w:rPr>
            </w:pPr>
            <w:r>
              <w:rPr>
                <w:rFonts w:hint="eastAsia" w:ascii="宋体" w:hAnsi="宋体" w:eastAsia="宋体" w:cs="宋体"/>
                <w:sz w:val="21"/>
                <w:szCs w:val="21"/>
                <w:highlight w:val="none"/>
              </w:rPr>
              <w:t>权重分值</w:t>
            </w:r>
          </w:p>
        </w:tc>
        <w:tc>
          <w:tcPr>
            <w:tcW w:w="2158" w:type="dxa"/>
            <w:noWrap/>
            <w:vAlign w:val="center"/>
          </w:tcPr>
          <w:p w14:paraId="78F9175C">
            <w:pPr>
              <w:rPr>
                <w:rFonts w:hint="eastAsia" w:ascii="宋体" w:hAnsi="宋体" w:eastAsia="宋体" w:cs="宋体"/>
                <w:sz w:val="21"/>
                <w:szCs w:val="21"/>
                <w:highlight w:val="none"/>
              </w:rPr>
            </w:pPr>
            <w:r>
              <w:rPr>
                <w:rFonts w:hint="eastAsia" w:ascii="宋体" w:hAnsi="宋体" w:eastAsia="宋体" w:cs="宋体"/>
                <w:sz w:val="21"/>
                <w:szCs w:val="21"/>
                <w:highlight w:val="none"/>
              </w:rPr>
              <w:t>各评分因</w:t>
            </w:r>
          </w:p>
          <w:p w14:paraId="534D79F5">
            <w:pPr>
              <w:rPr>
                <w:rFonts w:hint="eastAsia" w:ascii="宋体" w:hAnsi="宋体" w:eastAsia="宋体" w:cs="宋体"/>
                <w:sz w:val="21"/>
                <w:szCs w:val="21"/>
                <w:highlight w:val="none"/>
              </w:rPr>
            </w:pPr>
            <w:r>
              <w:rPr>
                <w:rFonts w:hint="eastAsia" w:ascii="宋体" w:hAnsi="宋体" w:eastAsia="宋体" w:cs="宋体"/>
                <w:sz w:val="21"/>
                <w:szCs w:val="21"/>
                <w:highlight w:val="none"/>
              </w:rPr>
              <w:t>素细分项</w:t>
            </w:r>
          </w:p>
        </w:tc>
        <w:tc>
          <w:tcPr>
            <w:tcW w:w="747" w:type="dxa"/>
            <w:noWrap/>
            <w:vAlign w:val="center"/>
          </w:tcPr>
          <w:p w14:paraId="3E4494A6">
            <w:pPr>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分值</w:t>
            </w:r>
          </w:p>
        </w:tc>
        <w:tc>
          <w:tcPr>
            <w:tcW w:w="4515" w:type="dxa"/>
            <w:vMerge w:val="continue"/>
            <w:noWrap/>
            <w:vAlign w:val="center"/>
          </w:tcPr>
          <w:p w14:paraId="734FD97A">
            <w:pPr>
              <w:rPr>
                <w:rFonts w:hint="eastAsia" w:ascii="宋体" w:hAnsi="宋体" w:eastAsia="宋体" w:cs="宋体"/>
                <w:sz w:val="21"/>
                <w:szCs w:val="21"/>
                <w:highlight w:val="none"/>
              </w:rPr>
            </w:pPr>
          </w:p>
        </w:tc>
      </w:tr>
      <w:tr w14:paraId="758AFD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16" w:hRule="atLeast"/>
          <w:jc w:val="center"/>
        </w:trPr>
        <w:tc>
          <w:tcPr>
            <w:tcW w:w="739" w:type="dxa"/>
            <w:vMerge w:val="restart"/>
            <w:noWrap/>
            <w:vAlign w:val="center"/>
          </w:tcPr>
          <w:p w14:paraId="2048D8BA">
            <w:pPr>
              <w:rPr>
                <w:rFonts w:hint="eastAsia" w:ascii="宋体" w:hAnsi="宋体" w:eastAsia="宋体" w:cs="宋体"/>
                <w:sz w:val="21"/>
                <w:szCs w:val="21"/>
                <w:highlight w:val="none"/>
              </w:rPr>
            </w:pPr>
            <w:r>
              <w:rPr>
                <w:rFonts w:hint="eastAsia" w:ascii="宋体" w:hAnsi="宋体" w:eastAsia="宋体" w:cs="宋体"/>
                <w:sz w:val="21"/>
                <w:szCs w:val="21"/>
                <w:highlight w:val="none"/>
              </w:rPr>
              <w:t>2.2.2（1）</w:t>
            </w:r>
          </w:p>
        </w:tc>
        <w:tc>
          <w:tcPr>
            <w:tcW w:w="1007" w:type="dxa"/>
            <w:gridSpan w:val="2"/>
            <w:vMerge w:val="restart"/>
            <w:noWrap/>
            <w:vAlign w:val="center"/>
          </w:tcPr>
          <w:p w14:paraId="2E4F5F87">
            <w:pPr>
              <w:rPr>
                <w:rFonts w:hint="eastAsia" w:ascii="宋体" w:hAnsi="宋体" w:eastAsia="宋体" w:cs="宋体"/>
                <w:sz w:val="21"/>
                <w:szCs w:val="21"/>
                <w:highlight w:val="none"/>
              </w:rPr>
            </w:pPr>
            <w:r>
              <w:rPr>
                <w:rFonts w:hint="eastAsia" w:ascii="宋体" w:hAnsi="宋体" w:eastAsia="宋体" w:cs="宋体"/>
                <w:sz w:val="21"/>
                <w:szCs w:val="21"/>
                <w:highlight w:val="none"/>
              </w:rPr>
              <w:t>技术方案</w:t>
            </w:r>
          </w:p>
        </w:tc>
        <w:tc>
          <w:tcPr>
            <w:tcW w:w="1073" w:type="dxa"/>
            <w:vMerge w:val="restart"/>
            <w:noWrap/>
            <w:vAlign w:val="center"/>
          </w:tcPr>
          <w:p w14:paraId="5E09E812">
            <w:pPr>
              <w:pStyle w:val="24"/>
              <w:rPr>
                <w:rFonts w:hint="eastAsia" w:ascii="宋体" w:hAnsi="宋体" w:eastAsia="宋体" w:cs="宋体"/>
                <w:sz w:val="21"/>
                <w:szCs w:val="21"/>
                <w:highlight w:val="none"/>
              </w:rPr>
            </w:pPr>
            <w:r>
              <w:rPr>
                <w:rFonts w:hint="eastAsia" w:ascii="宋体" w:hAnsi="宋体" w:eastAsia="宋体" w:cs="宋体"/>
                <w:kern w:val="2"/>
                <w:sz w:val="21"/>
                <w:szCs w:val="21"/>
                <w:highlight w:val="none"/>
              </w:rPr>
              <w:t>40分</w:t>
            </w:r>
          </w:p>
        </w:tc>
        <w:tc>
          <w:tcPr>
            <w:tcW w:w="2158" w:type="dxa"/>
            <w:noWrap/>
            <w:vAlign w:val="center"/>
          </w:tcPr>
          <w:p w14:paraId="73C0E510">
            <w:pPr>
              <w:adjustRightInd w:val="0"/>
              <w:snapToGrid w:val="0"/>
              <w:spacing w:before="24" w:beforeLines="10" w:after="24" w:afterLines="1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总体</w:t>
            </w:r>
            <w:r>
              <w:rPr>
                <w:rFonts w:hint="eastAsia" w:ascii="宋体" w:hAnsi="宋体" w:eastAsia="宋体" w:cs="宋体"/>
                <w:sz w:val="21"/>
                <w:szCs w:val="21"/>
                <w:highlight w:val="none"/>
                <w:lang w:val="en-US" w:eastAsia="zh-CN"/>
              </w:rPr>
              <w:t>养护组织</w:t>
            </w:r>
            <w:r>
              <w:rPr>
                <w:rFonts w:hint="eastAsia" w:ascii="宋体" w:hAnsi="宋体" w:eastAsia="宋体" w:cs="宋体"/>
                <w:sz w:val="21"/>
                <w:szCs w:val="21"/>
                <w:highlight w:val="none"/>
              </w:rPr>
              <w:t>布置及规划</w:t>
            </w:r>
          </w:p>
        </w:tc>
        <w:tc>
          <w:tcPr>
            <w:tcW w:w="747" w:type="dxa"/>
            <w:noWrap/>
            <w:vAlign w:val="center"/>
          </w:tcPr>
          <w:p w14:paraId="7C89904F">
            <w:pPr>
              <w:adjustRightInd w:val="0"/>
              <w:snapToGrid w:val="0"/>
              <w:spacing w:before="24" w:beforeLines="10" w:after="24" w:afterLines="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4515" w:type="dxa"/>
            <w:noWrap/>
            <w:vAlign w:val="center"/>
          </w:tcPr>
          <w:p w14:paraId="70A2742A">
            <w:pPr>
              <w:adjustRightInd w:val="0"/>
              <w:snapToGrid w:val="0"/>
              <w:spacing w:before="24" w:beforeLines="10" w:after="24" w:afterLines="10"/>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按招标文件要求编制总体</w:t>
            </w:r>
            <w:r>
              <w:rPr>
                <w:rFonts w:hint="eastAsia" w:ascii="宋体" w:hAnsi="宋体" w:eastAsia="宋体" w:cs="宋体"/>
                <w:sz w:val="21"/>
                <w:szCs w:val="21"/>
                <w:highlight w:val="none"/>
                <w:lang w:val="en-US" w:eastAsia="zh-CN"/>
              </w:rPr>
              <w:t>养护</w:t>
            </w:r>
            <w:r>
              <w:rPr>
                <w:rFonts w:hint="eastAsia" w:ascii="宋体" w:hAnsi="宋体" w:eastAsia="宋体" w:cs="宋体"/>
                <w:sz w:val="21"/>
                <w:szCs w:val="21"/>
                <w:highlight w:val="none"/>
              </w:rPr>
              <w:t>组织布置及规划，得6分；</w:t>
            </w:r>
          </w:p>
          <w:p w14:paraId="61E81618">
            <w:pPr>
              <w:adjustRightInd w:val="0"/>
              <w:snapToGrid w:val="0"/>
              <w:spacing w:before="24" w:beforeLines="10" w:after="24" w:afterLines="10"/>
              <w:rPr>
                <w:rFonts w:hint="eastAsia" w:ascii="宋体" w:hAnsi="宋体" w:eastAsia="宋体" w:cs="宋体"/>
                <w:sz w:val="21"/>
                <w:szCs w:val="21"/>
                <w:highlight w:val="none"/>
              </w:rPr>
            </w:pPr>
            <w:r>
              <w:rPr>
                <w:rFonts w:hint="eastAsia" w:ascii="宋体" w:hAnsi="宋体" w:eastAsia="宋体" w:cs="宋体"/>
                <w:sz w:val="21"/>
                <w:szCs w:val="21"/>
                <w:highlight w:val="none"/>
              </w:rPr>
              <w:t>总体方案切实可行，对本项目具有针对性，得6分～10分。</w:t>
            </w:r>
          </w:p>
        </w:tc>
      </w:tr>
      <w:tr w14:paraId="0C6E7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726" w:hRule="atLeast"/>
          <w:jc w:val="center"/>
        </w:trPr>
        <w:tc>
          <w:tcPr>
            <w:tcW w:w="739" w:type="dxa"/>
            <w:vMerge w:val="continue"/>
            <w:noWrap/>
            <w:vAlign w:val="center"/>
          </w:tcPr>
          <w:p w14:paraId="0B0D1DF2">
            <w:pPr>
              <w:rPr>
                <w:rFonts w:hint="eastAsia" w:ascii="宋体" w:hAnsi="宋体" w:eastAsia="宋体" w:cs="宋体"/>
                <w:sz w:val="21"/>
                <w:szCs w:val="21"/>
                <w:highlight w:val="none"/>
              </w:rPr>
            </w:pPr>
          </w:p>
        </w:tc>
        <w:tc>
          <w:tcPr>
            <w:tcW w:w="1007" w:type="dxa"/>
            <w:gridSpan w:val="2"/>
            <w:vMerge w:val="continue"/>
            <w:noWrap/>
            <w:vAlign w:val="center"/>
          </w:tcPr>
          <w:p w14:paraId="7688168E">
            <w:pPr>
              <w:rPr>
                <w:rFonts w:hint="eastAsia" w:ascii="宋体" w:hAnsi="宋体" w:eastAsia="宋体" w:cs="宋体"/>
                <w:sz w:val="21"/>
                <w:szCs w:val="21"/>
                <w:highlight w:val="none"/>
              </w:rPr>
            </w:pPr>
          </w:p>
        </w:tc>
        <w:tc>
          <w:tcPr>
            <w:tcW w:w="1073" w:type="dxa"/>
            <w:vMerge w:val="continue"/>
            <w:noWrap/>
            <w:vAlign w:val="center"/>
          </w:tcPr>
          <w:p w14:paraId="0B3F7C46">
            <w:pPr>
              <w:rPr>
                <w:rFonts w:hint="eastAsia" w:ascii="宋体" w:hAnsi="宋体" w:eastAsia="宋体" w:cs="宋体"/>
                <w:sz w:val="21"/>
                <w:szCs w:val="21"/>
                <w:highlight w:val="none"/>
              </w:rPr>
            </w:pPr>
          </w:p>
        </w:tc>
        <w:tc>
          <w:tcPr>
            <w:tcW w:w="2158" w:type="dxa"/>
            <w:noWrap/>
            <w:vAlign w:val="center"/>
          </w:tcPr>
          <w:p w14:paraId="10BB885F">
            <w:pPr>
              <w:adjustRightInd w:val="0"/>
              <w:snapToGrid w:val="0"/>
              <w:spacing w:before="48" w:beforeLines="20" w:after="48" w:afterLines="20"/>
              <w:jc w:val="left"/>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养护</w:t>
            </w:r>
            <w:r>
              <w:rPr>
                <w:rFonts w:hint="eastAsia" w:ascii="宋体" w:hAnsi="宋体" w:eastAsia="宋体" w:cs="宋体"/>
                <w:sz w:val="21"/>
                <w:szCs w:val="21"/>
                <w:highlight w:val="none"/>
              </w:rPr>
              <w:t>方案、方法与技术措施</w:t>
            </w:r>
          </w:p>
        </w:tc>
        <w:tc>
          <w:tcPr>
            <w:tcW w:w="747" w:type="dxa"/>
            <w:noWrap/>
            <w:vAlign w:val="center"/>
          </w:tcPr>
          <w:p w14:paraId="5ED4AE88">
            <w:pPr>
              <w:adjustRightInd w:val="0"/>
              <w:snapToGrid w:val="0"/>
              <w:spacing w:before="48" w:beforeLines="20" w:after="48" w:afterLines="2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15分</w:t>
            </w:r>
          </w:p>
        </w:tc>
        <w:tc>
          <w:tcPr>
            <w:tcW w:w="4515" w:type="dxa"/>
            <w:noWrap/>
            <w:vAlign w:val="center"/>
          </w:tcPr>
          <w:p w14:paraId="665FD908">
            <w:pPr>
              <w:adjustRightInd w:val="0"/>
              <w:snapToGrid w:val="0"/>
              <w:spacing w:before="48" w:beforeLines="20" w:after="48" w:afterLines="20"/>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按招标文件要求编制施工方案、方法与技术措施，得9分；</w:t>
            </w:r>
          </w:p>
          <w:p w14:paraId="7670F373">
            <w:pPr>
              <w:adjustRightInd w:val="0"/>
              <w:snapToGrid w:val="0"/>
              <w:spacing w:before="48" w:beforeLines="20" w:after="48" w:afterLines="20"/>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养护</w:t>
            </w:r>
            <w:r>
              <w:rPr>
                <w:rFonts w:hint="eastAsia" w:ascii="宋体" w:hAnsi="宋体" w:eastAsia="宋体" w:cs="宋体"/>
                <w:sz w:val="21"/>
                <w:szCs w:val="21"/>
                <w:highlight w:val="none"/>
              </w:rPr>
              <w:t>方案可行、</w:t>
            </w:r>
            <w:r>
              <w:rPr>
                <w:rFonts w:hint="eastAsia" w:ascii="宋体" w:hAnsi="宋体" w:eastAsia="宋体" w:cs="宋体"/>
                <w:sz w:val="21"/>
                <w:szCs w:val="21"/>
                <w:highlight w:val="none"/>
                <w:lang w:val="en-US" w:eastAsia="zh-CN"/>
              </w:rPr>
              <w:t>养护</w:t>
            </w:r>
            <w:r>
              <w:rPr>
                <w:rFonts w:hint="eastAsia" w:ascii="宋体" w:hAnsi="宋体" w:eastAsia="宋体" w:cs="宋体"/>
                <w:sz w:val="21"/>
                <w:szCs w:val="21"/>
                <w:highlight w:val="none"/>
              </w:rPr>
              <w:t>方法齐全、技术先进、施工工艺完善；重点难点工程突出，解决办法合理、科学、先进，得9分～15分。</w:t>
            </w:r>
          </w:p>
        </w:tc>
      </w:tr>
      <w:tr w14:paraId="33F79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811" w:hRule="atLeast"/>
          <w:jc w:val="center"/>
        </w:trPr>
        <w:tc>
          <w:tcPr>
            <w:tcW w:w="739" w:type="dxa"/>
            <w:vMerge w:val="continue"/>
            <w:noWrap/>
            <w:vAlign w:val="center"/>
          </w:tcPr>
          <w:p w14:paraId="604D105E">
            <w:pPr>
              <w:pStyle w:val="24"/>
              <w:rPr>
                <w:rFonts w:hint="eastAsia" w:ascii="宋体" w:hAnsi="宋体" w:eastAsia="宋体" w:cs="宋体"/>
                <w:kern w:val="2"/>
                <w:sz w:val="21"/>
                <w:szCs w:val="21"/>
                <w:highlight w:val="none"/>
              </w:rPr>
            </w:pPr>
          </w:p>
        </w:tc>
        <w:tc>
          <w:tcPr>
            <w:tcW w:w="1007" w:type="dxa"/>
            <w:gridSpan w:val="2"/>
            <w:vMerge w:val="continue"/>
            <w:noWrap/>
            <w:vAlign w:val="center"/>
          </w:tcPr>
          <w:p w14:paraId="588A087A">
            <w:pPr>
              <w:pStyle w:val="24"/>
              <w:rPr>
                <w:rFonts w:hint="eastAsia" w:ascii="宋体" w:hAnsi="宋体" w:eastAsia="宋体" w:cs="宋体"/>
                <w:kern w:val="2"/>
                <w:sz w:val="21"/>
                <w:szCs w:val="21"/>
                <w:highlight w:val="none"/>
              </w:rPr>
            </w:pPr>
          </w:p>
        </w:tc>
        <w:tc>
          <w:tcPr>
            <w:tcW w:w="1073" w:type="dxa"/>
            <w:vMerge w:val="continue"/>
            <w:noWrap/>
            <w:vAlign w:val="center"/>
          </w:tcPr>
          <w:p w14:paraId="6124ECBA">
            <w:pPr>
              <w:pStyle w:val="24"/>
              <w:rPr>
                <w:rFonts w:hint="eastAsia" w:ascii="宋体" w:hAnsi="宋体" w:eastAsia="宋体" w:cs="宋体"/>
                <w:kern w:val="2"/>
                <w:sz w:val="21"/>
                <w:szCs w:val="21"/>
                <w:highlight w:val="none"/>
              </w:rPr>
            </w:pPr>
          </w:p>
        </w:tc>
        <w:tc>
          <w:tcPr>
            <w:tcW w:w="2158" w:type="dxa"/>
            <w:noWrap/>
            <w:vAlign w:val="center"/>
          </w:tcPr>
          <w:p w14:paraId="798E131B">
            <w:pPr>
              <w:adjustRightInd w:val="0"/>
              <w:snapToGrid w:val="0"/>
              <w:spacing w:before="48" w:beforeLines="20" w:after="48" w:afterLines="2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各类保证体系和保证措施</w:t>
            </w:r>
          </w:p>
        </w:tc>
        <w:tc>
          <w:tcPr>
            <w:tcW w:w="747" w:type="dxa"/>
            <w:noWrap/>
            <w:vAlign w:val="center"/>
          </w:tcPr>
          <w:p w14:paraId="0B4ED5DC">
            <w:pPr>
              <w:adjustRightInd w:val="0"/>
              <w:snapToGrid w:val="0"/>
              <w:spacing w:before="24" w:beforeLines="10" w:after="24" w:afterLines="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10分</w:t>
            </w:r>
          </w:p>
        </w:tc>
        <w:tc>
          <w:tcPr>
            <w:tcW w:w="4515" w:type="dxa"/>
            <w:noWrap/>
            <w:vAlign w:val="center"/>
          </w:tcPr>
          <w:p w14:paraId="153C8DB5">
            <w:pPr>
              <w:adjustRightInd w:val="0"/>
              <w:snapToGrid w:val="0"/>
              <w:spacing w:before="24" w:beforeLines="10" w:after="24" w:afterLines="10"/>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按招标文件要求编制各类保证体系和保证措施，得6分；</w:t>
            </w:r>
          </w:p>
          <w:p w14:paraId="6CC55868">
            <w:pPr>
              <w:adjustRightInd w:val="0"/>
              <w:snapToGrid w:val="0"/>
              <w:spacing w:before="24" w:beforeLines="10" w:after="24" w:afterLines="10"/>
              <w:rPr>
                <w:rFonts w:hint="eastAsia" w:ascii="宋体" w:hAnsi="宋体" w:eastAsia="宋体" w:cs="宋体"/>
                <w:sz w:val="21"/>
                <w:szCs w:val="21"/>
                <w:highlight w:val="none"/>
              </w:rPr>
            </w:pPr>
            <w:r>
              <w:rPr>
                <w:rFonts w:hint="eastAsia" w:ascii="宋体" w:hAnsi="宋体" w:eastAsia="宋体" w:cs="宋体"/>
                <w:sz w:val="21"/>
                <w:szCs w:val="21"/>
                <w:highlight w:val="none"/>
              </w:rPr>
              <w:t>内容齐全、完善；工程保证体系和保证措施具有操作性、先进、合理，得6分～10分。</w:t>
            </w:r>
          </w:p>
        </w:tc>
      </w:tr>
      <w:tr w14:paraId="5A158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680" w:hRule="atLeast"/>
          <w:jc w:val="center"/>
        </w:trPr>
        <w:tc>
          <w:tcPr>
            <w:tcW w:w="739" w:type="dxa"/>
            <w:vMerge w:val="continue"/>
            <w:noWrap/>
            <w:vAlign w:val="center"/>
          </w:tcPr>
          <w:p w14:paraId="0487302E">
            <w:pPr>
              <w:pStyle w:val="24"/>
              <w:rPr>
                <w:rFonts w:hint="eastAsia" w:ascii="宋体" w:hAnsi="宋体" w:eastAsia="宋体" w:cs="宋体"/>
                <w:kern w:val="2"/>
                <w:sz w:val="21"/>
                <w:szCs w:val="21"/>
                <w:highlight w:val="none"/>
              </w:rPr>
            </w:pPr>
          </w:p>
        </w:tc>
        <w:tc>
          <w:tcPr>
            <w:tcW w:w="1007" w:type="dxa"/>
            <w:gridSpan w:val="2"/>
            <w:vMerge w:val="continue"/>
            <w:noWrap/>
            <w:vAlign w:val="center"/>
          </w:tcPr>
          <w:p w14:paraId="69463DDA">
            <w:pPr>
              <w:pStyle w:val="24"/>
              <w:rPr>
                <w:rFonts w:hint="eastAsia" w:ascii="宋体" w:hAnsi="宋体" w:eastAsia="宋体" w:cs="宋体"/>
                <w:kern w:val="2"/>
                <w:sz w:val="21"/>
                <w:szCs w:val="21"/>
                <w:highlight w:val="none"/>
              </w:rPr>
            </w:pPr>
          </w:p>
        </w:tc>
        <w:tc>
          <w:tcPr>
            <w:tcW w:w="1073" w:type="dxa"/>
            <w:vMerge w:val="continue"/>
            <w:noWrap/>
            <w:vAlign w:val="center"/>
          </w:tcPr>
          <w:p w14:paraId="371DB263">
            <w:pPr>
              <w:pStyle w:val="24"/>
              <w:rPr>
                <w:rFonts w:hint="eastAsia" w:ascii="宋体" w:hAnsi="宋体" w:eastAsia="宋体" w:cs="宋体"/>
                <w:kern w:val="2"/>
                <w:sz w:val="21"/>
                <w:szCs w:val="21"/>
                <w:highlight w:val="none"/>
              </w:rPr>
            </w:pPr>
          </w:p>
        </w:tc>
        <w:tc>
          <w:tcPr>
            <w:tcW w:w="2158" w:type="dxa"/>
            <w:noWrap/>
            <w:vAlign w:val="center"/>
          </w:tcPr>
          <w:p w14:paraId="00AD66F1">
            <w:pPr>
              <w:adjustRightInd w:val="0"/>
              <w:snapToGrid w:val="0"/>
              <w:spacing w:before="24" w:beforeLines="10" w:after="24" w:afterLines="10"/>
              <w:jc w:val="left"/>
              <w:rPr>
                <w:rFonts w:hint="eastAsia" w:ascii="宋体" w:hAnsi="宋体" w:eastAsia="宋体" w:cs="宋体"/>
                <w:sz w:val="21"/>
                <w:szCs w:val="21"/>
                <w:highlight w:val="none"/>
              </w:rPr>
            </w:pPr>
            <w:r>
              <w:rPr>
                <w:rFonts w:hint="eastAsia" w:ascii="宋体" w:hAnsi="宋体" w:eastAsia="宋体" w:cs="宋体"/>
                <w:sz w:val="21"/>
                <w:szCs w:val="21"/>
                <w:highlight w:val="none"/>
              </w:rPr>
              <w:t>项目风险预测与防范，事故应急预案</w:t>
            </w:r>
          </w:p>
        </w:tc>
        <w:tc>
          <w:tcPr>
            <w:tcW w:w="747" w:type="dxa"/>
            <w:noWrap/>
            <w:vAlign w:val="center"/>
          </w:tcPr>
          <w:p w14:paraId="33D738B5">
            <w:pPr>
              <w:adjustRightInd w:val="0"/>
              <w:snapToGrid w:val="0"/>
              <w:spacing w:before="24" w:beforeLines="10" w:after="24" w:afterLines="1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5分</w:t>
            </w:r>
          </w:p>
        </w:tc>
        <w:tc>
          <w:tcPr>
            <w:tcW w:w="4515" w:type="dxa"/>
            <w:noWrap/>
            <w:vAlign w:val="center"/>
          </w:tcPr>
          <w:p w14:paraId="0EAC671E">
            <w:pPr>
              <w:adjustRightInd w:val="0"/>
              <w:snapToGrid w:val="0"/>
              <w:spacing w:before="24" w:beforeLines="10" w:after="24" w:afterLines="10"/>
              <w:rPr>
                <w:rFonts w:hint="eastAsia" w:ascii="宋体" w:hAnsi="宋体" w:eastAsia="宋体" w:cs="宋体"/>
                <w:sz w:val="21"/>
                <w:szCs w:val="21"/>
                <w:highlight w:val="none"/>
              </w:rPr>
            </w:pPr>
            <w:r>
              <w:rPr>
                <w:rFonts w:hint="eastAsia" w:ascii="宋体" w:hAnsi="宋体" w:eastAsia="宋体" w:cs="宋体"/>
                <w:sz w:val="21"/>
                <w:szCs w:val="21"/>
                <w:highlight w:val="none"/>
              </w:rPr>
              <w:t>按招标文件要求编制项目风险预测与防范，事故应急预案，得3分；</w:t>
            </w:r>
          </w:p>
          <w:p w14:paraId="0C882712">
            <w:pPr>
              <w:adjustRightInd w:val="0"/>
              <w:snapToGrid w:val="0"/>
              <w:spacing w:before="24" w:beforeLines="10" w:after="24" w:afterLines="10"/>
              <w:rPr>
                <w:rFonts w:hint="eastAsia" w:ascii="宋体" w:hAnsi="宋体" w:eastAsia="宋体" w:cs="宋体"/>
                <w:sz w:val="21"/>
                <w:szCs w:val="21"/>
                <w:highlight w:val="none"/>
              </w:rPr>
            </w:pPr>
            <w:r>
              <w:rPr>
                <w:rFonts w:hint="eastAsia" w:ascii="宋体" w:hAnsi="宋体" w:eastAsia="宋体" w:cs="宋体"/>
                <w:sz w:val="21"/>
                <w:szCs w:val="21"/>
                <w:highlight w:val="none"/>
              </w:rPr>
              <w:t>项目风险预测全面；事故应急预案合理、可行，得3分～5分。</w:t>
            </w:r>
          </w:p>
        </w:tc>
      </w:tr>
      <w:tr w14:paraId="48B93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739" w:type="dxa"/>
            <w:vMerge w:val="restart"/>
            <w:noWrap/>
            <w:vAlign w:val="center"/>
          </w:tcPr>
          <w:p w14:paraId="4BDFF654">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2.2.2（2）</w:t>
            </w:r>
          </w:p>
        </w:tc>
        <w:tc>
          <w:tcPr>
            <w:tcW w:w="1007" w:type="dxa"/>
            <w:gridSpan w:val="2"/>
            <w:vMerge w:val="restart"/>
            <w:noWrap/>
            <w:vAlign w:val="center"/>
          </w:tcPr>
          <w:p w14:paraId="7BD0C010">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主要</w:t>
            </w:r>
          </w:p>
          <w:p w14:paraId="340A4B2E">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人员</w:t>
            </w:r>
          </w:p>
        </w:tc>
        <w:tc>
          <w:tcPr>
            <w:tcW w:w="1073" w:type="dxa"/>
            <w:vMerge w:val="restart"/>
            <w:noWrap/>
            <w:vAlign w:val="center"/>
          </w:tcPr>
          <w:p w14:paraId="030ABA2E">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25分</w:t>
            </w:r>
          </w:p>
        </w:tc>
        <w:tc>
          <w:tcPr>
            <w:tcW w:w="2158" w:type="dxa"/>
            <w:noWrap/>
            <w:vAlign w:val="center"/>
          </w:tcPr>
          <w:p w14:paraId="2CD7DA48">
            <w:pPr>
              <w:pStyle w:val="24"/>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项目经理</w:t>
            </w:r>
          </w:p>
          <w:p w14:paraId="430FBBD7">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任职资格与业绩</w:t>
            </w:r>
          </w:p>
        </w:tc>
        <w:tc>
          <w:tcPr>
            <w:tcW w:w="747" w:type="dxa"/>
            <w:noWrap/>
            <w:vAlign w:val="center"/>
          </w:tcPr>
          <w:p w14:paraId="1939C817">
            <w:pPr>
              <w:pStyle w:val="24"/>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15分</w:t>
            </w:r>
          </w:p>
        </w:tc>
        <w:tc>
          <w:tcPr>
            <w:tcW w:w="4515" w:type="dxa"/>
            <w:noWrap/>
            <w:vAlign w:val="center"/>
          </w:tcPr>
          <w:p w14:paraId="236B6FF8">
            <w:pPr>
              <w:pStyle w:val="2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满足资格审查条件</w:t>
            </w:r>
            <w:r>
              <w:rPr>
                <w:rFonts w:hint="eastAsia" w:ascii="宋体" w:hAnsi="宋体" w:eastAsia="宋体" w:cs="宋体"/>
                <w:sz w:val="21"/>
                <w:szCs w:val="21"/>
                <w:highlight w:val="none"/>
                <w:lang w:val="en-US" w:eastAsia="zh-CN"/>
              </w:rPr>
              <w:t>最低</w:t>
            </w:r>
            <w:r>
              <w:rPr>
                <w:rFonts w:hint="eastAsia" w:ascii="宋体" w:hAnsi="宋体" w:eastAsia="宋体" w:cs="宋体"/>
                <w:sz w:val="21"/>
                <w:szCs w:val="21"/>
                <w:highlight w:val="none"/>
              </w:rPr>
              <w:t>要求，得</w:t>
            </w:r>
            <w:r>
              <w:rPr>
                <w:rFonts w:hint="eastAsia" w:ascii="宋体" w:hAnsi="宋体" w:eastAsia="宋体" w:cs="宋体"/>
                <w:sz w:val="21"/>
                <w:szCs w:val="21"/>
                <w:highlight w:val="none"/>
                <w:lang w:val="en-US" w:eastAsia="zh-CN"/>
              </w:rPr>
              <w:t>9</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3CF16766">
            <w:pPr>
              <w:pStyle w:val="2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具有二级或二级以上等级公路日常养护（或养护工程）项目的</w:t>
            </w:r>
            <w:r>
              <w:rPr>
                <w:rFonts w:hint="eastAsia" w:ascii="宋体" w:hAnsi="宋体" w:eastAsia="宋体" w:cs="宋体"/>
                <w:sz w:val="21"/>
                <w:szCs w:val="21"/>
                <w:highlight w:val="none"/>
                <w:lang w:eastAsia="zh-CN"/>
              </w:rPr>
              <w:t>项目经理</w:t>
            </w:r>
            <w:r>
              <w:rPr>
                <w:rFonts w:hint="eastAsia" w:ascii="宋体" w:hAnsi="宋体" w:eastAsia="宋体" w:cs="宋体"/>
                <w:sz w:val="21"/>
                <w:szCs w:val="21"/>
                <w:highlight w:val="none"/>
                <w:lang w:val="en-US" w:eastAsia="zh-CN"/>
              </w:rPr>
              <w:t>业绩</w:t>
            </w:r>
            <w:r>
              <w:rPr>
                <w:rFonts w:hint="eastAsia" w:ascii="宋体" w:hAnsi="宋体" w:eastAsia="宋体" w:cs="宋体"/>
                <w:sz w:val="21"/>
                <w:szCs w:val="21"/>
                <w:highlight w:val="none"/>
                <w:lang w:eastAsia="zh-CN"/>
              </w:rPr>
              <w:t>加6分，最多加6分。</w:t>
            </w:r>
          </w:p>
          <w:p w14:paraId="36202BCE">
            <w:pPr>
              <w:pStyle w:val="24"/>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注：</w:t>
            </w:r>
            <w:r>
              <w:rPr>
                <w:rFonts w:hint="eastAsia" w:ascii="宋体" w:hAnsi="宋体" w:eastAsia="宋体" w:cs="宋体"/>
                <w:sz w:val="21"/>
                <w:szCs w:val="21"/>
                <w:highlight w:val="none"/>
                <w:lang w:eastAsia="zh-CN"/>
              </w:rPr>
              <w:t>项目经理</w:t>
            </w:r>
            <w:r>
              <w:rPr>
                <w:rFonts w:hint="eastAsia" w:ascii="宋体" w:hAnsi="宋体" w:eastAsia="宋体" w:cs="宋体"/>
                <w:sz w:val="21"/>
                <w:szCs w:val="21"/>
                <w:highlight w:val="none"/>
                <w:lang w:val="en-US" w:eastAsia="zh-CN"/>
              </w:rPr>
              <w:t>业绩需按招标文件要求提供相关业绩证明材料，未按要求提供证明材料的业绩不予认定。</w:t>
            </w:r>
          </w:p>
        </w:tc>
      </w:tr>
      <w:tr w14:paraId="1E146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552" w:hRule="atLeast"/>
          <w:jc w:val="center"/>
        </w:trPr>
        <w:tc>
          <w:tcPr>
            <w:tcW w:w="739" w:type="dxa"/>
            <w:vMerge w:val="continue"/>
            <w:noWrap/>
            <w:vAlign w:val="center"/>
          </w:tcPr>
          <w:p w14:paraId="62690DE1">
            <w:pPr>
              <w:pStyle w:val="24"/>
              <w:rPr>
                <w:rFonts w:hint="eastAsia" w:ascii="宋体" w:hAnsi="宋体" w:eastAsia="宋体" w:cs="宋体"/>
                <w:kern w:val="2"/>
                <w:sz w:val="21"/>
                <w:szCs w:val="21"/>
                <w:highlight w:val="none"/>
              </w:rPr>
            </w:pPr>
          </w:p>
        </w:tc>
        <w:tc>
          <w:tcPr>
            <w:tcW w:w="1007" w:type="dxa"/>
            <w:gridSpan w:val="2"/>
            <w:vMerge w:val="continue"/>
            <w:noWrap/>
            <w:vAlign w:val="center"/>
          </w:tcPr>
          <w:p w14:paraId="20124659">
            <w:pPr>
              <w:pStyle w:val="24"/>
              <w:rPr>
                <w:rFonts w:hint="eastAsia" w:ascii="宋体" w:hAnsi="宋体" w:eastAsia="宋体" w:cs="宋体"/>
                <w:kern w:val="2"/>
                <w:sz w:val="21"/>
                <w:szCs w:val="21"/>
                <w:highlight w:val="none"/>
              </w:rPr>
            </w:pPr>
          </w:p>
        </w:tc>
        <w:tc>
          <w:tcPr>
            <w:tcW w:w="1073" w:type="dxa"/>
            <w:vMerge w:val="continue"/>
            <w:noWrap/>
            <w:vAlign w:val="center"/>
          </w:tcPr>
          <w:p w14:paraId="391CA783">
            <w:pPr>
              <w:pStyle w:val="24"/>
              <w:rPr>
                <w:rFonts w:hint="eastAsia" w:ascii="宋体" w:hAnsi="宋体" w:eastAsia="宋体" w:cs="宋体"/>
                <w:kern w:val="2"/>
                <w:sz w:val="21"/>
                <w:szCs w:val="21"/>
                <w:highlight w:val="none"/>
              </w:rPr>
            </w:pPr>
          </w:p>
        </w:tc>
        <w:tc>
          <w:tcPr>
            <w:tcW w:w="2158" w:type="dxa"/>
            <w:noWrap/>
            <w:vAlign w:val="center"/>
          </w:tcPr>
          <w:p w14:paraId="59174C41">
            <w:pPr>
              <w:pStyle w:val="24"/>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eastAsia="zh-CN"/>
              </w:rPr>
              <w:t>项目总工</w:t>
            </w:r>
          </w:p>
          <w:p w14:paraId="692E1BD5">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任职资格与业绩</w:t>
            </w:r>
          </w:p>
        </w:tc>
        <w:tc>
          <w:tcPr>
            <w:tcW w:w="747" w:type="dxa"/>
            <w:noWrap/>
            <w:vAlign w:val="center"/>
          </w:tcPr>
          <w:p w14:paraId="51A2E857">
            <w:pPr>
              <w:pStyle w:val="24"/>
              <w:jc w:val="cente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10分</w:t>
            </w:r>
          </w:p>
        </w:tc>
        <w:tc>
          <w:tcPr>
            <w:tcW w:w="4515" w:type="dxa"/>
            <w:noWrap/>
            <w:vAlign w:val="center"/>
          </w:tcPr>
          <w:p w14:paraId="50BF2D01">
            <w:pPr>
              <w:pStyle w:val="2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满足资格审查条件</w:t>
            </w:r>
            <w:r>
              <w:rPr>
                <w:rFonts w:hint="eastAsia" w:ascii="宋体" w:hAnsi="宋体" w:eastAsia="宋体" w:cs="宋体"/>
                <w:sz w:val="21"/>
                <w:szCs w:val="21"/>
                <w:highlight w:val="none"/>
                <w:lang w:val="en-US" w:eastAsia="zh-CN"/>
              </w:rPr>
              <w:t>最低</w:t>
            </w:r>
            <w:r>
              <w:rPr>
                <w:rFonts w:hint="eastAsia" w:ascii="宋体" w:hAnsi="宋体" w:eastAsia="宋体" w:cs="宋体"/>
                <w:sz w:val="21"/>
                <w:szCs w:val="21"/>
                <w:highlight w:val="none"/>
              </w:rPr>
              <w:t>要求，得</w:t>
            </w:r>
            <w:r>
              <w:rPr>
                <w:rFonts w:hint="eastAsia" w:ascii="宋体" w:hAnsi="宋体" w:eastAsia="宋体" w:cs="宋体"/>
                <w:sz w:val="21"/>
                <w:szCs w:val="21"/>
                <w:highlight w:val="none"/>
                <w:lang w:val="en-US" w:eastAsia="zh-CN"/>
              </w:rPr>
              <w:t>6</w:t>
            </w:r>
            <w:r>
              <w:rPr>
                <w:rFonts w:hint="eastAsia" w:ascii="宋体" w:hAnsi="宋体" w:eastAsia="宋体" w:cs="宋体"/>
                <w:sz w:val="21"/>
                <w:szCs w:val="21"/>
                <w:highlight w:val="none"/>
              </w:rPr>
              <w:t>分</w:t>
            </w:r>
            <w:r>
              <w:rPr>
                <w:rFonts w:hint="eastAsia" w:ascii="宋体" w:hAnsi="宋体" w:eastAsia="宋体" w:cs="宋体"/>
                <w:sz w:val="21"/>
                <w:szCs w:val="21"/>
                <w:highlight w:val="none"/>
                <w:lang w:eastAsia="zh-CN"/>
              </w:rPr>
              <w:t>；</w:t>
            </w:r>
          </w:p>
          <w:p w14:paraId="52ECE48F">
            <w:pPr>
              <w:pStyle w:val="24"/>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具有二级或二级以上等级公路日常养护（或养护工程）项目的</w:t>
            </w:r>
            <w:r>
              <w:rPr>
                <w:rFonts w:hint="eastAsia" w:ascii="宋体" w:hAnsi="宋体" w:eastAsia="宋体" w:cs="宋体"/>
                <w:sz w:val="21"/>
                <w:szCs w:val="21"/>
                <w:highlight w:val="none"/>
                <w:lang w:eastAsia="zh-CN"/>
              </w:rPr>
              <w:t>项目总工</w:t>
            </w:r>
            <w:r>
              <w:rPr>
                <w:rFonts w:hint="eastAsia" w:ascii="宋体" w:hAnsi="宋体" w:eastAsia="宋体" w:cs="宋体"/>
                <w:sz w:val="21"/>
                <w:szCs w:val="21"/>
                <w:highlight w:val="none"/>
                <w:lang w:val="en-US" w:eastAsia="zh-CN"/>
              </w:rPr>
              <w:t>业绩</w:t>
            </w:r>
            <w:r>
              <w:rPr>
                <w:rFonts w:hint="eastAsia" w:ascii="宋体" w:hAnsi="宋体" w:eastAsia="宋体" w:cs="宋体"/>
                <w:sz w:val="21"/>
                <w:szCs w:val="21"/>
                <w:highlight w:val="none"/>
                <w:lang w:eastAsia="zh-CN"/>
              </w:rPr>
              <w:t>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分，最多加</w:t>
            </w:r>
            <w:r>
              <w:rPr>
                <w:rFonts w:hint="eastAsia" w:ascii="宋体" w:hAnsi="宋体" w:eastAsia="宋体" w:cs="宋体"/>
                <w:sz w:val="21"/>
                <w:szCs w:val="21"/>
                <w:highlight w:val="none"/>
                <w:lang w:val="en-US" w:eastAsia="zh-CN"/>
              </w:rPr>
              <w:t>4</w:t>
            </w:r>
            <w:r>
              <w:rPr>
                <w:rFonts w:hint="eastAsia" w:ascii="宋体" w:hAnsi="宋体" w:eastAsia="宋体" w:cs="宋体"/>
                <w:sz w:val="21"/>
                <w:szCs w:val="21"/>
                <w:highlight w:val="none"/>
                <w:lang w:eastAsia="zh-CN"/>
              </w:rPr>
              <w:t>分。</w:t>
            </w:r>
          </w:p>
          <w:p w14:paraId="4DC45DEE">
            <w:pPr>
              <w:pStyle w:val="24"/>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注：项目总工业绩需按招标文件要求提供相关业绩证明材料，未按要求提供证明材料的业绩不予认定。</w:t>
            </w:r>
          </w:p>
        </w:tc>
      </w:tr>
      <w:tr w14:paraId="73979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962" w:hRule="atLeast"/>
          <w:jc w:val="center"/>
        </w:trPr>
        <w:tc>
          <w:tcPr>
            <w:tcW w:w="739" w:type="dxa"/>
            <w:vMerge w:val="restart"/>
            <w:noWrap/>
            <w:vAlign w:val="center"/>
          </w:tcPr>
          <w:p w14:paraId="72443843">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2.2.2（3）</w:t>
            </w:r>
          </w:p>
        </w:tc>
        <w:tc>
          <w:tcPr>
            <w:tcW w:w="503" w:type="dxa"/>
            <w:vMerge w:val="restart"/>
            <w:noWrap/>
            <w:vAlign w:val="center"/>
          </w:tcPr>
          <w:p w14:paraId="1E50BCF3">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其</w:t>
            </w:r>
          </w:p>
          <w:p w14:paraId="64C455BC">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他</w:t>
            </w:r>
          </w:p>
          <w:p w14:paraId="63467DA5">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因</w:t>
            </w:r>
          </w:p>
          <w:p w14:paraId="0AA4779A">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素</w:t>
            </w:r>
          </w:p>
        </w:tc>
        <w:tc>
          <w:tcPr>
            <w:tcW w:w="504" w:type="dxa"/>
            <w:noWrap/>
            <w:vAlign w:val="center"/>
          </w:tcPr>
          <w:p w14:paraId="20EF573A">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企</w:t>
            </w:r>
          </w:p>
          <w:p w14:paraId="68146BCF">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业</w:t>
            </w:r>
          </w:p>
          <w:p w14:paraId="33A460EA">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业</w:t>
            </w:r>
          </w:p>
          <w:p w14:paraId="2CF0A9F1">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绩</w:t>
            </w:r>
          </w:p>
        </w:tc>
        <w:tc>
          <w:tcPr>
            <w:tcW w:w="1073" w:type="dxa"/>
            <w:noWrap/>
            <w:vAlign w:val="center"/>
          </w:tcPr>
          <w:p w14:paraId="42C39776">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20分</w:t>
            </w:r>
          </w:p>
        </w:tc>
        <w:tc>
          <w:tcPr>
            <w:tcW w:w="2158" w:type="dxa"/>
            <w:noWrap/>
            <w:vAlign w:val="center"/>
          </w:tcPr>
          <w:p w14:paraId="27D66DDA">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en-US" w:eastAsia="zh-CN"/>
              </w:rPr>
              <w:t>投标人企业</w:t>
            </w:r>
            <w:r>
              <w:rPr>
                <w:rFonts w:hint="eastAsia" w:ascii="宋体" w:hAnsi="宋体" w:eastAsia="宋体" w:cs="宋体"/>
                <w:kern w:val="2"/>
                <w:sz w:val="21"/>
                <w:szCs w:val="21"/>
                <w:highlight w:val="none"/>
              </w:rPr>
              <w:t>业绩</w:t>
            </w:r>
          </w:p>
        </w:tc>
        <w:tc>
          <w:tcPr>
            <w:tcW w:w="747" w:type="dxa"/>
            <w:noWrap/>
            <w:vAlign w:val="center"/>
          </w:tcPr>
          <w:p w14:paraId="3F3AA641">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20分</w:t>
            </w:r>
          </w:p>
        </w:tc>
        <w:tc>
          <w:tcPr>
            <w:tcW w:w="4515" w:type="dxa"/>
            <w:noWrap/>
            <w:vAlign w:val="center"/>
          </w:tcPr>
          <w:p w14:paraId="44196BDD">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满足资格审查条件最低要求，得12分；</w:t>
            </w:r>
          </w:p>
          <w:p w14:paraId="399D65D2">
            <w:pPr>
              <w:pStyle w:val="24"/>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2021年1月1日后至投标截止时间，投标人完成过一项二级或二级以上</w:t>
            </w:r>
            <w:r>
              <w:rPr>
                <w:rFonts w:hint="eastAsia" w:ascii="宋体" w:hAnsi="宋体" w:eastAsia="宋体" w:cs="宋体"/>
                <w:sz w:val="21"/>
                <w:szCs w:val="21"/>
                <w:highlight w:val="none"/>
                <w:lang w:val="en-US" w:eastAsia="zh-CN"/>
              </w:rPr>
              <w:t>等级</w:t>
            </w:r>
            <w:r>
              <w:rPr>
                <w:rFonts w:hint="eastAsia" w:ascii="宋体" w:hAnsi="宋体" w:eastAsia="宋体" w:cs="宋体"/>
                <w:kern w:val="2"/>
                <w:sz w:val="21"/>
                <w:szCs w:val="21"/>
                <w:highlight w:val="none"/>
                <w:lang w:val="en-US" w:eastAsia="zh-CN"/>
              </w:rPr>
              <w:t>公路</w:t>
            </w:r>
            <w:r>
              <w:rPr>
                <w:rFonts w:hint="eastAsia" w:ascii="宋体" w:hAnsi="宋体" w:eastAsia="宋体" w:cs="宋体"/>
                <w:sz w:val="21"/>
                <w:szCs w:val="21"/>
                <w:highlight w:val="none"/>
                <w:lang w:val="en-US" w:eastAsia="zh-CN"/>
              </w:rPr>
              <w:t>日常养护（或养护工程）</w:t>
            </w:r>
            <w:r>
              <w:rPr>
                <w:rFonts w:hint="eastAsia" w:ascii="宋体" w:hAnsi="宋体" w:eastAsia="宋体" w:cs="宋体"/>
                <w:kern w:val="2"/>
                <w:sz w:val="21"/>
                <w:szCs w:val="21"/>
                <w:highlight w:val="none"/>
                <w:lang w:val="en-US" w:eastAsia="zh-CN"/>
              </w:rPr>
              <w:t xml:space="preserve">项目的施工业绩加4分，最多加8分。 </w:t>
            </w:r>
          </w:p>
          <w:p w14:paraId="2E7C941B">
            <w:pPr>
              <w:pStyle w:val="24"/>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rPr>
              <w:t>注：</w:t>
            </w:r>
          </w:p>
          <w:p w14:paraId="7A145516">
            <w:pPr>
              <w:pStyle w:val="24"/>
              <w:numPr>
                <w:ilvl w:val="0"/>
                <w:numId w:val="0"/>
              </w:numPr>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lang w:val="en-US" w:eastAsia="zh-CN" w:bidi="zh-CN"/>
              </w:rPr>
              <w:t>1、</w:t>
            </w:r>
            <w:r>
              <w:rPr>
                <w:rFonts w:hint="eastAsia" w:ascii="宋体" w:hAnsi="宋体" w:eastAsia="宋体" w:cs="宋体"/>
                <w:kern w:val="2"/>
                <w:sz w:val="21"/>
                <w:szCs w:val="21"/>
                <w:highlight w:val="none"/>
                <w:lang w:val="en-US" w:eastAsia="zh-CN"/>
              </w:rPr>
              <w:t>完成项目数量以合同协议书数量为准。</w:t>
            </w:r>
          </w:p>
          <w:p w14:paraId="3C21B9AD">
            <w:pPr>
              <w:pStyle w:val="24"/>
              <w:numPr>
                <w:ilvl w:val="0"/>
                <w:numId w:val="0"/>
              </w:numP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zh-CN" w:eastAsia="zh-CN" w:bidi="zh-CN"/>
              </w:rPr>
              <w:t>2、</w:t>
            </w:r>
            <w:r>
              <w:rPr>
                <w:rFonts w:hint="eastAsia" w:ascii="宋体" w:hAnsi="宋体" w:eastAsia="宋体" w:cs="宋体"/>
                <w:kern w:val="2"/>
                <w:sz w:val="21"/>
                <w:szCs w:val="21"/>
                <w:highlight w:val="none"/>
                <w:lang w:val="en-US" w:eastAsia="zh-CN"/>
              </w:rPr>
              <w:t>企业业绩需按招标文件要求提供相关业绩证明材料，未按要求提供证明材料的业绩不予认定。</w:t>
            </w:r>
          </w:p>
        </w:tc>
      </w:tr>
      <w:tr w14:paraId="07EB7D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42" w:hRule="atLeast"/>
          <w:jc w:val="center"/>
        </w:trPr>
        <w:tc>
          <w:tcPr>
            <w:tcW w:w="739" w:type="dxa"/>
            <w:vMerge w:val="continue"/>
            <w:noWrap/>
            <w:vAlign w:val="center"/>
          </w:tcPr>
          <w:p w14:paraId="1BDBB1D6">
            <w:pPr>
              <w:pStyle w:val="24"/>
              <w:rPr>
                <w:rFonts w:hint="eastAsia" w:ascii="宋体" w:hAnsi="宋体" w:eastAsia="宋体" w:cs="宋体"/>
                <w:kern w:val="2"/>
                <w:sz w:val="21"/>
                <w:szCs w:val="21"/>
                <w:highlight w:val="none"/>
              </w:rPr>
            </w:pPr>
          </w:p>
        </w:tc>
        <w:tc>
          <w:tcPr>
            <w:tcW w:w="503" w:type="dxa"/>
            <w:vMerge w:val="continue"/>
            <w:noWrap/>
            <w:vAlign w:val="center"/>
          </w:tcPr>
          <w:p w14:paraId="5FC2ACE2">
            <w:pPr>
              <w:pStyle w:val="24"/>
              <w:rPr>
                <w:rFonts w:hint="eastAsia" w:ascii="宋体" w:hAnsi="宋体" w:eastAsia="宋体" w:cs="宋体"/>
                <w:kern w:val="2"/>
                <w:sz w:val="21"/>
                <w:szCs w:val="21"/>
                <w:highlight w:val="none"/>
              </w:rPr>
            </w:pPr>
          </w:p>
        </w:tc>
        <w:tc>
          <w:tcPr>
            <w:tcW w:w="504" w:type="dxa"/>
            <w:noWrap/>
            <w:vAlign w:val="center"/>
          </w:tcPr>
          <w:p w14:paraId="2C609215">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履</w:t>
            </w:r>
          </w:p>
          <w:p w14:paraId="50608A31">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约</w:t>
            </w:r>
          </w:p>
          <w:p w14:paraId="6D8AC88B">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信</w:t>
            </w:r>
          </w:p>
          <w:p w14:paraId="513F8BDB">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誉</w:t>
            </w:r>
          </w:p>
        </w:tc>
        <w:tc>
          <w:tcPr>
            <w:tcW w:w="1073" w:type="dxa"/>
            <w:noWrap/>
            <w:vAlign w:val="center"/>
          </w:tcPr>
          <w:p w14:paraId="5AC84498">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15分</w:t>
            </w:r>
          </w:p>
        </w:tc>
        <w:tc>
          <w:tcPr>
            <w:tcW w:w="2158" w:type="dxa"/>
            <w:noWrap/>
            <w:vAlign w:val="center"/>
          </w:tcPr>
          <w:p w14:paraId="7AFA6A72">
            <w:pPr>
              <w:pStyle w:val="24"/>
              <w:rPr>
                <w:rFonts w:hint="eastAsia" w:ascii="宋体" w:hAnsi="宋体" w:eastAsia="宋体" w:cs="宋体"/>
                <w:kern w:val="2"/>
                <w:sz w:val="21"/>
                <w:szCs w:val="21"/>
                <w:highlight w:val="none"/>
                <w:lang w:val="en-US" w:eastAsia="zh-CN"/>
              </w:rPr>
            </w:pPr>
            <w:r>
              <w:rPr>
                <w:rFonts w:hint="eastAsia" w:ascii="宋体" w:hAnsi="宋体" w:eastAsia="宋体" w:cs="宋体"/>
                <w:kern w:val="2"/>
                <w:sz w:val="21"/>
                <w:szCs w:val="21"/>
                <w:highlight w:val="none"/>
              </w:rPr>
              <w:t>投标人</w:t>
            </w:r>
            <w:r>
              <w:rPr>
                <w:rFonts w:hint="eastAsia" w:ascii="宋体" w:hAnsi="宋体" w:eastAsia="宋体" w:cs="宋体"/>
                <w:kern w:val="2"/>
                <w:sz w:val="21"/>
                <w:szCs w:val="21"/>
                <w:highlight w:val="none"/>
                <w:lang w:val="en-US" w:eastAsia="zh-CN"/>
              </w:rPr>
              <w:t>信用情况</w:t>
            </w:r>
          </w:p>
        </w:tc>
        <w:tc>
          <w:tcPr>
            <w:tcW w:w="747" w:type="dxa"/>
            <w:noWrap/>
            <w:vAlign w:val="center"/>
          </w:tcPr>
          <w:p w14:paraId="353B1972">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15分</w:t>
            </w:r>
          </w:p>
        </w:tc>
        <w:tc>
          <w:tcPr>
            <w:tcW w:w="4515" w:type="dxa"/>
            <w:noWrap/>
            <w:vAlign w:val="center"/>
          </w:tcPr>
          <w:p w14:paraId="5DFA5876">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信用评价 AA 级得 15 分； </w:t>
            </w:r>
          </w:p>
          <w:p w14:paraId="330C0B55">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信用评价 A 级得 12 分； </w:t>
            </w:r>
          </w:p>
          <w:p w14:paraId="3CECAC40">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信用评价 B 级得 9 分； </w:t>
            </w:r>
          </w:p>
          <w:p w14:paraId="0DE8E912">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信用评价 C 级得 6 分； </w:t>
            </w:r>
          </w:p>
          <w:p w14:paraId="62F60826">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信用评价 D 级 0 分。 </w:t>
            </w:r>
          </w:p>
          <w:p w14:paraId="1CF37DF2">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 xml:space="preserve">注：投标人的信用评价等级按照以下原则认定（如不具备前一条，则依次应用下一条）： </w:t>
            </w:r>
          </w:p>
          <w:p w14:paraId="37117F24">
            <w:pPr>
              <w:pStyle w:val="24"/>
              <w:numPr>
                <w:ilvl w:val="0"/>
                <w:numId w:val="0"/>
              </w:numPr>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zh-CN" w:eastAsia="zh-CN" w:bidi="zh-CN"/>
              </w:rPr>
              <w:t>（1）</w:t>
            </w:r>
            <w:r>
              <w:rPr>
                <w:rFonts w:hint="eastAsia" w:ascii="宋体" w:hAnsi="宋体" w:eastAsia="宋体" w:cs="宋体"/>
                <w:kern w:val="2"/>
                <w:sz w:val="21"/>
                <w:szCs w:val="21"/>
                <w:highlight w:val="none"/>
              </w:rPr>
              <w:t>采用吉林省公路管理局202</w:t>
            </w: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rPr>
              <w:t xml:space="preserve">年度普通干线公路日常养护企业信用评价公告中投标人评价等级。 </w:t>
            </w:r>
          </w:p>
          <w:p w14:paraId="0A5EF540">
            <w:pPr>
              <w:pStyle w:val="24"/>
              <w:numPr>
                <w:ilvl w:val="0"/>
                <w:numId w:val="0"/>
              </w:numPr>
              <w:ind w:left="0" w:leftChars="0" w:firstLine="0" w:firstLineChars="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zh-CN" w:eastAsia="zh-CN" w:bidi="zh-CN"/>
              </w:rPr>
              <w:t>（2）</w:t>
            </w:r>
            <w:r>
              <w:rPr>
                <w:rFonts w:hint="eastAsia" w:ascii="宋体" w:hAnsi="宋体" w:eastAsia="宋体" w:cs="宋体"/>
                <w:kern w:val="2"/>
                <w:sz w:val="21"/>
                <w:szCs w:val="21"/>
                <w:highlight w:val="none"/>
              </w:rPr>
              <w:t>采用吉林省公路管理局202</w:t>
            </w:r>
            <w:r>
              <w:rPr>
                <w:rFonts w:hint="eastAsia" w:ascii="宋体" w:hAnsi="宋体" w:eastAsia="宋体" w:cs="宋体"/>
                <w:kern w:val="2"/>
                <w:sz w:val="21"/>
                <w:szCs w:val="21"/>
                <w:highlight w:val="none"/>
                <w:lang w:val="en-US" w:eastAsia="zh-CN"/>
              </w:rPr>
              <w:t>5</w:t>
            </w:r>
            <w:r>
              <w:rPr>
                <w:rFonts w:hint="eastAsia" w:ascii="宋体" w:hAnsi="宋体" w:eastAsia="宋体" w:cs="宋体"/>
                <w:kern w:val="2"/>
                <w:sz w:val="21"/>
                <w:szCs w:val="21"/>
                <w:highlight w:val="none"/>
              </w:rPr>
              <w:t xml:space="preserve">年度普通干线公路养护工程企业信用评价公告及调整结果公告中投标人评价等级。 </w:t>
            </w:r>
          </w:p>
          <w:p w14:paraId="10F2BECD">
            <w:pPr>
              <w:pStyle w:val="24"/>
              <w:numPr>
                <w:ilvl w:val="0"/>
                <w:numId w:val="0"/>
              </w:numPr>
              <w:ind w:left="0" w:leftChars="0" w:firstLine="0" w:firstLineChars="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lang w:val="zh-CN" w:eastAsia="zh-CN" w:bidi="zh-CN"/>
              </w:rPr>
              <w:t>（3）采用投标人在交通运输部关于公布2024 年度公路建设市场全国综合信用评价结果的公告中 2024 年度公路施工企业全国综合信用评价结果汇总表中的投标人评价等级。</w:t>
            </w:r>
            <w:r>
              <w:rPr>
                <w:rFonts w:hint="eastAsia" w:ascii="宋体" w:hAnsi="宋体" w:eastAsia="宋体" w:cs="宋体"/>
                <w:kern w:val="2"/>
                <w:sz w:val="21"/>
                <w:szCs w:val="21"/>
                <w:highlight w:val="none"/>
              </w:rPr>
              <w:t xml:space="preserve"> </w:t>
            </w:r>
          </w:p>
          <w:p w14:paraId="270060AB">
            <w:pPr>
              <w:pStyle w:val="24"/>
              <w:numPr>
                <w:ilvl w:val="0"/>
                <w:numId w:val="0"/>
              </w:numPr>
              <w:ind w:leftChars="0"/>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（4）无以上信用评价等级的，根据“全国公路建设 市场监督管理系统--不良行为记录”查询结果，若无不良 信用记录，按 A 级对待，如有不良信用记录，视其严重程度按 B 级或以下等级对待。</w:t>
            </w:r>
          </w:p>
        </w:tc>
      </w:tr>
      <w:tr w14:paraId="70AE4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cantSplit/>
          <w:trHeight w:val="1099" w:hRule="atLeast"/>
          <w:jc w:val="center"/>
        </w:trPr>
        <w:tc>
          <w:tcPr>
            <w:tcW w:w="10239" w:type="dxa"/>
            <w:gridSpan w:val="7"/>
            <w:noWrap/>
            <w:vAlign w:val="center"/>
          </w:tcPr>
          <w:p w14:paraId="4C51268F">
            <w:pPr>
              <w:pStyle w:val="24"/>
              <w:rPr>
                <w:rFonts w:hint="eastAsia" w:ascii="宋体" w:hAnsi="宋体" w:eastAsia="宋体" w:cs="宋体"/>
                <w:kern w:val="2"/>
                <w:sz w:val="21"/>
                <w:szCs w:val="21"/>
                <w:highlight w:val="none"/>
              </w:rPr>
            </w:pPr>
            <w:r>
              <w:rPr>
                <w:rFonts w:hint="eastAsia" w:ascii="宋体" w:hAnsi="宋体" w:eastAsia="宋体" w:cs="宋体"/>
                <w:kern w:val="2"/>
                <w:sz w:val="21"/>
                <w:szCs w:val="21"/>
                <w:highlight w:val="none"/>
              </w:rPr>
              <w:t>需要补充的其他内容：</w:t>
            </w:r>
          </w:p>
          <w:p w14:paraId="1BE272B3">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 xml:space="preserve">一、投标文件的技术方案部分采用“暗标”形式，如果技术方案出现能识别投标人的内容，经评标委员会确定后，将否决其投标。 </w:t>
            </w:r>
          </w:p>
          <w:p w14:paraId="2A61B52B">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 xml:space="preserve">二、如同一标段出现多名投标人的商务和技术得分相等时，则按照以下优先顺序进行排序： </w:t>
            </w:r>
          </w:p>
          <w:p w14:paraId="5C5767C7">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 xml:space="preserve">a.履约信誉得分较高的投标人； </w:t>
            </w:r>
          </w:p>
          <w:p w14:paraId="7C8851FF">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 xml:space="preserve">b.技术方案得分较高的投标人； </w:t>
            </w:r>
          </w:p>
          <w:p w14:paraId="6476F978">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 xml:space="preserve">c.主要人员得分较高的投标人。 </w:t>
            </w:r>
          </w:p>
          <w:p w14:paraId="0D42920F">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 xml:space="preserve">若以上各项评分因素得分都相等，则通过评委会投票表决，推荐票数多的投标人商务和技术得分排序在先。 </w:t>
            </w:r>
          </w:p>
          <w:p w14:paraId="022471FE">
            <w:pPr>
              <w:pStyle w:val="24"/>
              <w:numPr>
                <w:ilvl w:val="0"/>
                <w:numId w:val="0"/>
              </w:numPr>
              <w:rPr>
                <w:rFonts w:hint="eastAsia" w:ascii="宋体" w:hAnsi="宋体" w:eastAsia="宋体" w:cs="宋体"/>
                <w:kern w:val="2"/>
                <w:sz w:val="21"/>
                <w:szCs w:val="21"/>
                <w:highlight w:val="none"/>
                <w:lang w:eastAsia="zh-CN"/>
              </w:rPr>
            </w:pPr>
            <w:r>
              <w:rPr>
                <w:rFonts w:hint="eastAsia" w:ascii="宋体" w:hAnsi="宋体" w:eastAsia="宋体" w:cs="宋体"/>
                <w:kern w:val="2"/>
                <w:sz w:val="21"/>
                <w:szCs w:val="21"/>
                <w:highlight w:val="none"/>
                <w:lang w:val="en-US" w:eastAsia="zh-CN"/>
              </w:rPr>
              <w:t>三、各评分因素（履约信誉评分项除外）得分一般不得低于其权重分值的60%，且各评分因素得分应以评标委员会各成员的打分平均值确定，评标委员会成员总数为七人以上时，该平均值以去掉一个最高分和一个最低分后计算。评标委员会成员对某一项评分因素的评分低于权重分值60%的，应在评标报告中作出说明。所有评分分值均保留至小数点后两位，小数点后第三位四舍五入。</w:t>
            </w:r>
          </w:p>
        </w:tc>
      </w:tr>
    </w:tbl>
    <w:p w14:paraId="4201B58F">
      <w:pPr>
        <w:rPr>
          <w:rFonts w:hint="eastAsia" w:ascii="宋体" w:hAnsi="宋体" w:eastAsia="宋体" w:cs="宋体"/>
          <w:sz w:val="21"/>
          <w:szCs w:val="21"/>
        </w:rPr>
      </w:pPr>
      <w:r>
        <w:rPr>
          <w:rFonts w:hint="eastAsia" w:ascii="宋体" w:hAnsi="宋体" w:eastAsia="宋体" w:cs="宋体"/>
          <w:sz w:val="21"/>
          <w:szCs w:val="21"/>
        </w:rPr>
        <w:br w:type="page"/>
      </w:r>
    </w:p>
    <w:p w14:paraId="6B624BAD">
      <w:pPr>
        <w:rPr>
          <w:rFonts w:hint="eastAsia" w:ascii="宋体" w:hAnsi="宋体" w:eastAsia="宋体" w:cs="宋体"/>
          <w:sz w:val="21"/>
          <w:szCs w:val="21"/>
        </w:rPr>
      </w:pPr>
      <w:r>
        <w:rPr>
          <w:rFonts w:hint="eastAsia" w:ascii="宋体" w:hAnsi="宋体" w:eastAsia="宋体" w:cs="宋体"/>
          <w:sz w:val="21"/>
          <w:szCs w:val="21"/>
        </w:rPr>
        <w:t>评标办法</w:t>
      </w:r>
    </w:p>
    <w:p w14:paraId="06CB3C57">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bookmarkStart w:id="56" w:name="_GoBack"/>
      <w:r>
        <w:rPr>
          <w:rFonts w:hint="eastAsia" w:ascii="宋体" w:hAnsi="宋体" w:eastAsia="宋体" w:cs="宋体"/>
          <w:color w:val="000000"/>
          <w:kern w:val="0"/>
          <w:sz w:val="21"/>
          <w:szCs w:val="21"/>
          <w:lang w:val="zh-TW" w:bidi="zh-TW"/>
        </w:rPr>
        <w:t>1.评标方法</w:t>
      </w:r>
    </w:p>
    <w:p w14:paraId="19489DC2">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本次评标采用技术评分最低标价法。评标委员会对满足招标文件实质性要求的投标文件的</w:t>
      </w:r>
      <w:r>
        <w:rPr>
          <w:rFonts w:hint="eastAsia" w:ascii="宋体" w:hAnsi="宋体" w:eastAsia="宋体" w:cs="宋体"/>
          <w:color w:val="000000"/>
          <w:kern w:val="0"/>
          <w:sz w:val="21"/>
          <w:szCs w:val="21"/>
          <w:lang w:val="zh-TW" w:eastAsia="zh-CN" w:bidi="zh-TW"/>
        </w:rPr>
        <w:t>技术方案</w:t>
      </w:r>
      <w:r>
        <w:rPr>
          <w:rFonts w:hint="eastAsia" w:ascii="宋体" w:hAnsi="宋体" w:eastAsia="宋体" w:cs="宋体"/>
          <w:color w:val="000000"/>
          <w:kern w:val="0"/>
          <w:sz w:val="21"/>
          <w:szCs w:val="21"/>
          <w:lang w:val="zh-TW" w:bidi="zh-TW"/>
        </w:rPr>
        <w:t>、主要人员、技术能力等因素进行评分，按照得分由高到低排序，对排名在招标文件规定数量以内的投标人的报价文件进行评审，按照评标价由低到高的顺序推荐中标候选人，或根据招标人授权直接确定中标人，但投标报价低于其成本的除外。评标价相等时，评标委员会应按照评标办法前附表规定的优先次序推荐中标候选人或确定中标人。</w:t>
      </w:r>
    </w:p>
    <w:p w14:paraId="112EDC66">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bookmarkStart w:id="50" w:name="_Toc509492450"/>
      <w:r>
        <w:rPr>
          <w:rFonts w:hint="eastAsia" w:ascii="宋体" w:hAnsi="宋体" w:eastAsia="宋体" w:cs="宋体"/>
          <w:color w:val="000000"/>
          <w:kern w:val="0"/>
          <w:sz w:val="21"/>
          <w:szCs w:val="21"/>
          <w:lang w:val="zh-TW" w:bidi="zh-TW"/>
        </w:rPr>
        <w:t>2.评审标准</w:t>
      </w:r>
      <w:bookmarkEnd w:id="50"/>
    </w:p>
    <w:p w14:paraId="63D517B3">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bookmarkStart w:id="51" w:name="_Toc509492451"/>
      <w:r>
        <w:rPr>
          <w:rFonts w:hint="eastAsia" w:ascii="宋体" w:hAnsi="宋体" w:eastAsia="宋体" w:cs="宋体"/>
          <w:color w:val="000000"/>
          <w:kern w:val="0"/>
          <w:sz w:val="21"/>
          <w:szCs w:val="21"/>
          <w:lang w:val="zh-TW" w:bidi="zh-TW"/>
        </w:rPr>
        <w:t>2.1初步评审标准</w:t>
      </w:r>
      <w:bookmarkEnd w:id="51"/>
    </w:p>
    <w:p w14:paraId="4F1304FC">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2.1.1形式评审标准：见评标办法前附表。</w:t>
      </w:r>
    </w:p>
    <w:p w14:paraId="68BEF8FA">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2.1.2资格评审标准：见评标办法前附表（适用于未进行资格预审的）。</w:t>
      </w:r>
    </w:p>
    <w:p w14:paraId="47E14E2F">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eastAsia="zh-CN" w:bidi="zh-TW"/>
        </w:rPr>
        <w:t>2.1.2 资格评审标准：见资格预审文件第三章“资格审查办法”详细审查标准（适用于已进行资格预审的）。</w:t>
      </w:r>
    </w:p>
    <w:p w14:paraId="442395A7">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2.1.3响应性评审标准：见评标办法前附表。</w:t>
      </w:r>
    </w:p>
    <w:p w14:paraId="2C4E9825">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bookmarkStart w:id="52" w:name="_Toc509492452"/>
      <w:r>
        <w:rPr>
          <w:rFonts w:hint="eastAsia" w:ascii="宋体" w:hAnsi="宋体" w:eastAsia="宋体" w:cs="宋体"/>
          <w:color w:val="000000"/>
          <w:kern w:val="0"/>
          <w:sz w:val="21"/>
          <w:szCs w:val="21"/>
          <w:lang w:val="zh-TW" w:bidi="zh-TW"/>
        </w:rPr>
        <w:t>2.2分值构成与评分标准</w:t>
      </w:r>
      <w:bookmarkEnd w:id="52"/>
    </w:p>
    <w:bookmarkEnd w:id="56"/>
    <w:p w14:paraId="11370A2B">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2.2.1第一个信封评分分值构成</w:t>
      </w:r>
    </w:p>
    <w:p w14:paraId="03E5714D">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（1）</w:t>
      </w:r>
      <w:r>
        <w:rPr>
          <w:rFonts w:hint="eastAsia" w:ascii="宋体" w:hAnsi="宋体" w:eastAsia="宋体" w:cs="宋体"/>
          <w:color w:val="000000"/>
          <w:kern w:val="0"/>
          <w:sz w:val="21"/>
          <w:szCs w:val="21"/>
          <w:lang w:val="zh-TW" w:eastAsia="zh-CN" w:bidi="zh-TW"/>
        </w:rPr>
        <w:t>技术方案</w:t>
      </w:r>
      <w:r>
        <w:rPr>
          <w:rFonts w:hint="eastAsia" w:ascii="宋体" w:hAnsi="宋体" w:eastAsia="宋体" w:cs="宋体"/>
          <w:color w:val="000000"/>
          <w:kern w:val="0"/>
          <w:sz w:val="21"/>
          <w:szCs w:val="21"/>
          <w:lang w:val="zh-TW" w:bidi="zh-TW"/>
        </w:rPr>
        <w:t>：见评标办法前附表；</w:t>
      </w:r>
    </w:p>
    <w:p w14:paraId="0F99FDC9">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（2）主要人员：见评标办法前附表；</w:t>
      </w:r>
    </w:p>
    <w:p w14:paraId="5AF56B61">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（3）其他评分因素：见评标办法前附表。</w:t>
      </w:r>
    </w:p>
    <w:p w14:paraId="4709175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2.2.2第一个信封评分标准</w:t>
      </w:r>
    </w:p>
    <w:p w14:paraId="1DDB0677">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（1）</w:t>
      </w:r>
      <w:r>
        <w:rPr>
          <w:rFonts w:hint="eastAsia" w:ascii="宋体" w:hAnsi="宋体" w:eastAsia="宋体" w:cs="宋体"/>
          <w:color w:val="000000"/>
          <w:kern w:val="0"/>
          <w:sz w:val="21"/>
          <w:szCs w:val="21"/>
          <w:lang w:val="zh-TW" w:eastAsia="zh-CN" w:bidi="zh-TW"/>
        </w:rPr>
        <w:t>技术方案</w:t>
      </w:r>
      <w:r>
        <w:rPr>
          <w:rFonts w:hint="eastAsia" w:ascii="宋体" w:hAnsi="宋体" w:eastAsia="宋体" w:cs="宋体"/>
          <w:color w:val="000000"/>
          <w:kern w:val="0"/>
          <w:sz w:val="21"/>
          <w:szCs w:val="21"/>
          <w:lang w:val="zh-TW" w:bidi="zh-TW"/>
        </w:rPr>
        <w:t>评分标准：见评标办法前附表；</w:t>
      </w:r>
    </w:p>
    <w:p w14:paraId="5534A5E3">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（2）主要人员评分标准：见评标办法前附表；</w:t>
      </w:r>
    </w:p>
    <w:p w14:paraId="43AE4FDD">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（3）其他因素评分标准：见评标办法前附表。</w:t>
      </w:r>
    </w:p>
    <w:p w14:paraId="71C0864C">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2.2.3第二个信封详细评审标准：见评标办法前附表。</w:t>
      </w:r>
    </w:p>
    <w:p w14:paraId="44A9FC4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bookmarkStart w:id="53" w:name="_Toc509492453"/>
      <w:r>
        <w:rPr>
          <w:rFonts w:hint="eastAsia" w:ascii="宋体" w:hAnsi="宋体" w:eastAsia="宋体" w:cs="宋体"/>
          <w:color w:val="000000"/>
          <w:kern w:val="0"/>
          <w:sz w:val="21"/>
          <w:szCs w:val="21"/>
          <w:lang w:val="zh-TW" w:bidi="zh-TW"/>
        </w:rPr>
        <w:t>3.评标程序</w:t>
      </w:r>
      <w:bookmarkEnd w:id="53"/>
    </w:p>
    <w:p w14:paraId="095E34F1">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bookmarkStart w:id="54" w:name="_Toc509492454"/>
      <w:r>
        <w:rPr>
          <w:rFonts w:hint="eastAsia" w:ascii="宋体" w:hAnsi="宋体" w:eastAsia="宋体" w:cs="宋体"/>
          <w:color w:val="000000"/>
          <w:kern w:val="0"/>
          <w:sz w:val="21"/>
          <w:szCs w:val="21"/>
          <w:lang w:val="zh-TW" w:bidi="zh-TW"/>
        </w:rPr>
        <w:t>3.1第一个信封初步评审</w:t>
      </w:r>
      <w:bookmarkEnd w:id="54"/>
    </w:p>
    <w:p w14:paraId="16825E4C">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3.1.1评标委员会可以要求投标人提交第二章“投标人须知”第3.5.1项至第3.5.6项规定的有关证明和证件的原件，以便核验。评标委员会依据本章第2.1款规定的标准对投标文件第一个信封（商务及技术文件）进行初步评审。有一项不符合评审标准的，评标委员会应否决其投标。（适用于未进行资格预审的</w:t>
      </w:r>
      <w:bookmarkStart w:id="55" w:name="_Toc509492455"/>
      <w:r>
        <w:rPr>
          <w:rFonts w:hint="eastAsia" w:ascii="宋体" w:hAnsi="宋体" w:eastAsia="宋体" w:cs="宋体"/>
          <w:color w:val="000000"/>
          <w:kern w:val="0"/>
          <w:sz w:val="21"/>
          <w:szCs w:val="21"/>
          <w:lang w:val="zh-TW" w:bidi="zh-TW"/>
        </w:rPr>
        <w:t>）</w:t>
      </w:r>
    </w:p>
    <w:p w14:paraId="591E0263">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eastAsia="zh-CN" w:bidi="zh-TW"/>
        </w:rPr>
        <w:t>3.1.1 评标委员会依据本章第 2.1.1 项、第 2.1.3 项规定的评审标准对投标文件第一个信封（商务及技术文件）进行初步评审。有一项不符合评审标准的，评标委员会应否决其投标。当投标人资格预审申请文件的内容发生重大变化时，评标委员会依据本章第 2.1.2 项规定的标准对其更新资料进行评审。（适用于已进行资格预审的）</w:t>
      </w:r>
    </w:p>
    <w:bookmarkEnd w:id="55"/>
    <w:p w14:paraId="451FAB88">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3.2第一个信封详细评审</w:t>
      </w:r>
    </w:p>
    <w:p w14:paraId="34AED62C">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3.2.1评标委员会按本章第2.2款规定的量化因素和分值进行打分，并计算出各投标人的商务和技术得分。</w:t>
      </w:r>
    </w:p>
    <w:p w14:paraId="1390C4A6">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（1）按本章第2.2.2项（1）目规定的评审因素和分值对施工组织设计部分计算出得分A；</w:t>
      </w:r>
    </w:p>
    <w:p w14:paraId="4D937F33">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（2）按本章第2.2.2项（2）目规定的评审因素和分值对主要人员部分计算出得分B；</w:t>
      </w:r>
    </w:p>
    <w:p w14:paraId="79F14F9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（3）按本章第2.2.2项（3）目规定的评审因素和分值对其他部分计算出得分C。</w:t>
      </w:r>
    </w:p>
    <w:p w14:paraId="286E6A47">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3.2.2投标人的商务和技术得分分值计算保留小数点后两位，小数点后第三位“四舍五入”。</w:t>
      </w:r>
    </w:p>
    <w:p w14:paraId="78995E55">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3.2.3投标人的商务和技术得分=A+B+C。</w:t>
      </w:r>
    </w:p>
    <w:p w14:paraId="40D2D6E5">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3.2.4评标委员会按照投标人的商务和技术得分由高到低排序，排名在评标办法前附表规定数量以内的投标人，其投标文件第一个信封（商务及技术文件）通过详细评审。</w:t>
      </w:r>
    </w:p>
    <w:p w14:paraId="110EA6C4">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3.2.5通过投标文件第一个信封（商务及技术文件）初步评审的投标人不少于3个且未超过评标办法前附表第3.2.4项规定数量的，均通过投标文件第一个信封（商务及技术文件）详细评审，不再对投标人的商务和技术文件进行评分。</w:t>
      </w:r>
    </w:p>
    <w:p w14:paraId="70DEAC4F">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3.3第二个信封开标</w:t>
      </w:r>
    </w:p>
    <w:p w14:paraId="34106F93">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第一个信封（商务及技术文件）评审结束后，招标人将按照第二章“投标人须知”第5.1款规定的时间和地点对通过投标文件第一个信封（商务及技术文件）评审的投标文件第二个信封（报价文件）进行开标。</w:t>
      </w:r>
    </w:p>
    <w:p w14:paraId="6DBA978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3.4第二个信封初步评审</w:t>
      </w:r>
    </w:p>
    <w:p w14:paraId="377FBC92">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3.4.1评标委员会依据本章第2.1.1项、第2.1.3项规定的评审标准对投标文件第二个信封（报价文件）进行初步评审。有一项不符合评审标准的，评标委员会应否决其投标。</w:t>
      </w:r>
    </w:p>
    <w:p w14:paraId="2E26AD3B">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3.4.2</w:t>
      </w:r>
      <w:r>
        <w:rPr>
          <w:rFonts w:hint="eastAsia" w:ascii="宋体" w:hAnsi="宋体" w:eastAsia="宋体" w:cs="宋体"/>
          <w:color w:val="000000"/>
          <w:kern w:val="0"/>
          <w:sz w:val="21"/>
          <w:szCs w:val="21"/>
          <w:lang w:val="zh-TW" w:bidi="zh-TW"/>
        </w:rPr>
        <w:footnoteReference w:id="1"/>
      </w:r>
      <w:r>
        <w:rPr>
          <w:rFonts w:hint="eastAsia" w:ascii="宋体" w:hAnsi="宋体" w:eastAsia="宋体" w:cs="宋体"/>
          <w:color w:val="000000"/>
          <w:kern w:val="0"/>
          <w:sz w:val="21"/>
          <w:szCs w:val="21"/>
          <w:lang w:val="zh-TW" w:bidi="zh-TW"/>
        </w:rPr>
        <w:t>投标报价有算术错误的，评标委员会按以下原则对投标报价进行修正，修正的价格经投标人书面确认后具有约束力。投标人不接受修正价格的，评标委员会应否决其投标。</w:t>
      </w:r>
    </w:p>
    <w:p w14:paraId="4E30A9EC">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（1）投标文件中的大写金额与小写金额不一致的，以大写金额为准；</w:t>
      </w:r>
    </w:p>
    <w:p w14:paraId="1DE1F794">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（2）总价金额与依据单价计算出的结果不一致的，以单价金额为准修正总价，但单价金额小数点有明显错误的除外；</w:t>
      </w:r>
    </w:p>
    <w:p w14:paraId="79E246A0">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（3）当单价与数量相乘不等于合价时，以单价计算为准，如果单价有明显的小数点位置差错，应以标出的合价为准，同时对单价予以修正；</w:t>
      </w:r>
    </w:p>
    <w:p w14:paraId="4A4166D6">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（4）当各子目的合价累计不等于总价时，应以各子目合价累计数为准，修正总价。</w:t>
      </w:r>
    </w:p>
    <w:p w14:paraId="036D3A7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3.4.3工程量清单中的投标报价有其他错误的，评标委员会按以下原则对投标报价进行修正，修正的价格经投标人书面确认后具有约束力。投标人不接受修正价格的，评标委员会应否决其投标。</w:t>
      </w:r>
    </w:p>
    <w:p w14:paraId="051E6B78">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1）在招标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14:paraId="5926FB05">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在招标人给定的工程量清单中多报了某个工程子目的单价、合价或总额价，或所报单价、合价或总额价增加了报价范围，则从投标报价中扣除多报的工程子目报价或工程子目报价中增加了报价范围的部分报价。</w:t>
      </w:r>
    </w:p>
    <w:p w14:paraId="76B90825">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（3）当单价与数量的乘积与合价（金额）虽然一致，但投标人修改了该子目的工程数量，则其合价按招标人给定的工程数量乘以投标人所报单价予以修正。</w:t>
      </w:r>
    </w:p>
    <w:p w14:paraId="45114017">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3.4.4修正后的最终投标报价若超过最高投标限价（如有），评标委员会应否决其投标。</w:t>
      </w:r>
    </w:p>
    <w:p w14:paraId="51A80ABD">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3.5第二个信封详细评审</w:t>
      </w:r>
    </w:p>
    <w:p w14:paraId="2E3D1D87">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3.5.1评标委员会按本章第2.2款规定的量化因素和标准进行价格折算，计算出评标价，并编制价格比较一览表。</w:t>
      </w:r>
    </w:p>
    <w:p w14:paraId="7401E2CA">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3.5.2评标委员会发现投标人的报价明显低于其他投标报价，使得其投标报价可能低于其个别成本的，应要求该投标人作出书面说明并提供相应的证明材料。投标人不能合理说明或不能提供相应证明材料的，由评标委员会认定该投标人以低于成本报价竞标，并否决其投标。</w:t>
      </w:r>
    </w:p>
    <w:p w14:paraId="5C24B9A1">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3.6投标文件相关信息的核查</w:t>
      </w:r>
    </w:p>
    <w:p w14:paraId="7D588F8A">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3.6.1在评标过程中，评标委员会应查询交通运输主管部门“公路建设市场信用信息管理系统”，对投标人的资质、业绩、主要人员资历和目前在岗情况、信用等级等信息进行核实。若投标文件载明的信息与交通运输主管部门“公路建设市场信用信息管理系统”发布的信息不符，使得投标人的资格条件不符合招标文件规定的，评标委员会应否决其投标。</w:t>
      </w:r>
    </w:p>
    <w:p w14:paraId="215A09DF">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3.6.2评标委员会应对在评标过程中发现的投标人与投标人之间、投标人与招标人之间存在的串通投标的情形进行评审和认定。投标人存在串通投标、弄虚作假、行贿等违法行为的，评标委员会应否决其投标。</w:t>
      </w:r>
    </w:p>
    <w:p w14:paraId="6EE650D4">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（1）有下列情形之一的，属于投标人相互串通投标：</w:t>
      </w:r>
    </w:p>
    <w:p w14:paraId="399DD71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a.投标人之间协商投标报价等投标文件的实质性内容；</w:t>
      </w:r>
    </w:p>
    <w:p w14:paraId="4641A761">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b.投标人之间约定中标人；</w:t>
      </w:r>
    </w:p>
    <w:p w14:paraId="7300C993">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c.投标人之间约定部分投标人放弃投标或中标；</w:t>
      </w:r>
    </w:p>
    <w:p w14:paraId="2F77C03B">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d.属于同一集团、协会、商会等组织成员的投标人按照该组织要求协同投标；</w:t>
      </w:r>
    </w:p>
    <w:p w14:paraId="6DAE7AD4">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e.投标人之间为谋取中标或排斥特定投标人而采取的其他联合行动。</w:t>
      </w:r>
    </w:p>
    <w:p w14:paraId="24006A87">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（2）有下列情形之一的，视为投标人相互串通投标：</w:t>
      </w:r>
    </w:p>
    <w:p w14:paraId="60C24421">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a.不同投标人的投标文件由同一单位或个人编制；</w:t>
      </w:r>
    </w:p>
    <w:p w14:paraId="3E323632">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b.不同投标人委托同一单位或个人办理投标事宜；</w:t>
      </w:r>
    </w:p>
    <w:p w14:paraId="44FF07AB">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c.不同投标人的投标文件载明的项目管理成员为同一人；</w:t>
      </w:r>
    </w:p>
    <w:p w14:paraId="3AB30F31">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d.不同投标人的投标文件异常一致或投标报价呈规律性差异；</w:t>
      </w:r>
    </w:p>
    <w:p w14:paraId="13EF4C3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e.不同投标人的投标文件相互混装；</w:t>
      </w:r>
    </w:p>
    <w:p w14:paraId="2AFEA194">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f.不同投标人的投标保证金从同一单位或个人的账户转出。</w:t>
      </w:r>
    </w:p>
    <w:p w14:paraId="53E19729">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（3）有下列情形之一的，属于招标人与投标人串通投标：</w:t>
      </w:r>
    </w:p>
    <w:p w14:paraId="0BB4C008">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a.招标人在开标前开启投标文件并将有关信息泄露给其他投标人；</w:t>
      </w:r>
    </w:p>
    <w:p w14:paraId="67527A89">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b.招标人直接或间接向投标人泄露标底、评标委员会成员等信息；</w:t>
      </w:r>
    </w:p>
    <w:p w14:paraId="7C9A4D97">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c.招标人明示或暗示投标人压低或抬高投标报价；</w:t>
      </w:r>
    </w:p>
    <w:p w14:paraId="78297BA2">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d.招标人授意投标人撤换、修改投标文件；</w:t>
      </w:r>
    </w:p>
    <w:p w14:paraId="4830372E">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e.招标人明示或暗示投标人为特定投标人中标提供方便；</w:t>
      </w:r>
    </w:p>
    <w:p w14:paraId="7B9CB385">
      <w:pPr>
        <w:keepNext w:val="0"/>
        <w:keepLines w:val="0"/>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f.招标人与投标人为谋求特定投标人中标而采取的其他串通行为。</w:t>
      </w:r>
    </w:p>
    <w:p w14:paraId="6534D64B">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（4）投标人有下列情形之一的，属于弄虚作假的行为：</w:t>
      </w:r>
    </w:p>
    <w:p w14:paraId="36BCD6C7">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a.使用通过受让或租借等方式获取的资格、资质证书投标；</w:t>
      </w:r>
    </w:p>
    <w:p w14:paraId="23E004AA">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b.使用伪造、变造的许可证件；</w:t>
      </w:r>
    </w:p>
    <w:p w14:paraId="4D18EA82">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c.提供虚假的财务状况或业绩；</w:t>
      </w:r>
    </w:p>
    <w:p w14:paraId="22D752D6">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d.提供虚假的项目负责人或主要技术人员简历、劳动关系证明；</w:t>
      </w:r>
    </w:p>
    <w:p w14:paraId="64816DEC">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e.提供虚假的信用状况；</w:t>
      </w:r>
    </w:p>
    <w:p w14:paraId="34F1AEC1">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f.其他弄虚作假的行为。</w:t>
      </w:r>
    </w:p>
    <w:p w14:paraId="13AC3B79">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3.7投标文件的澄清和说明</w:t>
      </w:r>
    </w:p>
    <w:p w14:paraId="7A858AAB">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3.7.1在评标过程中，评标委员会可以书面形式要求投标人对投标文件中含义不明确的内容、明显文字或计算错误进行书面澄清或说明。评标委员会不接受投标人主动提出的澄清、说明。投标人不按评标委员会要求澄清或说明的，评标委员会应否决其投标。</w:t>
      </w:r>
    </w:p>
    <w:p w14:paraId="5E0BF79E">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3.7.2澄清和说明不得超出投标文件的范围或改变投标文件的实质性内容（算术性错误的修正除外）。投标人的书面澄清、说明属于投标文件的组成部分。</w:t>
      </w:r>
    </w:p>
    <w:p w14:paraId="2E00AD9B">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3.7.3评标委员会不得暗示或诱导投标人作出澄清、说明，对投标人提交的澄清、说明有疑问的，可以要求投标人进一步澄清或说明，直至满足评标委员会的要求。</w:t>
      </w:r>
    </w:p>
    <w:p w14:paraId="0FA707C2">
      <w:pPr>
        <w:pageBreakBefore w:val="0"/>
        <w:widowControl w:val="0"/>
        <w:kinsoku/>
        <w:wordWrap/>
        <w:overflowPunct/>
        <w:topLinePunct w:val="0"/>
        <w:autoSpaceDE/>
        <w:autoSpaceDN/>
        <w:bidi w:val="0"/>
        <w:adjustRightInd/>
        <w:snapToGrid/>
        <w:spacing w:line="360" w:lineRule="auto"/>
        <w:ind w:firstLine="0"/>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3.7.4凡超出招标文件规定的或给发包人带来未曾要求的利益的变化、偏差或其他因素在评标时不予考虑。</w:t>
      </w:r>
    </w:p>
    <w:p w14:paraId="26C8D2F8">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3.8不得否决投标的情形</w:t>
      </w:r>
    </w:p>
    <w:p w14:paraId="5EB28A8C">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投标文件存在第二章“投标人须知”第1.12.3项所列情形的，均视为细微偏差，评标委员会不得否决投标人的投标，应按照第二章“投标人须知”第1.12.4项规定的原则处理。</w:t>
      </w:r>
    </w:p>
    <w:p w14:paraId="6D073E3F">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3.9评标结果</w:t>
      </w:r>
    </w:p>
    <w:p w14:paraId="79A6DA1B">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3.9.1除第二章“投标人须知”前附表授权直接确定中标人外，评标委员会按照评标价由低到高的顺序推荐中标候选人，并标明排序。</w:t>
      </w:r>
    </w:p>
    <w:p w14:paraId="3CAAC721">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bidi="zh-TW"/>
        </w:rPr>
        <w:t>3.9.2评标委员会完成评标后，应向招标人提交书面评标报告。</w:t>
      </w:r>
    </w:p>
    <w:p w14:paraId="6F9829AC">
      <w:pPr>
        <w:keepNext w:val="0"/>
        <w:keepLines w:val="0"/>
        <w:pageBreakBefore w:val="0"/>
        <w:widowControl w:val="0"/>
        <w:kinsoku/>
        <w:wordWrap/>
        <w:overflowPunct/>
        <w:topLinePunct w:val="0"/>
        <w:autoSpaceDE/>
        <w:autoSpaceDN/>
        <w:bidi w:val="0"/>
        <w:adjustRightInd/>
        <w:snapToGrid/>
        <w:spacing w:line="360" w:lineRule="auto"/>
        <w:ind w:firstLine="0"/>
        <w:jc w:val="both"/>
        <w:textAlignment w:val="auto"/>
        <w:rPr>
          <w:rFonts w:hint="eastAsia" w:ascii="宋体" w:hAnsi="宋体" w:eastAsia="宋体" w:cs="宋体"/>
          <w:color w:val="000000"/>
          <w:kern w:val="0"/>
          <w:sz w:val="21"/>
          <w:szCs w:val="21"/>
          <w:lang w:val="zh-TW" w:bidi="zh-TW"/>
        </w:rPr>
      </w:pPr>
      <w:r>
        <w:rPr>
          <w:rFonts w:hint="eastAsia" w:ascii="宋体" w:hAnsi="宋体" w:eastAsia="宋体" w:cs="宋体"/>
          <w:color w:val="000000"/>
          <w:kern w:val="0"/>
          <w:sz w:val="21"/>
          <w:szCs w:val="21"/>
          <w:lang w:val="zh-TW" w:eastAsia="zh-CN" w:bidi="zh-TW"/>
        </w:rPr>
        <w:t>注：评标办法正文直接引用《公路工程标准施工招标文件》（2018年版）第三章评标办法（技术评分最低标价法）正文部分，如有不一致时以《公路工程标准施工招标文件》（2018年版）第三章评标办法（技术评分最低标价法）正文部分为准。</w:t>
      </w:r>
    </w:p>
    <w:p w14:paraId="2289ACD1">
      <w:pPr>
        <w:pStyle w:val="18"/>
        <w:pageBreakBefore w:val="0"/>
        <w:widowControl w:val="0"/>
        <w:tabs>
          <w:tab w:val="left" w:pos="426"/>
        </w:tabs>
        <w:kinsoku/>
        <w:wordWrap/>
        <w:overflowPunct/>
        <w:topLinePunct w:val="0"/>
        <w:autoSpaceDE/>
        <w:autoSpaceDN/>
        <w:bidi w:val="0"/>
        <w:adjustRightInd/>
        <w:snapToGrid/>
        <w:spacing w:line="360" w:lineRule="auto"/>
        <w:ind w:firstLine="0"/>
        <w:jc w:val="left"/>
        <w:textAlignment w:val="auto"/>
        <w:outlineLvl w:val="2"/>
        <w:rPr>
          <w:rFonts w:hint="eastAsia" w:ascii="宋体" w:hAnsi="宋体" w:eastAsia="宋体" w:cs="宋体"/>
          <w:b w:val="0"/>
          <w:sz w:val="21"/>
          <w:szCs w:val="21"/>
        </w:rPr>
      </w:pPr>
      <w:r>
        <w:rPr>
          <w:rFonts w:hint="eastAsia" w:ascii="宋体" w:hAnsi="宋体" w:eastAsia="宋体" w:cs="宋体"/>
          <w:b w:val="0"/>
          <w:sz w:val="21"/>
          <w:szCs w:val="21"/>
        </w:rPr>
        <w:t>7.公开时间</w:t>
      </w:r>
    </w:p>
    <w:p w14:paraId="1302A750">
      <w:pPr>
        <w:pStyle w:val="18"/>
        <w:pageBreakBefore w:val="0"/>
        <w:widowControl w:val="0"/>
        <w:tabs>
          <w:tab w:val="left" w:pos="426"/>
        </w:tabs>
        <w:kinsoku/>
        <w:wordWrap/>
        <w:overflowPunct/>
        <w:topLinePunct w:val="0"/>
        <w:autoSpaceDE/>
        <w:autoSpaceDN/>
        <w:bidi w:val="0"/>
        <w:adjustRightInd/>
        <w:snapToGrid/>
        <w:spacing w:line="360" w:lineRule="auto"/>
        <w:ind w:firstLine="0"/>
        <w:jc w:val="left"/>
        <w:textAlignment w:val="auto"/>
        <w:outlineLvl w:val="2"/>
        <w:rPr>
          <w:rFonts w:hint="eastAsia" w:ascii="宋体" w:hAnsi="宋体" w:eastAsia="宋体" w:cs="宋体"/>
          <w:b w:val="0"/>
          <w:bCs w:val="0"/>
          <w:kern w:val="2"/>
          <w:sz w:val="21"/>
          <w:szCs w:val="21"/>
        </w:rPr>
      </w:pPr>
      <w:r>
        <w:rPr>
          <w:rFonts w:hint="eastAsia" w:ascii="宋体" w:hAnsi="宋体" w:eastAsia="宋体" w:cs="宋体"/>
          <w:b w:val="0"/>
          <w:bCs w:val="0"/>
          <w:kern w:val="2"/>
          <w:sz w:val="21"/>
          <w:szCs w:val="21"/>
        </w:rPr>
        <w:t>本次招标文件关键内容信息公开时间至投标截止时间10日前结束。</w:t>
      </w:r>
    </w:p>
    <w:p w14:paraId="7A2F2BD7">
      <w:pPr>
        <w:pStyle w:val="18"/>
        <w:tabs>
          <w:tab w:val="left" w:pos="426"/>
        </w:tabs>
        <w:spacing w:line="360" w:lineRule="auto"/>
        <w:jc w:val="left"/>
        <w:outlineLvl w:val="2"/>
        <w:rPr>
          <w:rFonts w:hint="eastAsia" w:ascii="宋体" w:hAnsi="宋体" w:eastAsia="宋体" w:cs="宋体"/>
          <w:b w:val="0"/>
          <w:sz w:val="21"/>
          <w:szCs w:val="21"/>
        </w:rPr>
      </w:pPr>
      <w:r>
        <w:rPr>
          <w:rFonts w:hint="eastAsia" w:ascii="宋体" w:hAnsi="宋体" w:eastAsia="宋体" w:cs="宋体"/>
          <w:b w:val="0"/>
          <w:sz w:val="21"/>
          <w:szCs w:val="21"/>
        </w:rPr>
        <w:t>8.联系方式</w:t>
      </w:r>
      <w:bookmarkEnd w:id="38"/>
      <w:bookmarkEnd w:id="39"/>
      <w:bookmarkEnd w:id="40"/>
      <w:bookmarkEnd w:id="41"/>
      <w:bookmarkEnd w:id="42"/>
      <w:bookmarkEnd w:id="43"/>
      <w:bookmarkEnd w:id="44"/>
      <w:bookmarkEnd w:id="45"/>
      <w:bookmarkEnd w:id="46"/>
    </w:p>
    <w:tbl>
      <w:tblPr>
        <w:tblStyle w:val="14"/>
        <w:tblW w:w="14567" w:type="dxa"/>
        <w:tblInd w:w="0" w:type="dxa"/>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Layout w:type="fixed"/>
        <w:tblCellMar>
          <w:top w:w="0" w:type="dxa"/>
          <w:left w:w="108" w:type="dxa"/>
          <w:bottom w:w="0" w:type="dxa"/>
          <w:right w:w="108" w:type="dxa"/>
        </w:tblCellMar>
      </w:tblPr>
      <w:tblGrid>
        <w:gridCol w:w="4361"/>
        <w:gridCol w:w="5103"/>
        <w:gridCol w:w="5103"/>
      </w:tblGrid>
      <w:tr w14:paraId="10298058">
        <w:tblPrEx>
          <w:tblBorders>
            <w:top w:val="single" w:color="FFFFFF" w:sz="4" w:space="0"/>
            <w:left w:val="single" w:color="FFFFFF" w:sz="4" w:space="0"/>
            <w:bottom w:val="none" w:color="auto" w:sz="0" w:space="0"/>
            <w:right w:val="single" w:color="FFFFFF" w:sz="4" w:space="0"/>
            <w:insideH w:val="single" w:color="FFFFFF" w:sz="4" w:space="0"/>
            <w:insideV w:val="single" w:color="FFFFFF" w:sz="4" w:space="0"/>
          </w:tblBorders>
          <w:tblCellMar>
            <w:top w:w="0" w:type="dxa"/>
            <w:left w:w="108" w:type="dxa"/>
            <w:bottom w:w="0" w:type="dxa"/>
            <w:right w:w="108" w:type="dxa"/>
          </w:tblCellMar>
        </w:tblPrEx>
        <w:tc>
          <w:tcPr>
            <w:tcW w:w="4361" w:type="dxa"/>
            <w:tcBorders>
              <w:top w:val="single" w:color="FFFFFF" w:sz="4" w:space="0"/>
              <w:left w:val="single" w:color="FFFFFF" w:sz="4" w:space="0"/>
              <w:bottom w:val="single" w:color="FFFFFF" w:sz="4" w:space="0"/>
              <w:right w:val="single" w:color="FFFFFF" w:sz="4" w:space="0"/>
            </w:tcBorders>
            <w:noWrap w:val="0"/>
            <w:vAlign w:val="top"/>
          </w:tcPr>
          <w:p w14:paraId="79ED81A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招标人：</w:t>
            </w:r>
          </w:p>
          <w:p w14:paraId="29E977E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松原市公路服务中心</w:t>
            </w:r>
          </w:p>
          <w:p w14:paraId="06173EC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地址：松原市宁江区沿江东路77号</w:t>
            </w:r>
          </w:p>
          <w:p w14:paraId="355582EF">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邮政编码：138000</w:t>
            </w:r>
          </w:p>
          <w:p w14:paraId="627BDC27">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张凯</w:t>
            </w:r>
          </w:p>
          <w:p w14:paraId="1B8D20C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val="en-US" w:eastAsia="zh-CN"/>
              </w:rPr>
              <w:t>19843885257</w:t>
            </w:r>
          </w:p>
          <w:p w14:paraId="4CD11564">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lang w:eastAsia="zh-CN"/>
              </w:rPr>
              <w:t>长岭县公路管理段</w:t>
            </w:r>
          </w:p>
          <w:p w14:paraId="77A937D1">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地址：长岭县长岭镇拱宸路北长丰街西</w:t>
            </w:r>
          </w:p>
          <w:p w14:paraId="092A1CE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邮政编码：131500</w:t>
            </w:r>
          </w:p>
          <w:p w14:paraId="0AD141E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联系人：</w:t>
            </w:r>
            <w:r>
              <w:rPr>
                <w:rFonts w:hint="eastAsia" w:ascii="宋体" w:hAnsi="宋体" w:eastAsia="宋体" w:cs="宋体"/>
                <w:sz w:val="21"/>
                <w:szCs w:val="21"/>
                <w:highlight w:val="none"/>
                <w:lang w:val="en-US" w:eastAsia="zh-CN"/>
              </w:rPr>
              <w:t>刘峰</w:t>
            </w:r>
          </w:p>
          <w:p w14:paraId="10F5D0CE">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val="en-US" w:eastAsia="zh-CN"/>
              </w:rPr>
              <w:t>15844882722</w:t>
            </w:r>
          </w:p>
          <w:p w14:paraId="614D0A59">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招标代理机构：</w:t>
            </w:r>
            <w:r>
              <w:rPr>
                <w:rFonts w:hint="eastAsia" w:ascii="宋体" w:hAnsi="宋体" w:eastAsia="宋体" w:cs="宋体"/>
                <w:sz w:val="21"/>
                <w:szCs w:val="21"/>
                <w:highlight w:val="none"/>
                <w:lang w:eastAsia="zh-CN"/>
              </w:rPr>
              <w:t>吉林省泓拓项目管理有限公司</w:t>
            </w:r>
          </w:p>
          <w:p w14:paraId="6065D25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地址：</w:t>
            </w:r>
            <w:r>
              <w:rPr>
                <w:rFonts w:hint="eastAsia" w:ascii="宋体" w:hAnsi="宋体" w:eastAsia="宋体" w:cs="宋体"/>
                <w:sz w:val="21"/>
                <w:szCs w:val="21"/>
                <w:highlight w:val="none"/>
                <w:lang w:eastAsia="zh-CN"/>
              </w:rPr>
              <w:t>长春市南关区南环城路1088号新里.中央公馆B区（绿地国际广场）二期、三期B7#-B11#楼1657号</w:t>
            </w:r>
          </w:p>
          <w:p w14:paraId="145769D0">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邮政编码：1300</w:t>
            </w:r>
            <w:r>
              <w:rPr>
                <w:rFonts w:hint="eastAsia" w:ascii="宋体" w:hAnsi="宋体" w:eastAsia="宋体" w:cs="宋体"/>
                <w:sz w:val="21"/>
                <w:szCs w:val="21"/>
                <w:highlight w:val="none"/>
                <w:lang w:val="en-US" w:eastAsia="zh-CN"/>
              </w:rPr>
              <w:t>00</w:t>
            </w:r>
          </w:p>
          <w:p w14:paraId="0B451276">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val="en-US" w:eastAsia="zh-CN"/>
              </w:rPr>
              <w:t>项目负责</w:t>
            </w:r>
            <w:r>
              <w:rPr>
                <w:rFonts w:hint="eastAsia" w:ascii="宋体" w:hAnsi="宋体" w:eastAsia="宋体" w:cs="宋体"/>
                <w:sz w:val="21"/>
                <w:szCs w:val="21"/>
                <w:highlight w:val="none"/>
              </w:rPr>
              <w:t>人：</w:t>
            </w:r>
            <w:r>
              <w:rPr>
                <w:rFonts w:hint="eastAsia" w:ascii="宋体" w:hAnsi="宋体" w:eastAsia="宋体" w:cs="宋体"/>
                <w:sz w:val="21"/>
                <w:szCs w:val="21"/>
                <w:highlight w:val="none"/>
                <w:lang w:eastAsia="zh-CN"/>
              </w:rPr>
              <w:t>董秀英</w:t>
            </w:r>
          </w:p>
          <w:p w14:paraId="7E2B97F3">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项目组其他成员：魏本连、逄春丽</w:t>
            </w:r>
          </w:p>
          <w:p w14:paraId="4F53C73D">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电话：</w:t>
            </w:r>
            <w:r>
              <w:rPr>
                <w:rFonts w:hint="eastAsia" w:ascii="宋体" w:hAnsi="宋体" w:eastAsia="宋体" w:cs="宋体"/>
                <w:sz w:val="21"/>
                <w:szCs w:val="21"/>
                <w:highlight w:val="none"/>
                <w:lang w:eastAsia="zh-CN"/>
              </w:rPr>
              <w:t>18943927455</w:t>
            </w:r>
          </w:p>
          <w:p w14:paraId="2B97C942">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宋体" w:hAnsi="宋体" w:eastAsia="宋体" w:cs="宋体"/>
                <w:sz w:val="21"/>
                <w:szCs w:val="21"/>
                <w:highlight w:val="none"/>
                <w:lang w:val="en-US" w:eastAsia="zh-CN"/>
              </w:rPr>
            </w:pPr>
          </w:p>
        </w:tc>
        <w:tc>
          <w:tcPr>
            <w:tcW w:w="5103" w:type="dxa"/>
            <w:tcBorders>
              <w:top w:val="single" w:color="FFFFFF" w:sz="4" w:space="0"/>
              <w:left w:val="single" w:color="FFFFFF" w:sz="4" w:space="0"/>
              <w:bottom w:val="single" w:color="FFFFFF" w:sz="4" w:space="0"/>
              <w:right w:val="single" w:color="FFFFFF" w:sz="4" w:space="0"/>
            </w:tcBorders>
            <w:noWrap w:val="0"/>
            <w:vAlign w:val="top"/>
          </w:tcPr>
          <w:p w14:paraId="4364360C">
            <w:pPr>
              <w:pStyle w:val="8"/>
              <w:rPr>
                <w:rFonts w:hint="eastAsia" w:ascii="宋体" w:hAnsi="宋体" w:eastAsia="宋体" w:cs="宋体"/>
                <w:sz w:val="21"/>
                <w:szCs w:val="21"/>
                <w:lang w:val="en-US" w:eastAsia="zh-CN"/>
              </w:rPr>
            </w:pPr>
          </w:p>
        </w:tc>
        <w:tc>
          <w:tcPr>
            <w:tcW w:w="5103" w:type="dxa"/>
            <w:tcBorders>
              <w:top w:val="single" w:color="FFFFFF" w:sz="4" w:space="0"/>
              <w:left w:val="single" w:color="FFFFFF" w:sz="4" w:space="0"/>
              <w:bottom w:val="single" w:color="FFFFFF" w:sz="4" w:space="0"/>
              <w:right w:val="single" w:color="FFFFFF" w:sz="4" w:space="0"/>
            </w:tcBorders>
            <w:noWrap w:val="0"/>
            <w:vAlign w:val="top"/>
          </w:tcPr>
          <w:p w14:paraId="14C63310">
            <w:pPr>
              <w:pStyle w:val="8"/>
              <w:rPr>
                <w:rFonts w:hint="eastAsia" w:ascii="宋体" w:hAnsi="宋体" w:eastAsia="宋体" w:cs="宋体"/>
                <w:sz w:val="21"/>
                <w:szCs w:val="21"/>
                <w:lang w:val="en-US" w:eastAsia="zh-CN"/>
              </w:rPr>
            </w:pPr>
          </w:p>
        </w:tc>
      </w:tr>
    </w:tbl>
    <w:p w14:paraId="0593612F">
      <w:pPr>
        <w:spacing w:line="360" w:lineRule="auto"/>
        <w:ind w:right="420" w:firstLine="435"/>
        <w:jc w:val="right"/>
        <w:rPr>
          <w:rFonts w:ascii="宋体" w:hAnsi="宋体"/>
          <w:szCs w:val="21"/>
        </w:rPr>
      </w:pPr>
    </w:p>
    <w:p w14:paraId="64B92F5F">
      <w:pPr>
        <w:spacing w:line="360" w:lineRule="auto"/>
        <w:ind w:right="420" w:firstLine="435"/>
        <w:jc w:val="right"/>
        <w:rPr>
          <w:rFonts w:ascii="宋体" w:hAnsi="宋体"/>
        </w:rPr>
      </w:pPr>
      <w:r>
        <w:rPr>
          <w:rFonts w:hint="eastAsia" w:ascii="宋体" w:hAnsi="宋体"/>
          <w:szCs w:val="21"/>
        </w:rPr>
        <w:t>202</w:t>
      </w:r>
      <w:r>
        <w:rPr>
          <w:rFonts w:hint="eastAsia" w:ascii="宋体" w:hAnsi="宋体"/>
          <w:szCs w:val="21"/>
          <w:lang w:val="en-US" w:eastAsia="zh-CN"/>
        </w:rPr>
        <w:t>6</w:t>
      </w:r>
      <w:r>
        <w:rPr>
          <w:rFonts w:hint="eastAsia" w:ascii="宋体" w:hAnsi="宋体"/>
          <w:szCs w:val="21"/>
        </w:rPr>
        <w:t>年</w:t>
      </w:r>
      <w:r>
        <w:rPr>
          <w:rFonts w:hint="eastAsia" w:ascii="宋体" w:hAnsi="宋体"/>
          <w:szCs w:val="21"/>
          <w:lang w:val="en-US" w:eastAsia="zh-CN"/>
        </w:rPr>
        <w:t xml:space="preserve">  </w:t>
      </w:r>
      <w:r>
        <w:rPr>
          <w:rFonts w:hint="eastAsia" w:ascii="宋体" w:hAnsi="宋体"/>
          <w:szCs w:val="21"/>
        </w:rPr>
        <w:t>月</w:t>
      </w:r>
      <w:r>
        <w:rPr>
          <w:rFonts w:hint="eastAsia" w:ascii="宋体" w:hAnsi="宋体"/>
          <w:szCs w:val="21"/>
          <w:lang w:val="en-US" w:eastAsia="zh-CN"/>
        </w:rPr>
        <w:t xml:space="preserve">  </w:t>
      </w:r>
      <w:r>
        <w:rPr>
          <w:rFonts w:hint="eastAsia" w:ascii="宋体" w:hAnsi="宋体"/>
          <w:szCs w:val="21"/>
        </w:rPr>
        <w:t>日</w:t>
      </w: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2AFB1">
    <w:pPr>
      <w:pStyle w:val="10"/>
      <w:jc w:val="center"/>
      <w:rPr>
        <w:rFonts w:ascii="宋体" w:hAnsi="宋体"/>
        <w:sz w:val="21"/>
        <w:szCs w:val="21"/>
      </w:rPr>
    </w:pPr>
    <w:r>
      <w:rPr>
        <w:sz w:val="21"/>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63413576">
                <w:pPr>
                  <w:pStyle w:val="10"/>
                </w:pPr>
                <w:r>
                  <w:fldChar w:fldCharType="begin"/>
                </w:r>
                <w:r>
                  <w:instrText xml:space="preserve"> PAGE  \* MERGEFORMAT </w:instrText>
                </w:r>
                <w:r>
                  <w:fldChar w:fldCharType="separate"/>
                </w:r>
                <w:r>
                  <w:t>32</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4">
    <w:p>
      <w:r>
        <w:separator/>
      </w:r>
    </w:p>
  </w:footnote>
  <w:footnote w:type="continuationSeparator" w:id="5">
    <w:p>
      <w:r>
        <w:continuationSeparator/>
      </w:r>
    </w:p>
  </w:footnote>
  <w:footnote w:id="0">
    <w:p w14:paraId="683363CD">
      <w:pPr>
        <w:pStyle w:val="12"/>
        <w:rPr>
          <w:rFonts w:ascii="楷体" w:hAnsi="楷体" w:eastAsia="楷体" w:cs="楷体"/>
        </w:rPr>
      </w:pPr>
      <w:r>
        <w:rPr>
          <w:rStyle w:val="17"/>
          <w:rFonts w:hint="eastAsia" w:ascii="楷体" w:hAnsi="楷体" w:eastAsia="楷体" w:cs="楷体"/>
        </w:rPr>
        <w:footnoteRef/>
      </w:r>
      <w:r>
        <w:rPr>
          <w:rFonts w:hint="eastAsia" w:ascii="楷体" w:hAnsi="楷体" w:eastAsia="楷体" w:cs="楷体"/>
        </w:rPr>
        <w:t>按照“三证合一”或“五证合一”登记制度进行登记的，可不具备组织机构代码证。</w:t>
      </w:r>
    </w:p>
  </w:footnote>
  <w:footnote w:id="1">
    <w:p w14:paraId="688AA7F1">
      <w:pPr>
        <w:pStyle w:val="12"/>
        <w:rPr>
          <w:rFonts w:ascii="楷体" w:hAnsi="楷体" w:eastAsia="楷体" w:cs="楷体"/>
        </w:rPr>
      </w:pPr>
      <w:r>
        <w:rPr>
          <w:rStyle w:val="17"/>
          <w:rFonts w:hint="eastAsia" w:ascii="楷体" w:hAnsi="楷体" w:eastAsia="楷体" w:cs="楷体"/>
        </w:rPr>
        <w:footnoteRef/>
      </w:r>
      <w:r>
        <w:rPr>
          <w:rFonts w:hint="eastAsia" w:ascii="楷体" w:hAnsi="楷体" w:eastAsia="楷体" w:cs="楷体"/>
        </w:rPr>
        <w:t>如本项目招标由投标人按照招标人提供的书面工程量清单填写本合同各工程子目的单价、合价和总额价，则评标委员会按照本章第3.4.2项和第3.4.3项的规定对投标人的投标报价进行修正。如本项目招标由投标人按照招标人提供的工程量固化清单电子文件填写工程量清单，无须按照本章第3.4.2项和第3.4.3项的规定对投标报价进行修正，第3.4.2项至第3.4.4项内容不适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BB1137"/>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footnotePr>
    <w:numFmt w:val="decimalEnclosedCircleChinese"/>
    <w:numRestart w:val="eachPage"/>
    <w:footnote w:id="4"/>
    <w:footnote w:id="5"/>
  </w:foot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OWQ3ODgyNzM2NGM4NmQ1NzM3MGU2MTA0YmIwNDk4YTgifQ=="/>
  </w:docVars>
  <w:rsids>
    <w:rsidRoot w:val="009A2983"/>
    <w:rsid w:val="000D23E3"/>
    <w:rsid w:val="000F4E18"/>
    <w:rsid w:val="004B7924"/>
    <w:rsid w:val="004D5518"/>
    <w:rsid w:val="00726DA4"/>
    <w:rsid w:val="007E187F"/>
    <w:rsid w:val="009045BD"/>
    <w:rsid w:val="009A2983"/>
    <w:rsid w:val="00A403E2"/>
    <w:rsid w:val="00DA00B9"/>
    <w:rsid w:val="091A2D76"/>
    <w:rsid w:val="162651A6"/>
    <w:rsid w:val="1E5866DD"/>
    <w:rsid w:val="21654A68"/>
    <w:rsid w:val="21967041"/>
    <w:rsid w:val="22E67D38"/>
    <w:rsid w:val="31771119"/>
    <w:rsid w:val="31CB6F14"/>
    <w:rsid w:val="32CB7957"/>
    <w:rsid w:val="33FB7DDF"/>
    <w:rsid w:val="365E2B15"/>
    <w:rsid w:val="38A26A7B"/>
    <w:rsid w:val="47732390"/>
    <w:rsid w:val="510F4A72"/>
    <w:rsid w:val="581D5CC6"/>
    <w:rsid w:val="5B793214"/>
    <w:rsid w:val="5F3A53B0"/>
    <w:rsid w:val="61AB5BD3"/>
    <w:rsid w:val="61DE2022"/>
    <w:rsid w:val="623B02E3"/>
    <w:rsid w:val="678731FA"/>
    <w:rsid w:val="729E724D"/>
    <w:rsid w:val="74F55BA9"/>
    <w:rsid w:val="7A1268B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99"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link w:val="23"/>
    <w:qFormat/>
    <w:uiPriority w:val="9"/>
    <w:pPr>
      <w:keepNext/>
      <w:keepLines/>
      <w:spacing w:before="260" w:after="260" w:line="416" w:lineRule="auto"/>
      <w:outlineLvl w:val="1"/>
    </w:pPr>
    <w:rPr>
      <w:rFonts w:ascii="Cambria" w:hAnsi="Cambria"/>
      <w:b/>
      <w:bCs/>
      <w:kern w:val="0"/>
      <w:sz w:val="32"/>
      <w:szCs w:val="32"/>
    </w:rPr>
  </w:style>
  <w:style w:type="paragraph" w:styleId="3">
    <w:name w:val="heading 3"/>
    <w:basedOn w:val="1"/>
    <w:next w:val="1"/>
    <w:autoRedefine/>
    <w:qFormat/>
    <w:uiPriority w:val="9"/>
    <w:pPr>
      <w:keepNext/>
      <w:keepLines/>
      <w:spacing w:before="260" w:after="260" w:line="416" w:lineRule="auto"/>
      <w:outlineLvl w:val="2"/>
    </w:pPr>
    <w:rPr>
      <w:b/>
      <w:bCs/>
      <w:kern w:val="0"/>
      <w:sz w:val="32"/>
      <w:szCs w:val="32"/>
    </w:rPr>
  </w:style>
  <w:style w:type="paragraph" w:styleId="4">
    <w:name w:val="heading 4"/>
    <w:basedOn w:val="1"/>
    <w:next w:val="1"/>
    <w:qFormat/>
    <w:uiPriority w:val="9"/>
    <w:pPr>
      <w:tabs>
        <w:tab w:val="left" w:pos="315"/>
      </w:tabs>
      <w:spacing w:line="360" w:lineRule="auto"/>
      <w:outlineLvl w:val="3"/>
    </w:pPr>
    <w:rPr>
      <w:rFonts w:ascii="Cambria" w:hAnsi="Cambria"/>
      <w:b/>
      <w:bCs/>
      <w:sz w:val="24"/>
      <w:szCs w:val="28"/>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5">
    <w:name w:val="index 5"/>
    <w:basedOn w:val="1"/>
    <w:next w:val="1"/>
    <w:autoRedefine/>
    <w:qFormat/>
    <w:uiPriority w:val="0"/>
    <w:pPr>
      <w:adjustRightInd w:val="0"/>
      <w:snapToGrid w:val="0"/>
      <w:spacing w:line="360" w:lineRule="auto"/>
      <w:jc w:val="center"/>
    </w:pPr>
    <w:rPr>
      <w:rFonts w:ascii="宋体" w:hAnsi="宋体" w:cs="宋体"/>
      <w:bCs/>
      <w:kern w:val="0"/>
      <w:szCs w:val="21"/>
    </w:rPr>
  </w:style>
  <w:style w:type="paragraph" w:styleId="6">
    <w:name w:val="annotation text"/>
    <w:basedOn w:val="1"/>
    <w:qFormat/>
    <w:uiPriority w:val="0"/>
    <w:pPr>
      <w:jc w:val="left"/>
    </w:pPr>
  </w:style>
  <w:style w:type="paragraph" w:styleId="7">
    <w:name w:val="Body Text"/>
    <w:basedOn w:val="1"/>
    <w:qFormat/>
    <w:uiPriority w:val="0"/>
    <w:rPr>
      <w:rFonts w:ascii="Times New Roman" w:hAnsi="Times New Roman"/>
      <w:sz w:val="28"/>
      <w:szCs w:val="24"/>
    </w:rPr>
  </w:style>
  <w:style w:type="paragraph" w:styleId="8">
    <w:name w:val="Plain Text"/>
    <w:basedOn w:val="1"/>
    <w:qFormat/>
    <w:uiPriority w:val="0"/>
    <w:rPr>
      <w:rFonts w:ascii="宋体" w:hAnsi="Courier New" w:cs="Courier New"/>
      <w:szCs w:val="21"/>
    </w:rPr>
  </w:style>
  <w:style w:type="paragraph" w:styleId="9">
    <w:name w:val="Date"/>
    <w:basedOn w:val="1"/>
    <w:next w:val="1"/>
    <w:qFormat/>
    <w:uiPriority w:val="0"/>
    <w:pPr>
      <w:ind w:left="100" w:leftChars="2500"/>
    </w:pPr>
    <w:rPr>
      <w:szCs w:val="24"/>
    </w:rPr>
  </w:style>
  <w:style w:type="paragraph" w:styleId="10">
    <w:name w:val="footer"/>
    <w:basedOn w:val="1"/>
    <w:link w:val="22"/>
    <w:qFormat/>
    <w:uiPriority w:val="0"/>
    <w:pPr>
      <w:tabs>
        <w:tab w:val="center" w:pos="4153"/>
        <w:tab w:val="right" w:pos="8306"/>
      </w:tabs>
      <w:snapToGrid w:val="0"/>
      <w:jc w:val="left"/>
    </w:pPr>
    <w:rPr>
      <w:sz w:val="18"/>
      <w:szCs w:val="18"/>
    </w:rPr>
  </w:style>
  <w:style w:type="paragraph" w:styleId="11">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12">
    <w:name w:val="footnote text"/>
    <w:basedOn w:val="1"/>
    <w:unhideWhenUsed/>
    <w:qFormat/>
    <w:uiPriority w:val="0"/>
    <w:pPr>
      <w:snapToGrid w:val="0"/>
      <w:jc w:val="left"/>
    </w:pPr>
    <w:rPr>
      <w:kern w:val="0"/>
      <w:sz w:val="18"/>
      <w:szCs w:val="18"/>
    </w:rPr>
  </w:style>
  <w:style w:type="paragraph" w:styleId="13">
    <w:name w:val="Body Text Indent 3"/>
    <w:basedOn w:val="1"/>
    <w:qFormat/>
    <w:uiPriority w:val="99"/>
    <w:pPr>
      <w:spacing w:line="420" w:lineRule="exact"/>
      <w:ind w:firstLine="420" w:firstLineChars="200"/>
    </w:pPr>
    <w:rPr>
      <w:szCs w:val="24"/>
    </w:rPr>
  </w:style>
  <w:style w:type="table" w:styleId="15">
    <w:name w:val="Table Grid"/>
    <w:basedOn w:val="14"/>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otnote reference"/>
    <w:basedOn w:val="16"/>
    <w:qFormat/>
    <w:uiPriority w:val="0"/>
    <w:rPr>
      <w:vertAlign w:val="superscript"/>
    </w:rPr>
  </w:style>
  <w:style w:type="paragraph" w:customStyle="1" w:styleId="18">
    <w:name w:val="样式3"/>
    <w:basedOn w:val="1"/>
    <w:autoRedefine/>
    <w:qFormat/>
    <w:uiPriority w:val="0"/>
    <w:pPr>
      <w:keepNext/>
      <w:keepLines/>
      <w:spacing w:line="400" w:lineRule="exact"/>
      <w:outlineLvl w:val="0"/>
    </w:pPr>
    <w:rPr>
      <w:b/>
      <w:bCs/>
      <w:kern w:val="44"/>
      <w:sz w:val="28"/>
      <w:szCs w:val="44"/>
    </w:rPr>
  </w:style>
  <w:style w:type="paragraph" w:customStyle="1" w:styleId="19">
    <w:name w:val="Default"/>
    <w:next w:val="9"/>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0">
    <w:name w:val="正文文本 (14)"/>
    <w:basedOn w:val="1"/>
    <w:autoRedefine/>
    <w:qFormat/>
    <w:uiPriority w:val="0"/>
    <w:pPr>
      <w:shd w:val="clear" w:color="auto" w:fill="FFFFFF"/>
      <w:spacing w:before="300" w:line="300" w:lineRule="exact"/>
      <w:jc w:val="distribute"/>
    </w:pPr>
    <w:rPr>
      <w:rFonts w:ascii="宋体" w:hAnsi="宋体"/>
      <w:kern w:val="0"/>
      <w:sz w:val="18"/>
      <w:szCs w:val="18"/>
    </w:rPr>
  </w:style>
  <w:style w:type="character" w:customStyle="1" w:styleId="21">
    <w:name w:val="页眉 Char"/>
    <w:basedOn w:val="16"/>
    <w:link w:val="11"/>
    <w:qFormat/>
    <w:uiPriority w:val="0"/>
    <w:rPr>
      <w:rFonts w:ascii="Times New Roman" w:hAnsi="Times New Roman" w:eastAsia="宋体" w:cs="Times New Roman"/>
      <w:kern w:val="2"/>
      <w:sz w:val="18"/>
      <w:szCs w:val="18"/>
    </w:rPr>
  </w:style>
  <w:style w:type="character" w:customStyle="1" w:styleId="22">
    <w:name w:val="页脚 Char"/>
    <w:basedOn w:val="16"/>
    <w:link w:val="10"/>
    <w:qFormat/>
    <w:uiPriority w:val="0"/>
    <w:rPr>
      <w:rFonts w:ascii="Times New Roman" w:hAnsi="Times New Roman" w:eastAsia="宋体" w:cs="Times New Roman"/>
      <w:kern w:val="2"/>
      <w:sz w:val="18"/>
      <w:szCs w:val="18"/>
    </w:rPr>
  </w:style>
  <w:style w:type="character" w:customStyle="1" w:styleId="23">
    <w:name w:val="标题 2 Char"/>
    <w:link w:val="2"/>
    <w:qFormat/>
    <w:uiPriority w:val="1"/>
    <w:rPr>
      <w:rFonts w:ascii="Cambria" w:hAnsi="Cambria"/>
      <w:b/>
      <w:bCs/>
      <w:kern w:val="0"/>
      <w:sz w:val="32"/>
      <w:szCs w:val="32"/>
    </w:rPr>
  </w:style>
  <w:style w:type="paragraph" w:customStyle="1" w:styleId="24">
    <w:name w:val="Table Paragraph"/>
    <w:basedOn w:val="1"/>
    <w:qFormat/>
    <w:uiPriority w:val="99"/>
    <w:pPr>
      <w:autoSpaceDE w:val="0"/>
      <w:autoSpaceDN w:val="0"/>
      <w:jc w:val="left"/>
    </w:pPr>
    <w:rPr>
      <w:rFonts w:ascii="宋体" w:hAnsi="宋体" w:cs="宋体"/>
      <w:kern w:val="0"/>
      <w:sz w:val="22"/>
      <w:lang w:val="zh-CN" w:bidi="zh-C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13</Pages>
  <Words>4190</Words>
  <Characters>5898</Characters>
  <Lines>35</Lines>
  <Paragraphs>10</Paragraphs>
  <TotalTime>4</TotalTime>
  <ScaleCrop>false</ScaleCrop>
  <LinksUpToDate>false</LinksUpToDate>
  <CharactersWithSpaces>5915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2023-04-17T02:02:00Z</dcterms:created>
  <dc:creator>Administrator</dc:creator>
  <cp:lastModifiedBy>Administrator</cp:lastModifiedBy>
  <cp:lastPrinted>2026-03-24T01:52:00Z</cp:lastPrinted>
  <dcterms:modified xsi:type="dcterms:W3CDTF">2026-05-07T04:16:32Z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1B3AA97093C046E08A2AF35C2967AE13_12</vt:lpwstr>
  </property>
  <property fmtid="{D5CDD505-2E9C-101B-9397-08002B2CF9AE}" pid="4" name="KSOTemplateDocerSaveRecord">
    <vt:lpwstr>eyJoZGlkIjoiNWU3YzAwNDA5ZTliYzc5OWJkMWQ4NzQ4NDQ1NmU3ZWEiLCJ1c2VySWQiOiIxMjY3NTMzMzQ2In0=</vt:lpwstr>
  </property>
</Properties>
</file>