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E6D3C">
      <w:pPr>
        <w:adjustRightInd w:val="0"/>
        <w:snapToGrid w:val="0"/>
        <w:jc w:val="center"/>
        <w:rPr>
          <w:rFonts w:hint="eastAsia" w:ascii="黑体" w:hAnsi="黑体" w:eastAsia="黑体" w:cs="Times New Roman"/>
          <w:bCs/>
          <w:color w:val="auto"/>
          <w:sz w:val="24"/>
          <w:szCs w:val="24"/>
        </w:rPr>
      </w:pPr>
      <w:r>
        <w:rPr>
          <w:rFonts w:hint="eastAsia" w:ascii="黑体" w:hAnsi="黑体" w:eastAsia="黑体" w:cs="Times New Roman"/>
          <w:bCs/>
          <w:color w:val="auto"/>
          <w:sz w:val="24"/>
          <w:szCs w:val="24"/>
        </w:rPr>
        <w:t>长春都市圈环线高速公路伊通至公主岭至农安、白山至临江高速公路、抚松至长白国家高速公路松江河至长白段三条高速项目水土保持设施验收和竣工环境保护验收项目</w:t>
      </w:r>
    </w:p>
    <w:p w14:paraId="2CD02A5D">
      <w:pPr>
        <w:adjustRightInd w:val="0"/>
        <w:snapToGrid w:val="0"/>
        <w:jc w:val="center"/>
        <w:rPr>
          <w:rFonts w:ascii="黑体" w:hAnsi="黑体" w:eastAsia="黑体" w:cs="Times New Roman"/>
          <w:bCs/>
          <w:color w:val="auto"/>
          <w:sz w:val="24"/>
          <w:szCs w:val="24"/>
        </w:rPr>
      </w:pPr>
      <w:r>
        <w:rPr>
          <w:rFonts w:ascii="黑体" w:hAnsi="黑体" w:eastAsia="黑体" w:cs="Times New Roman"/>
          <w:bCs/>
          <w:color w:val="auto"/>
          <w:sz w:val="24"/>
          <w:szCs w:val="24"/>
        </w:rPr>
        <w:t>招标</w:t>
      </w:r>
      <w:r>
        <w:rPr>
          <w:rFonts w:hint="eastAsia" w:ascii="黑体" w:hAnsi="黑体" w:eastAsia="黑体" w:cs="Times New Roman"/>
          <w:bCs/>
          <w:color w:val="auto"/>
          <w:sz w:val="24"/>
          <w:szCs w:val="24"/>
        </w:rPr>
        <w:t>文件关键内容</w:t>
      </w:r>
    </w:p>
    <w:p w14:paraId="48F5F871">
      <w:pPr>
        <w:snapToGrid w:val="0"/>
        <w:jc w:val="center"/>
        <w:rPr>
          <w:rFonts w:cs="Times New Roman"/>
          <w:b/>
          <w:color w:val="auto"/>
          <w:sz w:val="18"/>
        </w:rPr>
      </w:pPr>
    </w:p>
    <w:p w14:paraId="1F48EBE8">
      <w:pPr>
        <w:keepNext/>
        <w:keepLines/>
        <w:pageBreakBefore w:val="0"/>
        <w:kinsoku/>
        <w:wordWrap/>
        <w:overflowPunct/>
        <w:topLinePunct w:val="0"/>
        <w:bidi w:val="0"/>
        <w:adjustRightInd w:val="0"/>
        <w:snapToGrid w:val="0"/>
        <w:spacing w:line="240" w:lineRule="exact"/>
        <w:textAlignment w:val="auto"/>
        <w:outlineLvl w:val="3"/>
        <w:rPr>
          <w:rFonts w:hint="eastAsia" w:ascii="宋体" w:hAnsi="宋体" w:eastAsia="宋体" w:cs="宋体"/>
          <w:bCs/>
          <w:color w:val="auto"/>
          <w:sz w:val="18"/>
          <w:szCs w:val="18"/>
        </w:rPr>
      </w:pPr>
      <w:bookmarkStart w:id="0" w:name="_Toc184704554"/>
      <w:r>
        <w:rPr>
          <w:rFonts w:hint="eastAsia" w:ascii="宋体" w:hAnsi="宋体" w:eastAsia="宋体" w:cs="宋体"/>
          <w:bCs/>
          <w:color w:val="auto"/>
          <w:sz w:val="18"/>
          <w:szCs w:val="18"/>
        </w:rPr>
        <w:t>一、项目概况与招标范围</w:t>
      </w:r>
      <w:bookmarkEnd w:id="0"/>
    </w:p>
    <w:p w14:paraId="4B8EE97D">
      <w:pPr>
        <w:pageBreakBefore w:val="0"/>
        <w:kinsoku/>
        <w:wordWrap/>
        <w:overflowPunct/>
        <w:topLinePunct w:val="0"/>
        <w:bidi w:val="0"/>
        <w:adjustRightInd w:val="0"/>
        <w:snapToGrid w:val="0"/>
        <w:spacing w:line="240" w:lineRule="exact"/>
        <w:ind w:firstLine="360" w:firstLineChars="200"/>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详见招标公告。</w:t>
      </w:r>
    </w:p>
    <w:p w14:paraId="44A041D1">
      <w:pPr>
        <w:keepNext/>
        <w:keepLines/>
        <w:pageBreakBefore w:val="0"/>
        <w:kinsoku/>
        <w:wordWrap/>
        <w:overflowPunct/>
        <w:topLinePunct w:val="0"/>
        <w:bidi w:val="0"/>
        <w:adjustRightInd w:val="0"/>
        <w:snapToGrid w:val="0"/>
        <w:spacing w:line="240" w:lineRule="exact"/>
        <w:textAlignment w:val="auto"/>
        <w:outlineLvl w:val="3"/>
        <w:rPr>
          <w:rFonts w:hint="eastAsia" w:ascii="宋体" w:hAnsi="宋体" w:eastAsia="宋体" w:cs="宋体"/>
          <w:bCs/>
          <w:color w:val="auto"/>
          <w:sz w:val="18"/>
          <w:szCs w:val="18"/>
        </w:rPr>
      </w:pPr>
      <w:r>
        <w:rPr>
          <w:rFonts w:hint="eastAsia" w:ascii="宋体" w:hAnsi="宋体" w:eastAsia="宋体" w:cs="宋体"/>
          <w:bCs/>
          <w:color w:val="auto"/>
          <w:sz w:val="18"/>
          <w:szCs w:val="18"/>
        </w:rPr>
        <w:t>二、资格条件要求</w:t>
      </w:r>
    </w:p>
    <w:p w14:paraId="5309CDDC">
      <w:pPr>
        <w:pageBreakBefore w:val="0"/>
        <w:kinsoku/>
        <w:wordWrap/>
        <w:overflowPunct/>
        <w:topLinePunct w:val="0"/>
        <w:bidi w:val="0"/>
        <w:adjustRightInd w:val="0"/>
        <w:snapToGrid w:val="0"/>
        <w:spacing w:line="240" w:lineRule="exact"/>
        <w:ind w:firstLine="361" w:firstLineChars="200"/>
        <w:textAlignment w:val="auto"/>
        <w:rPr>
          <w:rFonts w:hint="eastAsia" w:ascii="宋体" w:hAnsi="宋体" w:eastAsia="宋体" w:cs="宋体"/>
          <w:b/>
          <w:color w:val="auto"/>
          <w:sz w:val="18"/>
          <w:szCs w:val="18"/>
        </w:rPr>
      </w:pPr>
      <w:r>
        <w:rPr>
          <w:rFonts w:hint="eastAsia" w:ascii="宋体" w:hAnsi="宋体" w:eastAsia="宋体" w:cs="宋体"/>
          <w:b/>
          <w:color w:val="auto"/>
          <w:sz w:val="18"/>
          <w:szCs w:val="18"/>
        </w:rPr>
        <w:t>投标人须知前附表（投标人资格要求部分）</w:t>
      </w:r>
    </w:p>
    <w:p w14:paraId="5DC980F9">
      <w:pPr>
        <w:pageBreakBefore w:val="0"/>
        <w:kinsoku/>
        <w:wordWrap/>
        <w:overflowPunct/>
        <w:topLinePunct w:val="0"/>
        <w:bidi w:val="0"/>
        <w:adjustRightInd w:val="0"/>
        <w:snapToGrid w:val="0"/>
        <w:spacing w:line="240" w:lineRule="exact"/>
        <w:ind w:firstLine="361" w:firstLineChars="200"/>
        <w:textAlignment w:val="auto"/>
        <w:rPr>
          <w:rFonts w:hint="eastAsia" w:ascii="宋体" w:hAnsi="宋体" w:eastAsia="宋体" w:cs="宋体"/>
          <w:b/>
          <w:color w:val="auto"/>
          <w:sz w:val="18"/>
          <w:szCs w:val="18"/>
        </w:rPr>
      </w:pPr>
    </w:p>
    <w:tbl>
      <w:tblPr>
        <w:tblStyle w:val="12"/>
        <w:tblW w:w="10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27"/>
        <w:gridCol w:w="2367"/>
        <w:gridCol w:w="6604"/>
      </w:tblGrid>
      <w:tr w14:paraId="01F42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6" w:hRule="atLeast"/>
          <w:jc w:val="center"/>
        </w:trPr>
        <w:tc>
          <w:tcPr>
            <w:tcW w:w="1127" w:type="dxa"/>
            <w:tcBorders>
              <w:tl2br w:val="nil"/>
              <w:tr2bl w:val="nil"/>
            </w:tcBorders>
            <w:vAlign w:val="center"/>
          </w:tcPr>
          <w:p w14:paraId="3E631B4E">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vertAlign w:val="superscript"/>
              </w:rPr>
            </w:pPr>
            <w:r>
              <w:rPr>
                <w:rFonts w:hint="eastAsia" w:ascii="宋体" w:hAnsi="宋体" w:eastAsia="宋体" w:cs="宋体"/>
                <w:sz w:val="18"/>
                <w:szCs w:val="18"/>
                <w:highlight w:val="none"/>
              </w:rPr>
              <w:t>1.4.1</w:t>
            </w:r>
          </w:p>
        </w:tc>
        <w:tc>
          <w:tcPr>
            <w:tcW w:w="2367" w:type="dxa"/>
            <w:tcBorders>
              <w:tl2br w:val="nil"/>
              <w:tr2bl w:val="nil"/>
            </w:tcBorders>
            <w:vAlign w:val="center"/>
          </w:tcPr>
          <w:p w14:paraId="7B1B4F6E">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投标人资质条件、能力和信誉</w:t>
            </w:r>
          </w:p>
        </w:tc>
        <w:tc>
          <w:tcPr>
            <w:tcW w:w="6604" w:type="dxa"/>
            <w:tcBorders>
              <w:tl2br w:val="nil"/>
              <w:tr2bl w:val="nil"/>
            </w:tcBorders>
            <w:vAlign w:val="center"/>
          </w:tcPr>
          <w:p w14:paraId="5E6DDF1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资质要求：见附录1</w:t>
            </w:r>
          </w:p>
          <w:p w14:paraId="7EE0FB72">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业绩要求：见附录2</w:t>
            </w:r>
          </w:p>
          <w:p w14:paraId="428B3744">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项目负责人要求：</w:t>
            </w:r>
            <w:r>
              <w:rPr>
                <w:rFonts w:hint="eastAsia" w:ascii="宋体" w:hAnsi="宋体" w:eastAsia="宋体" w:cs="宋体"/>
                <w:sz w:val="18"/>
                <w:szCs w:val="18"/>
                <w:highlight w:val="none"/>
              </w:rPr>
              <w:t>见附录</w:t>
            </w:r>
            <w:r>
              <w:rPr>
                <w:rFonts w:hint="eastAsia" w:ascii="宋体" w:hAnsi="宋体" w:eastAsia="宋体" w:cs="宋体"/>
                <w:sz w:val="18"/>
                <w:szCs w:val="18"/>
                <w:highlight w:val="none"/>
                <w:lang w:val="en-US" w:eastAsia="zh-CN"/>
              </w:rPr>
              <w:t>3</w:t>
            </w:r>
          </w:p>
          <w:p w14:paraId="034B36C7">
            <w:pPr>
              <w:keepNext w:val="0"/>
              <w:keepLines w:val="0"/>
              <w:pageBreakBefore w:val="0"/>
              <w:widowControl w:val="0"/>
              <w:kinsoku/>
              <w:wordWrap/>
              <w:overflowPunct/>
              <w:topLinePunct w:val="0"/>
              <w:autoSpaceDE/>
              <w:autoSpaceDN/>
              <w:bidi w:val="0"/>
              <w:adjustRightInd w:val="0"/>
              <w:snapToGrid w:val="0"/>
              <w:spacing w:line="360" w:lineRule="exact"/>
              <w:ind w:firstLine="0" w:firstLineChars="0"/>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其他主要</w:t>
            </w:r>
            <w:r>
              <w:rPr>
                <w:rFonts w:hint="eastAsia" w:ascii="宋体" w:hAnsi="宋体" w:eastAsia="宋体" w:cs="宋体"/>
                <w:sz w:val="18"/>
                <w:szCs w:val="18"/>
                <w:highlight w:val="none"/>
              </w:rPr>
              <w:t>人员要求：见附录</w:t>
            </w:r>
            <w:r>
              <w:rPr>
                <w:rFonts w:hint="eastAsia" w:ascii="宋体" w:hAnsi="宋体" w:eastAsia="宋体" w:cs="宋体"/>
                <w:sz w:val="18"/>
                <w:szCs w:val="18"/>
                <w:highlight w:val="none"/>
                <w:lang w:val="en-US" w:eastAsia="zh-CN"/>
              </w:rPr>
              <w:t>4</w:t>
            </w:r>
          </w:p>
          <w:p w14:paraId="7374D593">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信誉要求：见附录</w:t>
            </w:r>
            <w:r>
              <w:rPr>
                <w:rFonts w:hint="eastAsia" w:ascii="宋体" w:hAnsi="宋体" w:eastAsia="宋体" w:cs="宋体"/>
                <w:sz w:val="18"/>
                <w:szCs w:val="18"/>
                <w:highlight w:val="none"/>
                <w:lang w:val="en-US" w:eastAsia="zh-CN"/>
              </w:rPr>
              <w:t>5</w:t>
            </w:r>
          </w:p>
        </w:tc>
      </w:tr>
      <w:tr w14:paraId="2692B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127" w:type="dxa"/>
            <w:tcBorders>
              <w:tl2br w:val="nil"/>
              <w:tr2bl w:val="nil"/>
            </w:tcBorders>
            <w:vAlign w:val="center"/>
          </w:tcPr>
          <w:p w14:paraId="0D7CC1D9">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1.4.2</w:t>
            </w:r>
          </w:p>
        </w:tc>
        <w:tc>
          <w:tcPr>
            <w:tcW w:w="2367" w:type="dxa"/>
            <w:tcBorders>
              <w:tl2br w:val="nil"/>
              <w:tr2bl w:val="nil"/>
            </w:tcBorders>
            <w:vAlign w:val="center"/>
          </w:tcPr>
          <w:p w14:paraId="06256280">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是否接受联合体投标</w:t>
            </w:r>
          </w:p>
        </w:tc>
        <w:tc>
          <w:tcPr>
            <w:tcW w:w="6604" w:type="dxa"/>
            <w:tcBorders>
              <w:tl2br w:val="nil"/>
              <w:tr2bl w:val="nil"/>
            </w:tcBorders>
            <w:vAlign w:val="center"/>
          </w:tcPr>
          <w:p w14:paraId="3DEC1FF5">
            <w:pPr>
              <w:pageBreakBefore w:val="0"/>
              <w:kinsoku/>
              <w:overflowPunct/>
              <w:topLinePunct w:val="0"/>
              <w:bidi w:val="0"/>
              <w:adjustRightInd w:val="0"/>
              <w:snapToGrid w:val="0"/>
              <w:spacing w:line="240" w:lineRule="auto"/>
              <w:ind w:right="0" w:rightChars="0" w:firstLine="0" w:firstLineChars="0"/>
              <w:textAlignment w:val="auto"/>
              <w:rPr>
                <w:rFonts w:hint="eastAsia" w:ascii="宋体" w:hAnsi="宋体" w:eastAsia="宋体" w:cs="宋体"/>
                <w:sz w:val="18"/>
                <w:szCs w:val="18"/>
                <w:highlight w:val="none"/>
              </w:rPr>
            </w:pPr>
            <w:r>
              <w:rPr>
                <w:rFonts w:hint="eastAsia" w:ascii="宋体" w:hAnsi="宋体" w:eastAsia="宋体" w:cs="宋体"/>
                <w:sz w:val="18"/>
                <w:szCs w:val="18"/>
                <w:lang w:eastAsia="zh-CN"/>
              </w:rPr>
              <w:t>不接受</w:t>
            </w:r>
          </w:p>
        </w:tc>
      </w:tr>
      <w:tr w14:paraId="74290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1127" w:type="dxa"/>
            <w:tcBorders>
              <w:tl2br w:val="nil"/>
              <w:tr2bl w:val="nil"/>
            </w:tcBorders>
            <w:vAlign w:val="center"/>
          </w:tcPr>
          <w:p w14:paraId="6699FC62">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1.4.3</w:t>
            </w:r>
          </w:p>
        </w:tc>
        <w:tc>
          <w:tcPr>
            <w:tcW w:w="2367" w:type="dxa"/>
            <w:tcBorders>
              <w:tl2br w:val="nil"/>
              <w:tr2bl w:val="nil"/>
            </w:tcBorders>
            <w:vAlign w:val="center"/>
          </w:tcPr>
          <w:p w14:paraId="637CDFC5">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投标人不得存在的其他关联情形</w:t>
            </w:r>
          </w:p>
        </w:tc>
        <w:tc>
          <w:tcPr>
            <w:tcW w:w="6604" w:type="dxa"/>
            <w:tcBorders>
              <w:tl2br w:val="nil"/>
              <w:tr2bl w:val="nil"/>
            </w:tcBorders>
            <w:vAlign w:val="center"/>
          </w:tcPr>
          <w:p w14:paraId="48A16EEB">
            <w:pPr>
              <w:pageBreakBefore w:val="0"/>
              <w:kinsoku/>
              <w:overflowPunct/>
              <w:topLinePunct w:val="0"/>
              <w:bidi w:val="0"/>
              <w:adjustRightInd w:val="0"/>
              <w:snapToGrid w:val="0"/>
              <w:spacing w:line="240" w:lineRule="auto"/>
              <w:ind w:right="0" w:rightChars="0" w:firstLine="0" w:firstLineChars="0"/>
              <w:textAlignment w:val="auto"/>
              <w:rPr>
                <w:rFonts w:hint="eastAsia" w:ascii="宋体" w:hAnsi="宋体" w:eastAsia="宋体" w:cs="宋体"/>
                <w:sz w:val="18"/>
                <w:szCs w:val="18"/>
                <w:highlight w:val="none"/>
                <w:lang w:val="zh-CN"/>
              </w:rPr>
            </w:pPr>
            <w:r>
              <w:rPr>
                <w:rFonts w:hint="eastAsia" w:ascii="宋体" w:hAnsi="宋体" w:eastAsia="宋体" w:cs="宋体"/>
                <w:sz w:val="18"/>
                <w:szCs w:val="18"/>
              </w:rPr>
              <w:t>/</w:t>
            </w:r>
          </w:p>
        </w:tc>
      </w:tr>
      <w:tr w14:paraId="2E213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8" w:hRule="atLeast"/>
          <w:jc w:val="center"/>
        </w:trPr>
        <w:tc>
          <w:tcPr>
            <w:tcW w:w="1127" w:type="dxa"/>
            <w:tcBorders>
              <w:tl2br w:val="nil"/>
              <w:tr2bl w:val="nil"/>
            </w:tcBorders>
            <w:vAlign w:val="center"/>
          </w:tcPr>
          <w:p w14:paraId="65B8AC45">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1.4.4</w:t>
            </w:r>
          </w:p>
        </w:tc>
        <w:tc>
          <w:tcPr>
            <w:tcW w:w="2367" w:type="dxa"/>
            <w:tcBorders>
              <w:tl2br w:val="nil"/>
              <w:tr2bl w:val="nil"/>
            </w:tcBorders>
            <w:vAlign w:val="center"/>
          </w:tcPr>
          <w:p w14:paraId="78B5B97E">
            <w:pPr>
              <w:pageBreakBefore w:val="0"/>
              <w:kinsoku/>
              <w:overflowPunct/>
              <w:topLinePunct w:val="0"/>
              <w:bidi w:val="0"/>
              <w:adjustRightInd w:val="0"/>
              <w:snapToGrid w:val="0"/>
              <w:spacing w:line="240" w:lineRule="auto"/>
              <w:ind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rPr>
              <w:t>投标人不得存在的其他不良状况或不良信用记录</w:t>
            </w:r>
          </w:p>
        </w:tc>
        <w:tc>
          <w:tcPr>
            <w:tcW w:w="6604" w:type="dxa"/>
            <w:tcBorders>
              <w:tl2br w:val="nil"/>
              <w:tr2bl w:val="nil"/>
            </w:tcBorders>
            <w:vAlign w:val="center"/>
          </w:tcPr>
          <w:p w14:paraId="246E14D0">
            <w:pPr>
              <w:pageBreakBefore w:val="0"/>
              <w:kinsoku/>
              <w:overflowPunct/>
              <w:topLinePunct w:val="0"/>
              <w:bidi w:val="0"/>
              <w:adjustRightInd w:val="0"/>
              <w:snapToGrid w:val="0"/>
              <w:spacing w:line="240" w:lineRule="auto"/>
              <w:ind w:right="0" w:rightChars="0" w:firstLine="0" w:firstLineChars="0"/>
              <w:textAlignment w:val="auto"/>
              <w:rPr>
                <w:rFonts w:hint="eastAsia" w:ascii="宋体" w:hAnsi="宋体" w:eastAsia="宋体" w:cs="宋体"/>
                <w:sz w:val="18"/>
                <w:szCs w:val="18"/>
                <w:highlight w:val="none"/>
              </w:rPr>
            </w:pPr>
            <w:r>
              <w:rPr>
                <w:rFonts w:hint="eastAsia" w:ascii="宋体" w:hAnsi="宋体" w:eastAsia="宋体" w:cs="宋体"/>
                <w:sz w:val="18"/>
                <w:szCs w:val="18"/>
              </w:rPr>
              <w:t>/</w:t>
            </w:r>
          </w:p>
        </w:tc>
      </w:tr>
    </w:tbl>
    <w:p w14:paraId="6C80E55F">
      <w:pPr>
        <w:pageBreakBefore w:val="0"/>
        <w:kinsoku/>
        <w:wordWrap/>
        <w:overflowPunct/>
        <w:topLinePunct w:val="0"/>
        <w:bidi w:val="0"/>
        <w:adjustRightInd w:val="0"/>
        <w:snapToGrid w:val="0"/>
        <w:spacing w:line="240" w:lineRule="exact"/>
        <w:ind w:firstLine="361" w:firstLineChars="200"/>
        <w:textAlignment w:val="auto"/>
        <w:rPr>
          <w:rFonts w:hint="eastAsia" w:ascii="宋体" w:hAnsi="宋体" w:eastAsia="宋体" w:cs="宋体"/>
          <w:b/>
          <w:color w:val="auto"/>
          <w:sz w:val="18"/>
          <w:szCs w:val="18"/>
        </w:rPr>
      </w:pPr>
    </w:p>
    <w:p w14:paraId="1F25BA93">
      <w:pPr>
        <w:pageBreakBefore w:val="0"/>
        <w:shd w:val="clear"/>
        <w:kinsoku/>
        <w:overflowPunct/>
        <w:topLinePunct w:val="0"/>
        <w:bidi w:val="0"/>
        <w:adjustRightInd w:val="0"/>
        <w:snapToGrid w:val="0"/>
        <w:spacing w:line="240" w:lineRule="auto"/>
        <w:ind w:right="0" w:firstLine="0" w:firstLineChars="0"/>
        <w:jc w:val="center"/>
        <w:textAlignment w:val="auto"/>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附录1  资格审查条件（资质最低要求）</w:t>
      </w:r>
    </w:p>
    <w:tbl>
      <w:tblPr>
        <w:tblStyle w:val="12"/>
        <w:tblW w:w="5114" w:type="pct"/>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8574"/>
      </w:tblGrid>
      <w:tr w14:paraId="354F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1" w:type="pct"/>
            <w:noWrap w:val="0"/>
            <w:vAlign w:val="center"/>
          </w:tcPr>
          <w:p w14:paraId="0EF156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标段</w:t>
            </w:r>
          </w:p>
        </w:tc>
        <w:tc>
          <w:tcPr>
            <w:tcW w:w="4388" w:type="pct"/>
            <w:noWrap w:val="0"/>
            <w:vAlign w:val="center"/>
          </w:tcPr>
          <w:p w14:paraId="0F397A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资质等级要求</w:t>
            </w:r>
          </w:p>
        </w:tc>
      </w:tr>
      <w:tr w14:paraId="0E12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11" w:type="pct"/>
            <w:noWrap w:val="0"/>
            <w:vAlign w:val="center"/>
          </w:tcPr>
          <w:p w14:paraId="1E8E6D1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SBYS01</w:t>
            </w:r>
          </w:p>
        </w:tc>
        <w:tc>
          <w:tcPr>
            <w:tcW w:w="4388" w:type="pct"/>
            <w:noWrap w:val="0"/>
            <w:vAlign w:val="center"/>
          </w:tcPr>
          <w:p w14:paraId="7AA60D9C">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投标人须具备工商行政管理部门核发的企业法人营业执照或事业单位法人证书，并在人员、设备方面具有相应的服务能力。承担西环项目、白临项目、松长项目三条高速公路水土保持方案技术评审、水土保持监测、水土保持监理工作的单位不得参加本标段投标。</w:t>
            </w:r>
          </w:p>
        </w:tc>
      </w:tr>
      <w:tr w14:paraId="5D09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611" w:type="pct"/>
            <w:noWrap w:val="0"/>
            <w:vAlign w:val="center"/>
          </w:tcPr>
          <w:p w14:paraId="1274C70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HBYS02</w:t>
            </w:r>
          </w:p>
        </w:tc>
        <w:tc>
          <w:tcPr>
            <w:tcW w:w="4388" w:type="pct"/>
            <w:noWrap w:val="0"/>
            <w:vAlign w:val="center"/>
          </w:tcPr>
          <w:p w14:paraId="4E03226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投标人须具备工商行政管理部门核发的企业法人营业执照或事业单位法人证书，并在人员、设备方面具有相应的服务能力。</w:t>
            </w:r>
          </w:p>
        </w:tc>
      </w:tr>
    </w:tbl>
    <w:p w14:paraId="099A1436">
      <w:pPr>
        <w:ind w:firstLine="0" w:firstLineChars="0"/>
        <w:jc w:val="center"/>
        <w:rPr>
          <w:rFonts w:hint="eastAsia" w:ascii="宋体" w:hAnsi="宋体" w:eastAsia="宋体" w:cs="宋体"/>
          <w:b/>
          <w:bCs/>
          <w:sz w:val="18"/>
          <w:szCs w:val="18"/>
        </w:rPr>
      </w:pPr>
    </w:p>
    <w:p w14:paraId="71E71D92">
      <w:pPr>
        <w:ind w:firstLine="422"/>
        <w:jc w:val="center"/>
        <w:rPr>
          <w:rFonts w:hint="eastAsia" w:ascii="宋体" w:hAnsi="宋体" w:eastAsia="宋体" w:cs="宋体"/>
          <w:b/>
          <w:bCs/>
          <w:sz w:val="18"/>
          <w:szCs w:val="18"/>
        </w:rPr>
      </w:pPr>
      <w:bookmarkStart w:id="1" w:name="_Toc423594219"/>
      <w:bookmarkStart w:id="2" w:name="_Toc327432507"/>
      <w:r>
        <w:rPr>
          <w:rFonts w:hint="eastAsia" w:ascii="宋体" w:hAnsi="宋体" w:eastAsia="宋体" w:cs="宋体"/>
          <w:b/>
          <w:bCs/>
          <w:sz w:val="18"/>
          <w:szCs w:val="18"/>
        </w:rPr>
        <w:t>附录2  资格审查条件（业绩最低要求）</w:t>
      </w:r>
      <w:bookmarkEnd w:id="1"/>
      <w:bookmarkEnd w:id="2"/>
    </w:p>
    <w:tbl>
      <w:tblPr>
        <w:tblStyle w:val="12"/>
        <w:tblW w:w="51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8992"/>
      </w:tblGrid>
      <w:tr w14:paraId="0F2F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 w:type="pct"/>
            <w:noWrap w:val="0"/>
            <w:vAlign w:val="center"/>
          </w:tcPr>
          <w:p w14:paraId="18878CB2">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标段</w:t>
            </w:r>
          </w:p>
        </w:tc>
        <w:tc>
          <w:tcPr>
            <w:tcW w:w="4569" w:type="pct"/>
            <w:noWrap w:val="0"/>
            <w:vAlign w:val="center"/>
          </w:tcPr>
          <w:p w14:paraId="0DA36CAC">
            <w:pPr>
              <w:keepNext w:val="0"/>
              <w:keepLines w:val="0"/>
              <w:pageBreakBefore w:val="0"/>
              <w:widowControl w:val="0"/>
              <w:kinsoku/>
              <w:wordWrap/>
              <w:overflowPunct/>
              <w:topLinePunct w:val="0"/>
              <w:bidi w:val="0"/>
              <w:snapToGrid/>
              <w:spacing w:line="240" w:lineRule="auto"/>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业绩要求</w:t>
            </w:r>
          </w:p>
        </w:tc>
      </w:tr>
      <w:tr w14:paraId="25ADE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430" w:type="pct"/>
            <w:noWrap w:val="0"/>
            <w:vAlign w:val="center"/>
          </w:tcPr>
          <w:p w14:paraId="7157742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highlight w:val="none"/>
                <w:lang w:val="en-US" w:eastAsia="zh-CN"/>
              </w:rPr>
              <w:t>SBYS01</w:t>
            </w:r>
          </w:p>
        </w:tc>
        <w:tc>
          <w:tcPr>
            <w:tcW w:w="4569" w:type="pct"/>
            <w:noWrap w:val="0"/>
            <w:vAlign w:val="center"/>
          </w:tcPr>
          <w:p w14:paraId="37A25D6A">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2021年1月1日后（以合同签订时间为准），投标人应完成过1项公路工程水土保持</w:t>
            </w:r>
            <w:r>
              <w:rPr>
                <w:rFonts w:hint="eastAsia" w:ascii="宋体" w:hAnsi="宋体" w:eastAsia="宋体" w:cs="宋体"/>
                <w:sz w:val="18"/>
                <w:szCs w:val="18"/>
                <w:lang w:eastAsia="zh-CN"/>
              </w:rPr>
              <w:t>设施</w:t>
            </w:r>
            <w:r>
              <w:rPr>
                <w:rFonts w:hint="eastAsia" w:ascii="宋体" w:hAnsi="宋体" w:eastAsia="宋体" w:cs="宋体"/>
                <w:sz w:val="18"/>
                <w:szCs w:val="18"/>
              </w:rPr>
              <w:t>验收类似业绩。</w:t>
            </w:r>
          </w:p>
        </w:tc>
      </w:tr>
      <w:tr w14:paraId="7BE7A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430" w:type="pct"/>
            <w:noWrap w:val="0"/>
            <w:vAlign w:val="center"/>
          </w:tcPr>
          <w:p w14:paraId="333CEE0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HBYS02</w:t>
            </w:r>
          </w:p>
        </w:tc>
        <w:tc>
          <w:tcPr>
            <w:tcW w:w="4569" w:type="pct"/>
            <w:noWrap w:val="0"/>
            <w:vAlign w:val="center"/>
          </w:tcPr>
          <w:p w14:paraId="294C54B4">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2021年1月1日后（以合同签订时间为准），投标人应完成过1项公路工程</w:t>
            </w:r>
            <w:r>
              <w:rPr>
                <w:rFonts w:hint="eastAsia" w:ascii="宋体" w:hAnsi="宋体" w:eastAsia="宋体" w:cs="宋体"/>
                <w:sz w:val="18"/>
                <w:szCs w:val="18"/>
                <w:highlight w:val="none"/>
                <w:lang w:eastAsia="zh-CN"/>
              </w:rPr>
              <w:t>竣工</w:t>
            </w:r>
            <w:r>
              <w:rPr>
                <w:rFonts w:hint="eastAsia" w:ascii="宋体" w:hAnsi="宋体" w:eastAsia="宋体" w:cs="宋体"/>
                <w:sz w:val="18"/>
                <w:szCs w:val="18"/>
                <w:highlight w:val="none"/>
              </w:rPr>
              <w:t>环境保护验收类似业绩。</w:t>
            </w:r>
          </w:p>
        </w:tc>
      </w:tr>
    </w:tbl>
    <w:p w14:paraId="4DD1FDFD">
      <w:pPr>
        <w:rPr>
          <w:rFonts w:hint="eastAsia" w:ascii="宋体" w:hAnsi="宋体" w:eastAsia="宋体" w:cs="宋体"/>
          <w:b/>
          <w:bCs/>
          <w:sz w:val="18"/>
          <w:szCs w:val="18"/>
          <w:highlight w:val="none"/>
        </w:rPr>
      </w:pPr>
      <w:bookmarkStart w:id="3" w:name="_Toc411418983"/>
      <w:bookmarkStart w:id="4" w:name="_Toc4664"/>
      <w:bookmarkStart w:id="5" w:name="_Toc423594220"/>
      <w:bookmarkStart w:id="6" w:name="_Toc346800722"/>
      <w:r>
        <w:rPr>
          <w:rFonts w:hint="eastAsia" w:ascii="宋体" w:hAnsi="宋体" w:eastAsia="宋体" w:cs="宋体"/>
          <w:b/>
          <w:bCs/>
          <w:sz w:val="18"/>
          <w:szCs w:val="18"/>
          <w:highlight w:val="none"/>
        </w:rPr>
        <w:br w:type="page"/>
      </w:r>
    </w:p>
    <w:p w14:paraId="26D8950B">
      <w:pPr>
        <w:ind w:firstLine="422"/>
        <w:jc w:val="center"/>
        <w:rPr>
          <w:rFonts w:hint="eastAsia" w:ascii="宋体" w:hAnsi="宋体" w:eastAsia="宋体" w:cs="宋体"/>
          <w:sz w:val="18"/>
          <w:szCs w:val="18"/>
          <w:highlight w:val="none"/>
        </w:rPr>
      </w:pPr>
      <w:r>
        <w:rPr>
          <w:rFonts w:hint="eastAsia" w:ascii="宋体" w:hAnsi="宋体" w:eastAsia="宋体" w:cs="宋体"/>
          <w:b/>
          <w:bCs/>
          <w:sz w:val="18"/>
          <w:szCs w:val="18"/>
          <w:highlight w:val="none"/>
        </w:rPr>
        <w:t>附录3 资格审查条件（</w:t>
      </w:r>
      <w:r>
        <w:rPr>
          <w:rFonts w:hint="eastAsia" w:ascii="宋体" w:hAnsi="宋体" w:eastAsia="宋体" w:cs="宋体"/>
          <w:b/>
          <w:bCs/>
          <w:sz w:val="18"/>
          <w:szCs w:val="18"/>
          <w:highlight w:val="none"/>
          <w:lang w:eastAsia="zh-CN"/>
        </w:rPr>
        <w:t>项目负责人</w:t>
      </w:r>
      <w:r>
        <w:rPr>
          <w:rFonts w:hint="eastAsia" w:ascii="宋体" w:hAnsi="宋体" w:eastAsia="宋体" w:cs="宋体"/>
          <w:b/>
          <w:bCs/>
          <w:sz w:val="18"/>
          <w:szCs w:val="18"/>
          <w:highlight w:val="none"/>
        </w:rPr>
        <w:t>最低要求）</w:t>
      </w:r>
      <w:bookmarkEnd w:id="3"/>
      <w:bookmarkEnd w:id="4"/>
    </w:p>
    <w:tbl>
      <w:tblPr>
        <w:tblStyle w:val="12"/>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1593"/>
        <w:gridCol w:w="762"/>
        <w:gridCol w:w="6340"/>
      </w:tblGrid>
      <w:tr w14:paraId="4DDC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560" w:type="pct"/>
            <w:noWrap w:val="0"/>
            <w:vAlign w:val="center"/>
          </w:tcPr>
          <w:p w14:paraId="27D1E8AA">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标段</w:t>
            </w:r>
          </w:p>
        </w:tc>
        <w:tc>
          <w:tcPr>
            <w:tcW w:w="813" w:type="pct"/>
            <w:noWrap w:val="0"/>
            <w:vAlign w:val="center"/>
          </w:tcPr>
          <w:p w14:paraId="3B0A95A1">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人  员</w:t>
            </w:r>
          </w:p>
        </w:tc>
        <w:tc>
          <w:tcPr>
            <w:tcW w:w="388" w:type="pct"/>
            <w:noWrap w:val="0"/>
            <w:vAlign w:val="center"/>
          </w:tcPr>
          <w:p w14:paraId="59247B9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数量</w:t>
            </w:r>
          </w:p>
        </w:tc>
        <w:tc>
          <w:tcPr>
            <w:tcW w:w="3237" w:type="pct"/>
            <w:noWrap w:val="0"/>
            <w:vAlign w:val="center"/>
          </w:tcPr>
          <w:p w14:paraId="2613BFDE">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资格要求</w:t>
            </w:r>
          </w:p>
        </w:tc>
      </w:tr>
      <w:tr w14:paraId="5B6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560" w:type="pct"/>
            <w:noWrap w:val="0"/>
            <w:vAlign w:val="center"/>
          </w:tcPr>
          <w:p w14:paraId="57AF97DB">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SBYS01</w:t>
            </w:r>
          </w:p>
        </w:tc>
        <w:tc>
          <w:tcPr>
            <w:tcW w:w="813" w:type="pct"/>
            <w:noWrap w:val="0"/>
            <w:vAlign w:val="center"/>
          </w:tcPr>
          <w:p w14:paraId="34F9167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项目负责人</w:t>
            </w:r>
          </w:p>
        </w:tc>
        <w:tc>
          <w:tcPr>
            <w:tcW w:w="388" w:type="pct"/>
            <w:noWrap w:val="0"/>
            <w:vAlign w:val="center"/>
          </w:tcPr>
          <w:p w14:paraId="3647CF29">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3237" w:type="pct"/>
            <w:noWrap w:val="0"/>
            <w:vAlign w:val="center"/>
          </w:tcPr>
          <w:p w14:paraId="4844C4E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投标人自有人员，具有相关专业的副高级或以上技术职称，至少担任过1项公路工程水土保持</w:t>
            </w:r>
            <w:r>
              <w:rPr>
                <w:rFonts w:hint="eastAsia" w:ascii="宋体" w:hAnsi="宋体" w:eastAsia="宋体" w:cs="宋体"/>
                <w:sz w:val="18"/>
                <w:szCs w:val="18"/>
                <w:highlight w:val="none"/>
                <w:lang w:eastAsia="zh-CN"/>
              </w:rPr>
              <w:t>设施</w:t>
            </w:r>
            <w:r>
              <w:rPr>
                <w:rFonts w:hint="eastAsia" w:ascii="宋体" w:hAnsi="宋体" w:eastAsia="宋体" w:cs="宋体"/>
                <w:sz w:val="18"/>
                <w:szCs w:val="18"/>
                <w:highlight w:val="none"/>
              </w:rPr>
              <w:t>验收类似项目的项目负责人</w:t>
            </w:r>
          </w:p>
        </w:tc>
      </w:tr>
      <w:tr w14:paraId="392C8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60" w:type="pct"/>
            <w:noWrap w:val="0"/>
            <w:vAlign w:val="center"/>
          </w:tcPr>
          <w:p w14:paraId="70D51CA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HBYS02</w:t>
            </w:r>
          </w:p>
        </w:tc>
        <w:tc>
          <w:tcPr>
            <w:tcW w:w="813" w:type="pct"/>
            <w:noWrap w:val="0"/>
            <w:vAlign w:val="center"/>
          </w:tcPr>
          <w:p w14:paraId="2D1A982F">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项目负责人</w:t>
            </w:r>
          </w:p>
        </w:tc>
        <w:tc>
          <w:tcPr>
            <w:tcW w:w="388" w:type="pct"/>
            <w:noWrap w:val="0"/>
            <w:vAlign w:val="center"/>
          </w:tcPr>
          <w:p w14:paraId="4E86284E">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3237" w:type="pct"/>
            <w:noWrap w:val="0"/>
            <w:vAlign w:val="center"/>
          </w:tcPr>
          <w:p w14:paraId="0C3A40DB">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投标人自有人员，具有相关专业的副高级或以上技术职称，至少担任过1项公路工程</w:t>
            </w:r>
            <w:r>
              <w:rPr>
                <w:rFonts w:hint="eastAsia" w:ascii="宋体" w:hAnsi="宋体" w:eastAsia="宋体" w:cs="宋体"/>
                <w:sz w:val="18"/>
                <w:szCs w:val="18"/>
                <w:highlight w:val="none"/>
                <w:lang w:eastAsia="zh-CN"/>
              </w:rPr>
              <w:t>竣工</w:t>
            </w:r>
            <w:r>
              <w:rPr>
                <w:rFonts w:hint="eastAsia" w:ascii="宋体" w:hAnsi="宋体" w:eastAsia="宋体" w:cs="宋体"/>
                <w:sz w:val="18"/>
                <w:szCs w:val="18"/>
                <w:highlight w:val="none"/>
              </w:rPr>
              <w:t>环境保护验收类似项目的项目负责人</w:t>
            </w:r>
          </w:p>
        </w:tc>
      </w:tr>
    </w:tbl>
    <w:p w14:paraId="40DF2A2F">
      <w:pPr>
        <w:ind w:firstLine="422"/>
        <w:jc w:val="center"/>
        <w:rPr>
          <w:rFonts w:hint="eastAsia" w:ascii="宋体" w:hAnsi="宋体" w:eastAsia="宋体" w:cs="宋体"/>
          <w:b/>
          <w:bCs/>
          <w:sz w:val="18"/>
          <w:szCs w:val="18"/>
        </w:rPr>
      </w:pPr>
    </w:p>
    <w:p w14:paraId="3E822F8B">
      <w:pPr>
        <w:ind w:firstLine="422"/>
        <w:jc w:val="center"/>
        <w:rPr>
          <w:rFonts w:hint="eastAsia" w:ascii="宋体" w:hAnsi="宋体" w:eastAsia="宋体" w:cs="宋体"/>
          <w:sz w:val="18"/>
          <w:szCs w:val="18"/>
        </w:rPr>
      </w:pPr>
      <w:r>
        <w:rPr>
          <w:rFonts w:hint="eastAsia" w:ascii="宋体" w:hAnsi="宋体" w:eastAsia="宋体" w:cs="宋体"/>
          <w:b/>
          <w:bCs/>
          <w:sz w:val="18"/>
          <w:szCs w:val="18"/>
        </w:rPr>
        <w:t>附录</w:t>
      </w:r>
      <w:r>
        <w:rPr>
          <w:rFonts w:hint="eastAsia" w:ascii="宋体" w:hAnsi="宋体" w:eastAsia="宋体" w:cs="宋体"/>
          <w:b/>
          <w:bCs/>
          <w:sz w:val="18"/>
          <w:szCs w:val="18"/>
          <w:lang w:val="en-US" w:eastAsia="zh-CN"/>
        </w:rPr>
        <w:t>4</w:t>
      </w:r>
      <w:r>
        <w:rPr>
          <w:rFonts w:hint="eastAsia" w:ascii="宋体" w:hAnsi="宋体" w:eastAsia="宋体" w:cs="宋体"/>
          <w:b/>
          <w:bCs/>
          <w:sz w:val="18"/>
          <w:szCs w:val="18"/>
        </w:rPr>
        <w:t xml:space="preserve"> 资格审查条件（</w:t>
      </w:r>
      <w:r>
        <w:rPr>
          <w:rFonts w:hint="eastAsia" w:ascii="宋体" w:hAnsi="宋体" w:eastAsia="宋体" w:cs="宋体"/>
          <w:b/>
          <w:bCs/>
          <w:sz w:val="18"/>
          <w:szCs w:val="18"/>
          <w:lang w:eastAsia="zh-CN"/>
        </w:rPr>
        <w:t>主要人员</w:t>
      </w:r>
      <w:r>
        <w:rPr>
          <w:rFonts w:hint="eastAsia" w:ascii="宋体" w:hAnsi="宋体" w:eastAsia="宋体" w:cs="宋体"/>
          <w:b/>
          <w:bCs/>
          <w:sz w:val="18"/>
          <w:szCs w:val="18"/>
        </w:rPr>
        <w:t>最低要求）</w:t>
      </w:r>
    </w:p>
    <w:tbl>
      <w:tblPr>
        <w:tblStyle w:val="12"/>
        <w:tblW w:w="51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94"/>
        <w:gridCol w:w="1115"/>
        <w:gridCol w:w="6178"/>
      </w:tblGrid>
      <w:tr w14:paraId="4F0D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9" w:type="pct"/>
            <w:noWrap w:val="0"/>
            <w:vAlign w:val="center"/>
          </w:tcPr>
          <w:p w14:paraId="4324C9C3">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标段</w:t>
            </w:r>
          </w:p>
        </w:tc>
        <w:tc>
          <w:tcPr>
            <w:tcW w:w="763" w:type="pct"/>
            <w:noWrap w:val="0"/>
            <w:vAlign w:val="center"/>
          </w:tcPr>
          <w:p w14:paraId="7DFAC61B">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人  员</w:t>
            </w:r>
          </w:p>
        </w:tc>
        <w:tc>
          <w:tcPr>
            <w:tcW w:w="569" w:type="pct"/>
            <w:shd w:val="clear" w:color="auto" w:fill="auto"/>
            <w:noWrap w:val="0"/>
            <w:vAlign w:val="center"/>
          </w:tcPr>
          <w:p w14:paraId="5CC444C7">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数量</w:t>
            </w:r>
          </w:p>
        </w:tc>
        <w:tc>
          <w:tcPr>
            <w:tcW w:w="3157" w:type="pct"/>
            <w:noWrap w:val="0"/>
            <w:vAlign w:val="center"/>
          </w:tcPr>
          <w:p w14:paraId="4DE23475">
            <w:pPr>
              <w:keepNext w:val="0"/>
              <w:keepLines w:val="0"/>
              <w:pageBreakBefore w:val="0"/>
              <w:widowControl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资格要求</w:t>
            </w:r>
          </w:p>
        </w:tc>
      </w:tr>
      <w:tr w14:paraId="700C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9" w:type="pct"/>
            <w:vMerge w:val="restart"/>
            <w:noWrap w:val="0"/>
            <w:vAlign w:val="center"/>
          </w:tcPr>
          <w:p w14:paraId="2F5C694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SBYS01</w:t>
            </w:r>
          </w:p>
        </w:tc>
        <w:tc>
          <w:tcPr>
            <w:tcW w:w="763" w:type="pct"/>
            <w:vMerge w:val="restart"/>
            <w:noWrap w:val="0"/>
            <w:vAlign w:val="center"/>
          </w:tcPr>
          <w:p w14:paraId="1FBE9356">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专业工程师</w:t>
            </w:r>
          </w:p>
        </w:tc>
        <w:tc>
          <w:tcPr>
            <w:tcW w:w="569" w:type="pct"/>
            <w:shd w:val="clear" w:color="auto" w:fill="auto"/>
            <w:noWrap w:val="0"/>
            <w:vAlign w:val="center"/>
          </w:tcPr>
          <w:p w14:paraId="653A314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4</w:t>
            </w:r>
          </w:p>
        </w:tc>
        <w:tc>
          <w:tcPr>
            <w:tcW w:w="3157" w:type="pct"/>
            <w:vMerge w:val="restart"/>
            <w:noWrap w:val="0"/>
            <w:vAlign w:val="center"/>
          </w:tcPr>
          <w:p w14:paraId="2A111CD4">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eastAsia="zh-CN"/>
              </w:rPr>
              <w:t>投标人自有人员，具有相关专业中级或以上技术职称。</w:t>
            </w:r>
          </w:p>
        </w:tc>
      </w:tr>
      <w:tr w14:paraId="1D5E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509" w:type="pct"/>
            <w:noWrap w:val="0"/>
            <w:vAlign w:val="center"/>
          </w:tcPr>
          <w:p w14:paraId="0D085A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HBYS02</w:t>
            </w:r>
          </w:p>
        </w:tc>
        <w:tc>
          <w:tcPr>
            <w:tcW w:w="763" w:type="pct"/>
            <w:noWrap w:val="0"/>
            <w:vAlign w:val="center"/>
          </w:tcPr>
          <w:p w14:paraId="3C646D1A">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专业工程师</w:t>
            </w:r>
          </w:p>
        </w:tc>
        <w:tc>
          <w:tcPr>
            <w:tcW w:w="569" w:type="pct"/>
            <w:shd w:val="clear" w:color="auto" w:fill="auto"/>
            <w:noWrap w:val="0"/>
            <w:vAlign w:val="center"/>
          </w:tcPr>
          <w:p w14:paraId="0E9A6411">
            <w:pPr>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3157" w:type="pct"/>
            <w:noWrap w:val="0"/>
            <w:vAlign w:val="center"/>
          </w:tcPr>
          <w:p w14:paraId="27C0E09F">
            <w:pPr>
              <w:keepNext w:val="0"/>
              <w:keepLines w:val="0"/>
              <w:pageBreakBefore w:val="0"/>
              <w:widowControl w:val="0"/>
              <w:kinsoku/>
              <w:wordWrap/>
              <w:overflowPunct/>
              <w:topLinePunct w:val="0"/>
              <w:autoSpaceDE/>
              <w:autoSpaceDN/>
              <w:bidi w:val="0"/>
              <w:spacing w:line="300" w:lineRule="exact"/>
              <w:ind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投标人自有人员，具有相关专业中级或以上技术职称。</w:t>
            </w:r>
          </w:p>
        </w:tc>
      </w:tr>
    </w:tbl>
    <w:p w14:paraId="05E0E49E">
      <w:pPr>
        <w:spacing w:line="400" w:lineRule="exact"/>
        <w:ind w:firstLine="90" w:firstLineChars="50"/>
        <w:rPr>
          <w:rFonts w:hint="eastAsia" w:ascii="宋体" w:hAnsi="宋体" w:eastAsia="宋体" w:cs="宋体"/>
          <w:sz w:val="18"/>
          <w:szCs w:val="18"/>
        </w:rPr>
      </w:pPr>
      <w:r>
        <w:rPr>
          <w:rFonts w:hint="eastAsia" w:ascii="宋体" w:hAnsi="宋体" w:eastAsia="宋体" w:cs="宋体"/>
          <w:sz w:val="18"/>
          <w:szCs w:val="18"/>
        </w:rPr>
        <w:t>注：以上人员不得相互兼职或重复。</w:t>
      </w:r>
    </w:p>
    <w:p w14:paraId="0A03153D">
      <w:pPr>
        <w:ind w:firstLine="422"/>
        <w:jc w:val="center"/>
        <w:rPr>
          <w:rFonts w:hint="eastAsia" w:ascii="宋体" w:hAnsi="宋体" w:eastAsia="宋体" w:cs="宋体"/>
          <w:b/>
          <w:bCs/>
          <w:sz w:val="18"/>
          <w:szCs w:val="18"/>
        </w:rPr>
      </w:pPr>
    </w:p>
    <w:p w14:paraId="36F85400">
      <w:pPr>
        <w:ind w:firstLine="422"/>
        <w:jc w:val="center"/>
        <w:rPr>
          <w:rFonts w:hint="eastAsia" w:ascii="宋体" w:hAnsi="宋体" w:eastAsia="宋体" w:cs="宋体"/>
          <w:b/>
          <w:bCs/>
          <w:sz w:val="18"/>
          <w:szCs w:val="18"/>
        </w:rPr>
      </w:pPr>
    </w:p>
    <w:bookmarkEnd w:id="5"/>
    <w:bookmarkEnd w:id="6"/>
    <w:p w14:paraId="5872C2C2">
      <w:pPr>
        <w:ind w:firstLine="0" w:firstLineChars="0"/>
        <w:jc w:val="center"/>
        <w:rPr>
          <w:rFonts w:hint="eastAsia" w:ascii="宋体" w:hAnsi="宋体" w:eastAsia="宋体" w:cs="宋体"/>
          <w:b/>
          <w:bCs/>
          <w:sz w:val="18"/>
          <w:szCs w:val="18"/>
        </w:rPr>
      </w:pPr>
      <w:bookmarkStart w:id="7" w:name="_Toc327432508"/>
      <w:bookmarkStart w:id="8" w:name="_Toc423594221"/>
      <w:r>
        <w:rPr>
          <w:rFonts w:hint="eastAsia" w:ascii="宋体" w:hAnsi="宋体" w:eastAsia="宋体" w:cs="宋体"/>
          <w:b/>
          <w:bCs/>
          <w:sz w:val="18"/>
          <w:szCs w:val="18"/>
        </w:rPr>
        <w:t>附录</w:t>
      </w:r>
      <w:r>
        <w:rPr>
          <w:rFonts w:hint="eastAsia" w:ascii="宋体" w:hAnsi="宋体" w:eastAsia="宋体" w:cs="宋体"/>
          <w:b/>
          <w:bCs/>
          <w:sz w:val="18"/>
          <w:szCs w:val="18"/>
          <w:lang w:val="en-US" w:eastAsia="zh-CN"/>
        </w:rPr>
        <w:t>5</w:t>
      </w:r>
      <w:r>
        <w:rPr>
          <w:rFonts w:hint="eastAsia" w:ascii="宋体" w:hAnsi="宋体" w:eastAsia="宋体" w:cs="宋体"/>
          <w:b/>
          <w:bCs/>
          <w:sz w:val="18"/>
          <w:szCs w:val="18"/>
        </w:rPr>
        <w:t xml:space="preserve">  资格审查条件（信誉最低要求）</w:t>
      </w:r>
      <w:bookmarkEnd w:id="7"/>
      <w:bookmarkEnd w:id="8"/>
    </w:p>
    <w:tbl>
      <w:tblPr>
        <w:tblStyle w:val="12"/>
        <w:tblW w:w="9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14:paraId="75E9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9" w:hRule="atLeast"/>
          <w:jc w:val="center"/>
        </w:trPr>
        <w:tc>
          <w:tcPr>
            <w:tcW w:w="9980" w:type="dxa"/>
            <w:vAlign w:val="center"/>
          </w:tcPr>
          <w:p w14:paraId="6A5C77E8">
            <w:pPr>
              <w:spacing w:line="240" w:lineRule="auto"/>
              <w:ind w:firstLine="420"/>
              <w:jc w:val="center"/>
              <w:rPr>
                <w:rFonts w:hint="eastAsia" w:ascii="宋体" w:hAnsi="宋体" w:eastAsia="宋体" w:cs="宋体"/>
                <w:sz w:val="18"/>
                <w:szCs w:val="18"/>
              </w:rPr>
            </w:pPr>
            <w:r>
              <w:rPr>
                <w:rFonts w:hint="eastAsia" w:ascii="宋体" w:hAnsi="宋体" w:eastAsia="宋体" w:cs="宋体"/>
                <w:sz w:val="18"/>
                <w:szCs w:val="18"/>
              </w:rPr>
              <w:t>信誉要求</w:t>
            </w:r>
          </w:p>
        </w:tc>
      </w:tr>
      <w:tr w14:paraId="7AAA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6" w:hRule="atLeast"/>
          <w:jc w:val="center"/>
        </w:trPr>
        <w:tc>
          <w:tcPr>
            <w:tcW w:w="9980" w:type="dxa"/>
            <w:vAlign w:val="center"/>
          </w:tcPr>
          <w:p w14:paraId="6305C0D2">
            <w:pPr>
              <w:spacing w:line="360" w:lineRule="exact"/>
              <w:rPr>
                <w:rFonts w:hint="eastAsia" w:ascii="宋体" w:hAnsi="宋体" w:eastAsia="宋体" w:cs="宋体"/>
                <w:sz w:val="18"/>
                <w:szCs w:val="18"/>
              </w:rPr>
            </w:pPr>
            <w:r>
              <w:rPr>
                <w:rFonts w:hint="eastAsia" w:ascii="宋体" w:hAnsi="宋体" w:eastAsia="宋体" w:cs="宋体"/>
                <w:sz w:val="18"/>
                <w:szCs w:val="18"/>
              </w:rPr>
              <w:t>投标人不得存在下列情形之一：</w:t>
            </w:r>
          </w:p>
          <w:p w14:paraId="694B9002">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（1）被省级及以上交通运输主管部门或建设主管部门取消招标项目所在地的投标资格且处于有效期内；</w:t>
            </w:r>
          </w:p>
          <w:p w14:paraId="69675AED">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（2）被责令停业，暂扣或吊销执照，或吊销资质证书；</w:t>
            </w:r>
          </w:p>
          <w:p w14:paraId="6D01C25C">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（3）进入清算程序，或被宣告破产，或其他丧失履约能力的情形；</w:t>
            </w:r>
          </w:p>
          <w:p w14:paraId="0AD27DE8">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（4）在国家企业信用信息公示系统（http://www.gsxt.gov.cn/）中被列入严重违法失信企业名单；</w:t>
            </w:r>
          </w:p>
          <w:p w14:paraId="3D22FE06">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（5）在“信用中国”网站（https://www.creditchina.gov.cn/）中被列入失信被执行人名单；</w:t>
            </w:r>
          </w:p>
          <w:p w14:paraId="1B9A9DDC">
            <w:pPr>
              <w:numPr>
                <w:ilvl w:val="0"/>
                <w:numId w:val="1"/>
              </w:numPr>
              <w:spacing w:line="360" w:lineRule="exact"/>
              <w:ind w:left="0" w:firstLine="360" w:firstLineChars="200"/>
              <w:rPr>
                <w:rFonts w:hint="eastAsia" w:ascii="宋体" w:hAnsi="宋体" w:eastAsia="宋体" w:cs="宋体"/>
                <w:sz w:val="18"/>
                <w:szCs w:val="18"/>
              </w:rPr>
            </w:pPr>
            <w:r>
              <w:rPr>
                <w:rFonts w:hint="eastAsia" w:ascii="宋体" w:hAnsi="宋体" w:eastAsia="宋体" w:cs="宋体"/>
                <w:sz w:val="18"/>
                <w:szCs w:val="18"/>
              </w:rPr>
              <w:t>（6）投标人或其法定代表人、拟委任的项目负责人在近三年内有行贿犯罪行为的；</w:t>
            </w:r>
          </w:p>
          <w:p w14:paraId="4602334C">
            <w:pPr>
              <w:spacing w:line="360" w:lineRule="exact"/>
              <w:ind w:firstLine="420"/>
              <w:rPr>
                <w:rFonts w:hint="eastAsia" w:ascii="宋体" w:hAnsi="宋体" w:eastAsia="宋体" w:cs="宋体"/>
                <w:sz w:val="18"/>
                <w:szCs w:val="18"/>
              </w:rPr>
            </w:pPr>
            <w:r>
              <w:rPr>
                <w:rFonts w:hint="eastAsia" w:ascii="宋体" w:hAnsi="宋体" w:eastAsia="宋体" w:cs="宋体"/>
                <w:sz w:val="18"/>
                <w:szCs w:val="18"/>
              </w:rPr>
              <w:t>（7）法律法规或投标人须知前附表规定的其他情形。</w:t>
            </w:r>
          </w:p>
        </w:tc>
      </w:tr>
    </w:tbl>
    <w:p w14:paraId="58D95C8A">
      <w:pPr>
        <w:ind w:firstLine="420"/>
      </w:pPr>
    </w:p>
    <w:p w14:paraId="51B16478">
      <w:pPr>
        <w:ind w:firstLine="503"/>
        <w:rPr>
          <w:rFonts w:ascii="宋体" w:hAnsi="宋体" w:cs="宋体"/>
          <w:w w:val="90"/>
          <w:sz w:val="28"/>
          <w:szCs w:val="28"/>
        </w:rPr>
      </w:pPr>
      <w:bookmarkStart w:id="9" w:name="_Toc467238046"/>
      <w:bookmarkStart w:id="10" w:name="_Toc31749"/>
      <w:bookmarkStart w:id="11" w:name="_Toc450565251"/>
      <w:r>
        <w:rPr>
          <w:rFonts w:hint="eastAsia" w:ascii="宋体" w:hAnsi="宋体" w:cs="宋体"/>
          <w:w w:val="90"/>
          <w:sz w:val="28"/>
          <w:szCs w:val="28"/>
        </w:rPr>
        <w:br w:type="page"/>
      </w:r>
    </w:p>
    <w:bookmarkEnd w:id="9"/>
    <w:bookmarkEnd w:id="10"/>
    <w:bookmarkEnd w:id="11"/>
    <w:p w14:paraId="78C2D155">
      <w:pPr>
        <w:keepNext/>
        <w:keepLines/>
        <w:pageBreakBefore w:val="0"/>
        <w:kinsoku/>
        <w:wordWrap/>
        <w:overflowPunct/>
        <w:topLinePunct w:val="0"/>
        <w:bidi w:val="0"/>
        <w:snapToGrid w:val="0"/>
        <w:spacing w:line="240" w:lineRule="exact"/>
        <w:jc w:val="center"/>
        <w:textAlignment w:val="auto"/>
        <w:outlineLvl w:val="0"/>
        <w:rPr>
          <w:rFonts w:hint="eastAsia" w:ascii="宋体" w:hAnsi="宋体" w:eastAsia="宋体" w:cs="宋体"/>
          <w:b/>
          <w:bCs w:val="0"/>
          <w:color w:val="000000"/>
          <w:kern w:val="2"/>
          <w:sz w:val="18"/>
          <w:szCs w:val="18"/>
          <w:lang w:val="en-US" w:eastAsia="zh-CN" w:bidi="ar-SA"/>
        </w:rPr>
      </w:pPr>
      <w:r>
        <w:rPr>
          <w:rFonts w:hint="eastAsia" w:ascii="宋体" w:hAnsi="宋体" w:eastAsia="宋体" w:cs="宋体"/>
          <w:b/>
          <w:bCs w:val="0"/>
          <w:color w:val="000000"/>
          <w:kern w:val="2"/>
          <w:sz w:val="18"/>
          <w:szCs w:val="18"/>
          <w:lang w:val="en-US" w:eastAsia="zh-CN" w:bidi="ar-SA"/>
        </w:rPr>
        <w:t>评标办法（综合评估法）</w:t>
      </w:r>
    </w:p>
    <w:p w14:paraId="6F229D8E">
      <w:pPr>
        <w:pStyle w:val="3"/>
        <w:pageBreakBefore w:val="0"/>
        <w:widowControl w:val="0"/>
        <w:kinsoku/>
        <w:overflowPunct/>
        <w:topLinePunct w:val="0"/>
        <w:bidi w:val="0"/>
        <w:spacing w:line="360" w:lineRule="exact"/>
        <w:jc w:val="left"/>
        <w:rPr>
          <w:rFonts w:hint="eastAsia" w:ascii="宋体" w:hAnsi="宋体" w:eastAsia="宋体" w:cs="宋体"/>
          <w:b w:val="0"/>
          <w:sz w:val="18"/>
          <w:szCs w:val="18"/>
        </w:rPr>
      </w:pPr>
      <w:bookmarkStart w:id="12" w:name="_Toc205530454"/>
      <w:bookmarkStart w:id="13" w:name="_Toc152045600"/>
      <w:bookmarkStart w:id="14" w:name="_Toc152042377"/>
      <w:bookmarkStart w:id="15" w:name="_Toc144974567"/>
      <w:bookmarkStart w:id="16" w:name="_Toc179632618"/>
      <w:r>
        <w:rPr>
          <w:rFonts w:hint="eastAsia" w:ascii="宋体" w:hAnsi="宋体" w:eastAsia="宋体" w:cs="宋体"/>
          <w:b w:val="0"/>
          <w:sz w:val="18"/>
          <w:szCs w:val="18"/>
        </w:rPr>
        <w:t>评标办法前附表</w:t>
      </w:r>
      <w:bookmarkEnd w:id="12"/>
    </w:p>
    <w:tbl>
      <w:tblPr>
        <w:tblStyle w:val="12"/>
        <w:tblW w:w="538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47"/>
        <w:gridCol w:w="1489"/>
        <w:gridCol w:w="8057"/>
      </w:tblGrid>
      <w:tr w14:paraId="5FF05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7" w:hRule="atLeast"/>
          <w:jc w:val="center"/>
        </w:trPr>
        <w:tc>
          <w:tcPr>
            <w:tcW w:w="1086" w:type="pct"/>
            <w:gridSpan w:val="2"/>
            <w:tcBorders>
              <w:right w:val="single" w:color="000000" w:sz="6" w:space="0"/>
            </w:tcBorders>
            <w:vAlign w:val="center"/>
          </w:tcPr>
          <w:p w14:paraId="4A584FDE">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条款号</w:t>
            </w:r>
          </w:p>
        </w:tc>
        <w:tc>
          <w:tcPr>
            <w:tcW w:w="3913" w:type="pct"/>
            <w:tcBorders>
              <w:left w:val="single" w:color="000000" w:sz="6" w:space="0"/>
            </w:tcBorders>
            <w:vAlign w:val="center"/>
          </w:tcPr>
          <w:p w14:paraId="27B12E2F">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评审因素与评审标准</w:t>
            </w:r>
          </w:p>
        </w:tc>
      </w:tr>
      <w:tr w14:paraId="6E2B4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2" w:hRule="atLeast"/>
          <w:jc w:val="center"/>
        </w:trPr>
        <w:tc>
          <w:tcPr>
            <w:tcW w:w="363" w:type="pct"/>
            <w:vAlign w:val="center"/>
          </w:tcPr>
          <w:p w14:paraId="60CC5E26">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1</w:t>
            </w:r>
          </w:p>
        </w:tc>
        <w:tc>
          <w:tcPr>
            <w:tcW w:w="722" w:type="pct"/>
            <w:tcBorders>
              <w:right w:val="single" w:color="000000" w:sz="6" w:space="0"/>
            </w:tcBorders>
            <w:vAlign w:val="center"/>
          </w:tcPr>
          <w:p w14:paraId="07F7D42D">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评标方法</w:t>
            </w:r>
          </w:p>
        </w:tc>
        <w:tc>
          <w:tcPr>
            <w:tcW w:w="3913" w:type="pct"/>
            <w:tcBorders>
              <w:left w:val="single" w:color="000000" w:sz="6" w:space="0"/>
            </w:tcBorders>
          </w:tcPr>
          <w:p w14:paraId="0F1D1D30">
            <w:pPr>
              <w:keepNext w:val="0"/>
              <w:keepLines w:val="0"/>
              <w:pageBreakBefore w:val="0"/>
              <w:widowControl w:val="0"/>
              <w:numPr>
                <w:ilvl w:val="1"/>
                <w:numId w:val="2"/>
              </w:numPr>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评标顺序按</w:t>
            </w:r>
            <w:r>
              <w:rPr>
                <w:rFonts w:hint="eastAsia" w:ascii="宋体" w:hAnsi="宋体"/>
                <w:sz w:val="18"/>
                <w:szCs w:val="18"/>
                <w:lang w:eastAsia="zh-CN"/>
              </w:rPr>
              <w:t>SBYS01</w:t>
            </w:r>
            <w:r>
              <w:rPr>
                <w:rFonts w:hint="eastAsia" w:ascii="宋体" w:hAnsi="宋体"/>
                <w:sz w:val="18"/>
                <w:szCs w:val="18"/>
              </w:rPr>
              <w:t>～</w:t>
            </w:r>
            <w:r>
              <w:rPr>
                <w:rFonts w:hint="eastAsia" w:ascii="宋体" w:hAnsi="宋体"/>
                <w:sz w:val="18"/>
                <w:szCs w:val="18"/>
                <w:lang w:eastAsia="zh-CN"/>
              </w:rPr>
              <w:t>HBYS02</w:t>
            </w:r>
            <w:r>
              <w:rPr>
                <w:rFonts w:hint="eastAsia" w:ascii="宋体" w:hAnsi="宋体"/>
                <w:sz w:val="18"/>
                <w:szCs w:val="18"/>
              </w:rPr>
              <w:t>标段顺序依次评标，投标人在前一标段被推荐为第一中标候选人的，后续标段将不被推荐为</w:t>
            </w:r>
            <w:r>
              <w:rPr>
                <w:rFonts w:hint="eastAsia" w:ascii="宋体" w:hAnsi="宋体"/>
                <w:sz w:val="18"/>
                <w:szCs w:val="18"/>
                <w:lang w:eastAsia="zh-CN"/>
              </w:rPr>
              <w:t>第一</w:t>
            </w:r>
            <w:r>
              <w:rPr>
                <w:rFonts w:hint="eastAsia" w:ascii="宋体" w:hAnsi="宋体"/>
                <w:sz w:val="18"/>
                <w:szCs w:val="18"/>
              </w:rPr>
              <w:t>中标候选人。投标人可对所有标段进行投标，不能兼中。</w:t>
            </w:r>
          </w:p>
          <w:p w14:paraId="06E25AD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80" w:lineRule="exact"/>
              <w:ind w:leftChars="0"/>
              <w:textAlignment w:val="auto"/>
              <w:rPr>
                <w:rFonts w:ascii="宋体" w:hAnsi="宋体"/>
                <w:sz w:val="18"/>
                <w:szCs w:val="18"/>
              </w:rPr>
            </w:pPr>
            <w:r>
              <w:rPr>
                <w:rFonts w:hint="eastAsia" w:ascii="宋体" w:hAnsi="宋体"/>
                <w:sz w:val="18"/>
                <w:szCs w:val="18"/>
              </w:rPr>
              <w:t>1</w:t>
            </w:r>
            <w:r>
              <w:rPr>
                <w:rFonts w:ascii="宋体" w:hAnsi="宋体"/>
                <w:sz w:val="18"/>
                <w:szCs w:val="18"/>
              </w:rPr>
              <w:t>.2 综合评分相等时，评标委员会依次按照以下优先顺序推荐中标候选人：</w:t>
            </w:r>
          </w:p>
          <w:p w14:paraId="4C70B4F1">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rPr>
              <w:t>1</w:t>
            </w:r>
            <w:r>
              <w:rPr>
                <w:rFonts w:ascii="宋体" w:hAnsi="宋体"/>
                <w:sz w:val="18"/>
                <w:szCs w:val="18"/>
              </w:rPr>
              <w:t>）商务和技术得分较高的投标人优先</w:t>
            </w:r>
            <w:r>
              <w:rPr>
                <w:rFonts w:hint="eastAsia" w:ascii="宋体" w:hAnsi="宋体"/>
                <w:sz w:val="18"/>
                <w:szCs w:val="18"/>
              </w:rPr>
              <w:t>；</w:t>
            </w:r>
          </w:p>
          <w:p w14:paraId="77B371AF">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hint="eastAsia" w:ascii="宋体" w:hAnsi="宋体"/>
                <w:sz w:val="18"/>
                <w:szCs w:val="18"/>
              </w:rPr>
              <w:t>（2）技术建议书</w:t>
            </w:r>
            <w:r>
              <w:rPr>
                <w:rFonts w:ascii="宋体" w:hAnsi="宋体"/>
                <w:sz w:val="18"/>
                <w:szCs w:val="18"/>
              </w:rPr>
              <w:t>得分较高的投标人优先</w:t>
            </w:r>
            <w:r>
              <w:rPr>
                <w:rFonts w:hint="eastAsia" w:ascii="宋体" w:hAnsi="宋体"/>
                <w:sz w:val="18"/>
                <w:szCs w:val="18"/>
              </w:rPr>
              <w:t>；</w:t>
            </w:r>
          </w:p>
          <w:p w14:paraId="02C31EAC">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hint="eastAsia" w:ascii="宋体" w:hAnsi="宋体"/>
                <w:sz w:val="18"/>
                <w:szCs w:val="18"/>
              </w:rPr>
              <w:t>（3）业绩</w:t>
            </w:r>
            <w:r>
              <w:rPr>
                <w:rFonts w:ascii="宋体" w:hAnsi="宋体"/>
                <w:sz w:val="18"/>
                <w:szCs w:val="18"/>
              </w:rPr>
              <w:t>得分较高的投标人优先</w:t>
            </w:r>
            <w:r>
              <w:rPr>
                <w:rFonts w:hint="eastAsia" w:ascii="宋体" w:hAnsi="宋体"/>
                <w:sz w:val="18"/>
                <w:szCs w:val="18"/>
              </w:rPr>
              <w:t>；</w:t>
            </w:r>
          </w:p>
          <w:p w14:paraId="04BF3E88">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rPr>
              <w:t>4</w:t>
            </w:r>
            <w:r>
              <w:rPr>
                <w:rFonts w:ascii="宋体" w:hAnsi="宋体"/>
                <w:sz w:val="18"/>
                <w:szCs w:val="18"/>
              </w:rPr>
              <w:t>）评标价低的投标人优先</w:t>
            </w:r>
            <w:r>
              <w:rPr>
                <w:rFonts w:hint="eastAsia" w:ascii="宋体" w:hAnsi="宋体"/>
                <w:sz w:val="18"/>
                <w:szCs w:val="18"/>
              </w:rPr>
              <w:t>。</w:t>
            </w:r>
          </w:p>
          <w:p w14:paraId="6E15FA59">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hint="eastAsia" w:ascii="宋体" w:hAnsi="宋体"/>
                <w:sz w:val="18"/>
                <w:szCs w:val="18"/>
              </w:rPr>
              <w:t>若所有得分仍相同时，则由评标委员会投票决定</w:t>
            </w:r>
            <w:r>
              <w:rPr>
                <w:rFonts w:ascii="宋体" w:hAnsi="宋体"/>
                <w:sz w:val="18"/>
                <w:szCs w:val="18"/>
              </w:rPr>
              <w:t>优先顺序</w:t>
            </w:r>
            <w:r>
              <w:rPr>
                <w:rFonts w:hint="eastAsia" w:ascii="宋体" w:hAnsi="宋体"/>
                <w:sz w:val="18"/>
                <w:szCs w:val="18"/>
              </w:rPr>
              <w:t>。</w:t>
            </w:r>
          </w:p>
        </w:tc>
      </w:tr>
      <w:tr w14:paraId="70BD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7" w:hRule="atLeast"/>
          <w:jc w:val="center"/>
        </w:trPr>
        <w:tc>
          <w:tcPr>
            <w:tcW w:w="363" w:type="pct"/>
            <w:vAlign w:val="center"/>
          </w:tcPr>
          <w:p w14:paraId="2545DB85">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2.1.1</w:t>
            </w:r>
          </w:p>
          <w:p w14:paraId="30939FAE">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2.1.3</w:t>
            </w:r>
          </w:p>
        </w:tc>
        <w:tc>
          <w:tcPr>
            <w:tcW w:w="722" w:type="pct"/>
            <w:tcBorders>
              <w:right w:val="single" w:color="000000" w:sz="6" w:space="0"/>
            </w:tcBorders>
            <w:vAlign w:val="center"/>
          </w:tcPr>
          <w:p w14:paraId="6D1ACFBB">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形式评审与响应性评审标准</w:t>
            </w:r>
          </w:p>
        </w:tc>
        <w:tc>
          <w:tcPr>
            <w:tcW w:w="3913" w:type="pct"/>
            <w:tcBorders>
              <w:left w:val="single" w:color="000000" w:sz="6" w:space="0"/>
            </w:tcBorders>
          </w:tcPr>
          <w:p w14:paraId="6264A6BF">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（1）投标文件按照招标文件规定的格式、内容填写；</w:t>
            </w:r>
          </w:p>
          <w:p w14:paraId="6AB030F7">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a.投标函按招标文件规定填报了项目名称、标段号、补遗书编号（如有）、服务期限、投标价（包括大写金额和小写金额）；</w:t>
            </w:r>
          </w:p>
          <w:p w14:paraId="5414B541">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b.投标文件组成齐全完整，内容均按规定填写。</w:t>
            </w:r>
          </w:p>
          <w:p w14:paraId="5EFFEAB3">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（2）投标文件签字、盖章齐全，符合招标文件规定；</w:t>
            </w:r>
          </w:p>
          <w:p w14:paraId="33337C5B">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（3）投标人按照第二章“投标人须知”第3.4.1项规定的金额、形式、时间等要求提供了投标保证金；</w:t>
            </w:r>
          </w:p>
          <w:p w14:paraId="14623B42">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（4）投标人提供了法定代表人身份证明,法定代表人姓名和签字人员一致；</w:t>
            </w:r>
          </w:p>
          <w:p w14:paraId="470B3CE9">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（5）投标人未采用联合体形式投标；</w:t>
            </w:r>
          </w:p>
          <w:p w14:paraId="30B51126">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（6）投标人不得有分包项目；</w:t>
            </w:r>
          </w:p>
          <w:p w14:paraId="45763F58">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（7）同一投标人未提交两个以上不同的投标文件；</w:t>
            </w:r>
          </w:p>
          <w:p w14:paraId="5D52B2E3">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（8）投标文件载明的服务期限未超过招标文件规定的时限；</w:t>
            </w:r>
          </w:p>
          <w:p w14:paraId="565FE904">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（9）投标报价未超过最高投标限价；</w:t>
            </w:r>
          </w:p>
          <w:p w14:paraId="61339C44">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（10）投标报价的大写金额能够确定具体数值且同一投标人未提交两个以上不同的投标报价；</w:t>
            </w:r>
          </w:p>
          <w:p w14:paraId="0F1958A1">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sz w:val="18"/>
                <w:szCs w:val="18"/>
              </w:rPr>
            </w:pPr>
            <w:r>
              <w:rPr>
                <w:rFonts w:hint="eastAsia" w:ascii="宋体" w:hAnsi="宋体"/>
                <w:sz w:val="18"/>
                <w:szCs w:val="18"/>
              </w:rPr>
              <w:t>（11）投标文件没有对招标人的权利提出削弱性或限制性要求，没有对投标人的责任和义务提出实质性修改；</w:t>
            </w:r>
          </w:p>
          <w:p w14:paraId="1D5A9444">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hint="eastAsia" w:ascii="宋体" w:hAnsi="宋体"/>
                <w:sz w:val="18"/>
                <w:szCs w:val="18"/>
              </w:rPr>
              <w:t>（12）投标文件未附有招标人不能接受的条件。</w:t>
            </w:r>
          </w:p>
        </w:tc>
      </w:tr>
      <w:tr w14:paraId="732F9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5" w:hRule="atLeast"/>
          <w:jc w:val="center"/>
        </w:trPr>
        <w:tc>
          <w:tcPr>
            <w:tcW w:w="363" w:type="pct"/>
            <w:vAlign w:val="center"/>
          </w:tcPr>
          <w:p w14:paraId="230865A7">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2.1.2</w:t>
            </w:r>
          </w:p>
        </w:tc>
        <w:tc>
          <w:tcPr>
            <w:tcW w:w="722" w:type="pct"/>
            <w:tcBorders>
              <w:right w:val="single" w:color="000000" w:sz="6" w:space="0"/>
            </w:tcBorders>
            <w:vAlign w:val="center"/>
          </w:tcPr>
          <w:p w14:paraId="386E7602">
            <w:pPr>
              <w:keepNext w:val="0"/>
              <w:keepLines w:val="0"/>
              <w:pageBreakBefore w:val="0"/>
              <w:widowControl w:val="0"/>
              <w:kinsoku/>
              <w:wordWrap/>
              <w:overflowPunct/>
              <w:topLinePunct w:val="0"/>
              <w:autoSpaceDE w:val="0"/>
              <w:autoSpaceDN w:val="0"/>
              <w:bidi w:val="0"/>
              <w:snapToGrid w:val="0"/>
              <w:spacing w:line="280" w:lineRule="exact"/>
              <w:ind w:firstLine="0" w:firstLineChars="0"/>
              <w:jc w:val="center"/>
              <w:textAlignment w:val="auto"/>
              <w:rPr>
                <w:rFonts w:ascii="宋体" w:hAnsi="宋体"/>
                <w:sz w:val="18"/>
                <w:szCs w:val="18"/>
              </w:rPr>
            </w:pPr>
            <w:r>
              <w:rPr>
                <w:rFonts w:ascii="宋体" w:hAnsi="宋体"/>
                <w:sz w:val="18"/>
                <w:szCs w:val="18"/>
              </w:rPr>
              <w:t>资格评审标准</w:t>
            </w:r>
          </w:p>
        </w:tc>
        <w:tc>
          <w:tcPr>
            <w:tcW w:w="3913" w:type="pct"/>
            <w:tcBorders>
              <w:left w:val="single" w:color="000000" w:sz="6" w:space="0"/>
            </w:tcBorders>
          </w:tcPr>
          <w:p w14:paraId="3F60B6BC">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（1）投标人具备有效的营业执照</w:t>
            </w:r>
            <w:r>
              <w:rPr>
                <w:rFonts w:hint="eastAsia" w:ascii="宋体" w:hAnsi="宋体"/>
                <w:sz w:val="18"/>
                <w:szCs w:val="18"/>
              </w:rPr>
              <w:t>（或事业法人证书）</w:t>
            </w:r>
            <w:r>
              <w:rPr>
                <w:rFonts w:ascii="宋体" w:hAnsi="宋体"/>
                <w:sz w:val="18"/>
                <w:szCs w:val="18"/>
              </w:rPr>
              <w:t>和基本账户开户证明材料</w:t>
            </w:r>
            <w:r>
              <w:rPr>
                <w:rFonts w:hint="eastAsia" w:ascii="宋体" w:hAnsi="宋体"/>
                <w:sz w:val="18"/>
                <w:szCs w:val="18"/>
              </w:rPr>
              <w:t>。</w:t>
            </w:r>
          </w:p>
          <w:p w14:paraId="51F28BF5">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lang w:val="en-US" w:eastAsia="zh-CN"/>
              </w:rPr>
              <w:t>2</w:t>
            </w:r>
            <w:r>
              <w:rPr>
                <w:rFonts w:ascii="宋体" w:hAnsi="宋体"/>
                <w:sz w:val="18"/>
                <w:szCs w:val="18"/>
              </w:rPr>
              <w:t>）投标人的</w:t>
            </w:r>
            <w:r>
              <w:rPr>
                <w:rFonts w:hAnsi="宋体"/>
                <w:color w:val="000000"/>
                <w:sz w:val="18"/>
                <w:szCs w:val="18"/>
              </w:rPr>
              <w:t>资质等级</w:t>
            </w:r>
            <w:r>
              <w:rPr>
                <w:rFonts w:ascii="宋体" w:hAnsi="宋体"/>
                <w:sz w:val="18"/>
                <w:szCs w:val="18"/>
              </w:rPr>
              <w:t>符合招标文件规定。</w:t>
            </w:r>
          </w:p>
          <w:p w14:paraId="534D6DB5">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hint="eastAsia" w:ascii="宋体" w:hAnsi="宋体"/>
                <w:sz w:val="18"/>
                <w:szCs w:val="18"/>
                <w:lang w:eastAsia="zh-CN"/>
              </w:rPr>
              <w:t>（</w:t>
            </w:r>
            <w:r>
              <w:rPr>
                <w:rFonts w:hint="eastAsia" w:ascii="宋体" w:hAnsi="宋体"/>
                <w:sz w:val="18"/>
                <w:szCs w:val="18"/>
                <w:lang w:val="en-US" w:eastAsia="zh-CN"/>
              </w:rPr>
              <w:t>3</w:t>
            </w:r>
            <w:r>
              <w:rPr>
                <w:rFonts w:hint="eastAsia" w:ascii="宋体" w:hAnsi="宋体"/>
                <w:sz w:val="18"/>
                <w:szCs w:val="18"/>
                <w:lang w:eastAsia="zh-CN"/>
              </w:rPr>
              <w:t>）</w:t>
            </w:r>
            <w:r>
              <w:rPr>
                <w:rFonts w:ascii="宋体" w:hAnsi="宋体"/>
                <w:sz w:val="18"/>
                <w:szCs w:val="18"/>
              </w:rPr>
              <w:t>投标人的</w:t>
            </w:r>
            <w:r>
              <w:rPr>
                <w:rFonts w:hint="eastAsia" w:hAnsi="宋体"/>
                <w:color w:val="000000"/>
                <w:sz w:val="18"/>
                <w:szCs w:val="18"/>
                <w:lang w:eastAsia="zh-CN"/>
              </w:rPr>
              <w:t>类似项目业绩</w:t>
            </w:r>
            <w:r>
              <w:rPr>
                <w:rFonts w:ascii="宋体" w:hAnsi="宋体"/>
                <w:sz w:val="18"/>
                <w:szCs w:val="18"/>
              </w:rPr>
              <w:t>符合招标文件规定。</w:t>
            </w:r>
          </w:p>
          <w:p w14:paraId="21A90532">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lang w:val="en-US" w:eastAsia="zh-CN"/>
              </w:rPr>
              <w:t>4</w:t>
            </w:r>
            <w:r>
              <w:rPr>
                <w:rFonts w:ascii="宋体" w:hAnsi="宋体"/>
                <w:sz w:val="18"/>
                <w:szCs w:val="18"/>
              </w:rPr>
              <w:t>）投标人的项目负责人资格符合招标文件规定。</w:t>
            </w:r>
          </w:p>
          <w:p w14:paraId="641D74F8">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hint="eastAsia" w:ascii="宋体" w:hAnsi="宋体" w:eastAsia="宋体"/>
                <w:sz w:val="18"/>
                <w:szCs w:val="18"/>
                <w:lang w:eastAsia="zh-CN"/>
              </w:rPr>
            </w:pPr>
            <w:r>
              <w:rPr>
                <w:rFonts w:hint="eastAsia" w:ascii="宋体" w:hAnsi="宋体"/>
                <w:sz w:val="18"/>
                <w:szCs w:val="18"/>
                <w:lang w:eastAsia="zh-CN"/>
              </w:rPr>
              <w:t>（</w:t>
            </w:r>
            <w:r>
              <w:rPr>
                <w:rFonts w:hint="eastAsia" w:ascii="宋体" w:hAnsi="宋体"/>
                <w:sz w:val="18"/>
                <w:szCs w:val="18"/>
                <w:lang w:val="en-US" w:eastAsia="zh-CN"/>
              </w:rPr>
              <w:t>5</w:t>
            </w:r>
            <w:r>
              <w:rPr>
                <w:rFonts w:hint="eastAsia" w:ascii="宋体" w:hAnsi="宋体"/>
                <w:sz w:val="18"/>
                <w:szCs w:val="18"/>
                <w:lang w:eastAsia="zh-CN"/>
              </w:rPr>
              <w:t>）</w:t>
            </w:r>
            <w:r>
              <w:rPr>
                <w:rFonts w:ascii="宋体" w:hAnsi="宋体"/>
                <w:sz w:val="18"/>
                <w:szCs w:val="18"/>
              </w:rPr>
              <w:t>投标人的其他</w:t>
            </w:r>
            <w:r>
              <w:rPr>
                <w:rFonts w:hint="eastAsia" w:ascii="宋体" w:hAnsi="宋体"/>
                <w:sz w:val="18"/>
                <w:szCs w:val="18"/>
                <w:lang w:eastAsia="zh-CN"/>
              </w:rPr>
              <w:t>人员资格</w:t>
            </w:r>
            <w:r>
              <w:rPr>
                <w:rFonts w:ascii="宋体" w:hAnsi="宋体"/>
                <w:sz w:val="18"/>
                <w:szCs w:val="18"/>
              </w:rPr>
              <w:t>符合招标文件规定。</w:t>
            </w:r>
          </w:p>
          <w:p w14:paraId="6B276381">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lang w:val="en-US" w:eastAsia="zh-CN"/>
              </w:rPr>
              <w:t>6</w:t>
            </w:r>
            <w:r>
              <w:rPr>
                <w:rFonts w:ascii="宋体" w:hAnsi="宋体"/>
                <w:sz w:val="18"/>
                <w:szCs w:val="18"/>
              </w:rPr>
              <w:t>）投标人的其他要求符合招标文件规定。</w:t>
            </w:r>
          </w:p>
          <w:p w14:paraId="6AA68B8F">
            <w:pPr>
              <w:keepNext w:val="0"/>
              <w:keepLines w:val="0"/>
              <w:pageBreakBefore w:val="0"/>
              <w:widowControl w:val="0"/>
              <w:kinsoku/>
              <w:wordWrap/>
              <w:overflowPunct/>
              <w:topLinePunct w:val="0"/>
              <w:autoSpaceDE w:val="0"/>
              <w:autoSpaceDN w:val="0"/>
              <w:bidi w:val="0"/>
              <w:adjustRightInd w:val="0"/>
              <w:snapToGrid w:val="0"/>
              <w:spacing w:line="280" w:lineRule="exact"/>
              <w:ind w:firstLine="0" w:firstLineChars="0"/>
              <w:textAlignment w:val="auto"/>
              <w:rPr>
                <w:rFonts w:ascii="宋体" w:hAnsi="宋体"/>
                <w:sz w:val="18"/>
                <w:szCs w:val="18"/>
              </w:rPr>
            </w:pPr>
            <w:r>
              <w:rPr>
                <w:rFonts w:ascii="宋体" w:hAnsi="宋体"/>
                <w:sz w:val="18"/>
                <w:szCs w:val="18"/>
              </w:rPr>
              <w:t>（</w:t>
            </w:r>
            <w:r>
              <w:rPr>
                <w:rFonts w:hint="eastAsia" w:ascii="宋体" w:hAnsi="宋体"/>
                <w:sz w:val="18"/>
                <w:szCs w:val="18"/>
                <w:lang w:val="en-US" w:eastAsia="zh-CN"/>
              </w:rPr>
              <w:t>7</w:t>
            </w:r>
            <w:r>
              <w:rPr>
                <w:rFonts w:ascii="宋体" w:hAnsi="宋体"/>
                <w:sz w:val="18"/>
                <w:szCs w:val="18"/>
              </w:rPr>
              <w:t>）投标人不存在第二章“投标人须知”第1.4.3项或第1.4.4项规定的任何一种情形。</w:t>
            </w:r>
          </w:p>
        </w:tc>
      </w:tr>
    </w:tbl>
    <w:p w14:paraId="0E533B7C">
      <w:pPr>
        <w:pStyle w:val="4"/>
        <w:ind w:left="0" w:leftChars="0" w:firstLine="0" w:firstLineChars="0"/>
        <w:rPr>
          <w:rFonts w:hint="eastAsia"/>
        </w:rPr>
      </w:pPr>
    </w:p>
    <w:p w14:paraId="5A0829CC">
      <w:pPr>
        <w:rPr>
          <w:rFonts w:hint="eastAsia" w:ascii="宋体" w:hAnsi="宋体" w:eastAsia="宋体" w:cs="宋体"/>
          <w:b w:val="0"/>
          <w:sz w:val="18"/>
          <w:szCs w:val="18"/>
        </w:rPr>
      </w:pPr>
      <w:r>
        <w:rPr>
          <w:rFonts w:hint="eastAsia" w:ascii="宋体" w:hAnsi="宋体" w:eastAsia="宋体" w:cs="宋体"/>
          <w:b w:val="0"/>
          <w:sz w:val="18"/>
          <w:szCs w:val="18"/>
        </w:rPr>
        <w:br w:type="page"/>
      </w:r>
    </w:p>
    <w:p w14:paraId="4EBF88F1">
      <w:pPr>
        <w:ind w:left="0" w:leftChars="0" w:firstLine="0" w:firstLineChars="0"/>
        <w:rPr>
          <w:rFonts w:hint="eastAsia"/>
          <w:b w:val="0"/>
          <w:sz w:val="28"/>
          <w:szCs w:val="28"/>
        </w:rPr>
      </w:pPr>
    </w:p>
    <w:tbl>
      <w:tblPr>
        <w:tblStyle w:val="12"/>
        <w:tblW w:w="10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1"/>
        <w:gridCol w:w="1757"/>
        <w:gridCol w:w="7660"/>
      </w:tblGrid>
      <w:tr w14:paraId="0892C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9" w:hRule="atLeast"/>
          <w:jc w:val="center"/>
        </w:trPr>
        <w:tc>
          <w:tcPr>
            <w:tcW w:w="1001" w:type="dxa"/>
            <w:vAlign w:val="center"/>
          </w:tcPr>
          <w:p w14:paraId="75E60104">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条款号</w:t>
            </w:r>
          </w:p>
        </w:tc>
        <w:tc>
          <w:tcPr>
            <w:tcW w:w="1757" w:type="dxa"/>
            <w:vAlign w:val="center"/>
          </w:tcPr>
          <w:p w14:paraId="5B5CB71D">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条款内容</w:t>
            </w:r>
          </w:p>
        </w:tc>
        <w:tc>
          <w:tcPr>
            <w:tcW w:w="7660" w:type="dxa"/>
            <w:vAlign w:val="center"/>
          </w:tcPr>
          <w:p w14:paraId="5007F134">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b/>
                <w:snapToGrid w:val="0"/>
                <w:sz w:val="18"/>
                <w:szCs w:val="18"/>
              </w:rPr>
            </w:pPr>
            <w:r>
              <w:rPr>
                <w:rFonts w:hint="eastAsia" w:ascii="宋体" w:hAnsi="宋体" w:eastAsia="宋体" w:cs="宋体"/>
                <w:b/>
                <w:snapToGrid w:val="0"/>
                <w:sz w:val="18"/>
                <w:szCs w:val="18"/>
              </w:rPr>
              <w:t>编列内容</w:t>
            </w:r>
          </w:p>
        </w:tc>
      </w:tr>
      <w:tr w14:paraId="0E165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8" w:hRule="atLeast"/>
          <w:jc w:val="center"/>
        </w:trPr>
        <w:tc>
          <w:tcPr>
            <w:tcW w:w="1001" w:type="dxa"/>
            <w:vAlign w:val="center"/>
          </w:tcPr>
          <w:p w14:paraId="55A8AAD2">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2.2.1</w:t>
            </w:r>
          </w:p>
        </w:tc>
        <w:tc>
          <w:tcPr>
            <w:tcW w:w="1757" w:type="dxa"/>
            <w:vAlign w:val="center"/>
          </w:tcPr>
          <w:p w14:paraId="25AB44BF">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分值构成</w:t>
            </w:r>
          </w:p>
          <w:p w14:paraId="0AD9201B">
            <w:pPr>
              <w:pStyle w:val="25"/>
              <w:keepNext w:val="0"/>
              <w:pageBreakBefore w:val="0"/>
              <w:widowControl w:val="0"/>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（总分 100 分）</w:t>
            </w:r>
          </w:p>
        </w:tc>
        <w:tc>
          <w:tcPr>
            <w:tcW w:w="7660" w:type="dxa"/>
            <w:vAlign w:val="center"/>
          </w:tcPr>
          <w:p w14:paraId="1E6F8985">
            <w:pPr>
              <w:pStyle w:val="25"/>
              <w:keepNext w:val="0"/>
              <w:pageBreakBefore w:val="0"/>
              <w:widowControl w:val="0"/>
              <w:tabs>
                <w:tab w:val="left" w:pos="1568"/>
              </w:tabs>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snapToGrid w:val="0"/>
                <w:sz w:val="18"/>
                <w:szCs w:val="18"/>
                <w:highlight w:val="none"/>
              </w:rPr>
            </w:pPr>
            <w:r>
              <w:rPr>
                <w:rFonts w:hint="eastAsia" w:ascii="宋体" w:hAnsi="宋体" w:eastAsia="宋体" w:cs="宋体"/>
                <w:snapToGrid w:val="0"/>
                <w:sz w:val="18"/>
                <w:szCs w:val="18"/>
              </w:rPr>
              <w:t>技</w:t>
            </w:r>
            <w:r>
              <w:rPr>
                <w:rFonts w:hint="eastAsia" w:ascii="宋体" w:hAnsi="宋体" w:eastAsia="宋体" w:cs="宋体"/>
                <w:snapToGrid w:val="0"/>
                <w:sz w:val="18"/>
                <w:szCs w:val="18"/>
                <w:highlight w:val="none"/>
              </w:rPr>
              <w:t>术建议书：</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25</w:t>
            </w:r>
            <w:r>
              <w:rPr>
                <w:rFonts w:hint="eastAsia" w:ascii="宋体" w:hAnsi="宋体" w:eastAsia="宋体" w:cs="宋体"/>
                <w:snapToGrid w:val="0"/>
                <w:sz w:val="18"/>
                <w:szCs w:val="18"/>
                <w:highlight w:val="none"/>
              </w:rPr>
              <w:t>分</w:t>
            </w:r>
          </w:p>
          <w:p w14:paraId="48F2D38F">
            <w:pPr>
              <w:pStyle w:val="25"/>
              <w:keepNext w:val="0"/>
              <w:pageBreakBefore w:val="0"/>
              <w:widowControl w:val="0"/>
              <w:tabs>
                <w:tab w:val="left" w:pos="1568"/>
              </w:tabs>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snapToGrid w:val="0"/>
                <w:sz w:val="18"/>
                <w:szCs w:val="18"/>
                <w:highlight w:val="none"/>
              </w:rPr>
            </w:pPr>
            <w:r>
              <w:rPr>
                <w:rFonts w:hint="eastAsia" w:ascii="宋体" w:hAnsi="宋体" w:eastAsia="宋体" w:cs="宋体"/>
                <w:snapToGrid w:val="0"/>
                <w:sz w:val="18"/>
                <w:szCs w:val="18"/>
                <w:highlight w:val="none"/>
              </w:rPr>
              <w:t>主要人员：</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25</w:t>
            </w:r>
            <w:r>
              <w:rPr>
                <w:rFonts w:hint="eastAsia" w:ascii="宋体" w:hAnsi="宋体" w:eastAsia="宋体" w:cs="宋体"/>
                <w:snapToGrid w:val="0"/>
                <w:sz w:val="18"/>
                <w:szCs w:val="18"/>
                <w:highlight w:val="none"/>
              </w:rPr>
              <w:t>分</w:t>
            </w:r>
          </w:p>
          <w:p w14:paraId="2AFE7101">
            <w:pPr>
              <w:pStyle w:val="25"/>
              <w:keepNext w:val="0"/>
              <w:pageBreakBefore w:val="0"/>
              <w:widowControl w:val="0"/>
              <w:tabs>
                <w:tab w:val="left" w:pos="1568"/>
              </w:tabs>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snapToGrid w:val="0"/>
                <w:sz w:val="18"/>
                <w:szCs w:val="18"/>
                <w:highlight w:val="red"/>
              </w:rPr>
            </w:pPr>
            <w:r>
              <w:rPr>
                <w:rFonts w:hint="eastAsia" w:ascii="宋体" w:hAnsi="宋体" w:eastAsia="宋体" w:cs="宋体"/>
                <w:snapToGrid w:val="0"/>
                <w:sz w:val="18"/>
                <w:szCs w:val="18"/>
                <w:highlight w:val="none"/>
              </w:rPr>
              <w:t>其他因素：</w:t>
            </w:r>
            <w:r>
              <w:rPr>
                <w:rFonts w:hint="eastAsia" w:ascii="宋体" w:hAnsi="宋体" w:eastAsia="宋体" w:cs="宋体"/>
                <w:snapToGrid w:val="0"/>
                <w:sz w:val="18"/>
                <w:szCs w:val="18"/>
                <w:highlight w:val="none"/>
              </w:rPr>
              <w:tab/>
            </w:r>
            <w:r>
              <w:rPr>
                <w:rFonts w:hint="eastAsia" w:ascii="宋体" w:hAnsi="宋体" w:eastAsia="宋体" w:cs="宋体"/>
                <w:snapToGrid w:val="0"/>
                <w:sz w:val="18"/>
                <w:szCs w:val="18"/>
                <w:highlight w:val="none"/>
                <w:lang w:val="en-US" w:eastAsia="zh-CN"/>
              </w:rPr>
              <w:t>40</w:t>
            </w:r>
            <w:r>
              <w:rPr>
                <w:rFonts w:hint="eastAsia" w:ascii="宋体" w:hAnsi="宋体" w:eastAsia="宋体" w:cs="宋体"/>
                <w:snapToGrid w:val="0"/>
                <w:sz w:val="18"/>
                <w:szCs w:val="18"/>
                <w:highlight w:val="none"/>
              </w:rPr>
              <w:t>分</w:t>
            </w:r>
          </w:p>
          <w:p w14:paraId="6B6A0356">
            <w:pPr>
              <w:pStyle w:val="25"/>
              <w:keepNext w:val="0"/>
              <w:pageBreakBefore w:val="0"/>
              <w:widowControl w:val="0"/>
              <w:tabs>
                <w:tab w:val="left" w:pos="1568"/>
              </w:tabs>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 标 价：</w:t>
            </w:r>
            <w:r>
              <w:rPr>
                <w:rFonts w:hint="eastAsia" w:ascii="宋体" w:hAnsi="宋体" w:eastAsia="宋体" w:cs="宋体"/>
                <w:snapToGrid w:val="0"/>
                <w:sz w:val="18"/>
                <w:szCs w:val="18"/>
              </w:rPr>
              <w:tab/>
            </w:r>
            <w:r>
              <w:rPr>
                <w:rFonts w:hint="eastAsia" w:ascii="宋体" w:hAnsi="宋体" w:eastAsia="宋体" w:cs="宋体"/>
                <w:snapToGrid w:val="0"/>
                <w:sz w:val="18"/>
                <w:szCs w:val="18"/>
              </w:rPr>
              <w:t>10分</w:t>
            </w:r>
          </w:p>
        </w:tc>
      </w:tr>
      <w:tr w14:paraId="5DDA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5" w:hRule="atLeast"/>
          <w:jc w:val="center"/>
        </w:trPr>
        <w:tc>
          <w:tcPr>
            <w:tcW w:w="1001" w:type="dxa"/>
            <w:vAlign w:val="center"/>
          </w:tcPr>
          <w:p w14:paraId="63C13E5A">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2.2.2</w:t>
            </w:r>
          </w:p>
        </w:tc>
        <w:tc>
          <w:tcPr>
            <w:tcW w:w="1757" w:type="dxa"/>
            <w:vAlign w:val="center"/>
          </w:tcPr>
          <w:p w14:paraId="621FD176">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评标基准价计算方法</w:t>
            </w:r>
          </w:p>
        </w:tc>
        <w:tc>
          <w:tcPr>
            <w:tcW w:w="7660" w:type="dxa"/>
            <w:vAlign w:val="center"/>
          </w:tcPr>
          <w:p w14:paraId="7D2EF068">
            <w:pPr>
              <w:keepNext w:val="0"/>
              <w:keepLines/>
              <w:pageBreakBefore w:val="0"/>
              <w:widowControl w:val="0"/>
              <w:tabs>
                <w:tab w:val="left" w:pos="914"/>
              </w:tabs>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评标基准价的计算：</w:t>
            </w:r>
          </w:p>
          <w:p w14:paraId="00F50F55">
            <w:pPr>
              <w:keepNext w:val="0"/>
              <w:keepLines/>
              <w:pageBreakBefore w:val="0"/>
              <w:widowControl w:val="0"/>
              <w:tabs>
                <w:tab w:val="left" w:pos="914"/>
              </w:tabs>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在开标现场，招标人将当场计算并宣布评标基准价。</w:t>
            </w:r>
          </w:p>
          <w:p w14:paraId="15473A7D">
            <w:pPr>
              <w:keepNext w:val="0"/>
              <w:keepLines/>
              <w:pageBreakBefore w:val="0"/>
              <w:widowControl w:val="0"/>
              <w:tabs>
                <w:tab w:val="left" w:pos="914"/>
              </w:tabs>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（1）评标价的确定：评标价＝投标函文字报价</w:t>
            </w:r>
          </w:p>
          <w:p w14:paraId="7A3F8471">
            <w:pPr>
              <w:keepNext w:val="0"/>
              <w:keepLines/>
              <w:pageBreakBefore w:val="0"/>
              <w:widowControl w:val="0"/>
              <w:tabs>
                <w:tab w:val="left" w:pos="914"/>
              </w:tabs>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rPr>
              <w:t>（2）评标价平均值的计算：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70B15999">
            <w:pPr>
              <w:keepNext w:val="0"/>
              <w:keepLines/>
              <w:pageBreakBefore w:val="0"/>
              <w:widowControl w:val="0"/>
              <w:tabs>
                <w:tab w:val="left" w:pos="914"/>
              </w:tabs>
              <w:kinsoku/>
              <w:wordWrap/>
              <w:overflowPunct/>
              <w:topLinePunct w:val="0"/>
              <w:autoSpaceDE/>
              <w:autoSpaceDN/>
              <w:bidi w:val="0"/>
              <w:snapToGrid w:val="0"/>
              <w:spacing w:line="240" w:lineRule="auto"/>
              <w:ind w:left="0" w:right="0" w:firstLine="0" w:firstLineChars="0"/>
              <w:jc w:val="left"/>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（3）评标基准价的确定：将评标价平均值直接作为评标基准价。</w:t>
            </w:r>
          </w:p>
          <w:p w14:paraId="2FD086FE">
            <w:pPr>
              <w:keepNext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sz w:val="18"/>
                <w:szCs w:val="18"/>
              </w:rPr>
            </w:pPr>
            <w:r>
              <w:rPr>
                <w:rFonts w:hint="eastAsia" w:ascii="宋体" w:hAnsi="宋体" w:eastAsia="宋体" w:cs="宋体"/>
                <w:sz w:val="18"/>
                <w:szCs w:val="18"/>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579B9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7" w:hRule="atLeast"/>
          <w:jc w:val="center"/>
        </w:trPr>
        <w:tc>
          <w:tcPr>
            <w:tcW w:w="1001" w:type="dxa"/>
            <w:vAlign w:val="center"/>
          </w:tcPr>
          <w:p w14:paraId="2D0F54C3">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2.2.3</w:t>
            </w:r>
          </w:p>
        </w:tc>
        <w:tc>
          <w:tcPr>
            <w:tcW w:w="1757" w:type="dxa"/>
            <w:vAlign w:val="center"/>
          </w:tcPr>
          <w:p w14:paraId="19ED549B">
            <w:pPr>
              <w:pStyle w:val="25"/>
              <w:keepNext w:val="0"/>
              <w:pageBreakBefore w:val="0"/>
              <w:widowControl w:val="0"/>
              <w:kinsoku/>
              <w:wordWrap/>
              <w:overflowPunct/>
              <w:topLinePunct w:val="0"/>
              <w:autoSpaceDE/>
              <w:autoSpaceDN/>
              <w:bidi w:val="0"/>
              <w:snapToGrid w:val="0"/>
              <w:spacing w:line="240" w:lineRule="auto"/>
              <w:ind w:left="0" w:right="0" w:firstLine="0" w:firstLineChars="0"/>
              <w:jc w:val="center"/>
              <w:textAlignment w:val="auto"/>
              <w:rPr>
                <w:rFonts w:hint="eastAsia" w:ascii="宋体" w:hAnsi="宋体" w:eastAsia="宋体" w:cs="宋体"/>
                <w:snapToGrid w:val="0"/>
                <w:sz w:val="18"/>
                <w:szCs w:val="18"/>
              </w:rPr>
            </w:pPr>
            <w:r>
              <w:rPr>
                <w:rFonts w:hint="eastAsia" w:ascii="宋体" w:hAnsi="宋体" w:eastAsia="宋体" w:cs="宋体"/>
                <w:snapToGrid w:val="0"/>
                <w:sz w:val="18"/>
                <w:szCs w:val="18"/>
              </w:rPr>
              <w:t>评标价的偏差率计算公式</w:t>
            </w:r>
          </w:p>
        </w:tc>
        <w:tc>
          <w:tcPr>
            <w:tcW w:w="7660" w:type="dxa"/>
            <w:vAlign w:val="center"/>
          </w:tcPr>
          <w:p w14:paraId="10E9AC7D">
            <w:pPr>
              <w:keepNext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color w:val="000000"/>
                <w:sz w:val="18"/>
                <w:szCs w:val="18"/>
                <w:lang w:val="zh-TW" w:eastAsia="zh-TW" w:bidi="zh-TW"/>
              </w:rPr>
            </w:pPr>
            <w:r>
              <w:rPr>
                <w:rFonts w:hint="eastAsia" w:ascii="宋体" w:hAnsi="宋体" w:eastAsia="宋体" w:cs="宋体"/>
                <w:color w:val="000000"/>
                <w:sz w:val="18"/>
                <w:szCs w:val="18"/>
                <w:lang w:val="zh-TW" w:eastAsia="zh-TW" w:bidi="zh-TW"/>
              </w:rPr>
              <w:t>偏差率=100%</w:t>
            </w:r>
            <w:r>
              <w:rPr>
                <w:rFonts w:hint="eastAsia" w:ascii="宋体" w:hAnsi="宋体" w:eastAsia="宋体" w:cs="宋体"/>
                <w:color w:val="000000"/>
                <w:sz w:val="18"/>
                <w:szCs w:val="18"/>
                <w:lang w:bidi="en-US"/>
              </w:rPr>
              <w:t>×</w:t>
            </w:r>
            <w:r>
              <w:rPr>
                <w:rFonts w:hint="eastAsia" w:ascii="宋体" w:hAnsi="宋体" w:eastAsia="宋体" w:cs="宋体"/>
                <w:color w:val="000000"/>
                <w:sz w:val="18"/>
                <w:szCs w:val="18"/>
                <w:lang w:val="zh-TW" w:eastAsia="zh-TW" w:bidi="en-US"/>
              </w:rPr>
              <w:t>（</w:t>
            </w:r>
            <w:r>
              <w:rPr>
                <w:rFonts w:hint="eastAsia" w:ascii="宋体" w:hAnsi="宋体" w:eastAsia="宋体" w:cs="宋体"/>
                <w:color w:val="000000"/>
                <w:sz w:val="18"/>
                <w:szCs w:val="18"/>
                <w:lang w:val="zh-TW" w:eastAsia="zh-TW" w:bidi="zh-TW"/>
              </w:rPr>
              <w:t>投标人评标价-评标基准价</w:t>
            </w:r>
            <w:r>
              <w:rPr>
                <w:rFonts w:hint="eastAsia" w:ascii="宋体" w:hAnsi="宋体" w:eastAsia="宋体" w:cs="宋体"/>
                <w:color w:val="000000"/>
                <w:sz w:val="18"/>
                <w:szCs w:val="18"/>
                <w:lang w:val="zh-TW" w:eastAsia="zh-TW" w:bidi="en-US"/>
              </w:rPr>
              <w:t>）/</w:t>
            </w:r>
            <w:r>
              <w:rPr>
                <w:rFonts w:hint="eastAsia" w:ascii="宋体" w:hAnsi="宋体" w:eastAsia="宋体" w:cs="宋体"/>
                <w:color w:val="000000"/>
                <w:sz w:val="18"/>
                <w:szCs w:val="18"/>
                <w:lang w:val="zh-TW" w:eastAsia="zh-TW" w:bidi="zh-TW"/>
              </w:rPr>
              <w:t>评标基准价</w:t>
            </w:r>
          </w:p>
          <w:p w14:paraId="4CDD1D92">
            <w:pPr>
              <w:keepNext w:val="0"/>
              <w:pageBreakBefore w:val="0"/>
              <w:widowControl w:val="0"/>
              <w:kinsoku/>
              <w:wordWrap/>
              <w:overflowPunct/>
              <w:topLinePunct w:val="0"/>
              <w:autoSpaceDE/>
              <w:autoSpaceDN/>
              <w:bidi w:val="0"/>
              <w:adjustRightInd w:val="0"/>
              <w:snapToGrid w:val="0"/>
              <w:spacing w:line="240" w:lineRule="auto"/>
              <w:ind w:left="0" w:right="0" w:firstLine="0" w:firstLineChars="0"/>
              <w:jc w:val="left"/>
              <w:textAlignment w:val="auto"/>
              <w:rPr>
                <w:rFonts w:hint="eastAsia" w:ascii="宋体" w:hAnsi="宋体" w:eastAsia="宋体" w:cs="宋体"/>
                <w:color w:val="000000"/>
                <w:kern w:val="0"/>
                <w:sz w:val="18"/>
                <w:szCs w:val="18"/>
                <w:lang w:val="zh-TW" w:eastAsia="zh-TW" w:bidi="zh-TW"/>
              </w:rPr>
            </w:pPr>
            <w:r>
              <w:rPr>
                <w:rFonts w:hint="eastAsia" w:ascii="宋体" w:hAnsi="宋体" w:eastAsia="宋体" w:cs="宋体"/>
                <w:color w:val="000000"/>
                <w:kern w:val="0"/>
                <w:sz w:val="18"/>
                <w:szCs w:val="18"/>
                <w:lang w:val="zh-TW" w:eastAsia="zh-TW" w:bidi="zh-TW"/>
              </w:rPr>
              <w:t>偏差率保留小数点后两位（</w:t>
            </w:r>
            <w:r>
              <w:rPr>
                <w:rFonts w:hint="eastAsia" w:ascii="宋体" w:hAnsi="宋体" w:eastAsia="宋体" w:cs="宋体"/>
                <w:color w:val="000000"/>
                <w:kern w:val="0"/>
                <w:sz w:val="18"/>
                <w:szCs w:val="18"/>
                <w:lang w:val="zh-TW" w:bidi="zh-TW"/>
              </w:rPr>
              <w:t>*</w:t>
            </w:r>
            <w:r>
              <w:rPr>
                <w:rFonts w:hint="eastAsia" w:ascii="宋体" w:hAnsi="宋体" w:eastAsia="宋体" w:cs="宋体"/>
                <w:color w:val="000000"/>
                <w:kern w:val="0"/>
                <w:sz w:val="18"/>
                <w:szCs w:val="18"/>
                <w:lang w:val="zh-TW" w:eastAsia="zh-TW" w:bidi="zh-TW"/>
              </w:rPr>
              <w:t>*.**%），小数点后第三位“四舍五入”。</w:t>
            </w:r>
          </w:p>
        </w:tc>
      </w:tr>
    </w:tbl>
    <w:p w14:paraId="11DE995C">
      <w:pPr>
        <w:ind w:left="0" w:leftChars="0" w:firstLine="0" w:firstLineChars="0"/>
        <w:rPr>
          <w:rFonts w:hint="eastAsia"/>
          <w:b w:val="0"/>
          <w:sz w:val="28"/>
          <w:szCs w:val="28"/>
        </w:rPr>
      </w:pPr>
    </w:p>
    <w:p w14:paraId="64EDE81C">
      <w:pPr>
        <w:rPr>
          <w:rFonts w:hint="eastAsia" w:ascii="宋体" w:hAnsi="宋体"/>
          <w:szCs w:val="21"/>
        </w:rPr>
      </w:pPr>
      <w:r>
        <w:rPr>
          <w:rFonts w:hint="eastAsia" w:ascii="宋体" w:hAnsi="宋体"/>
          <w:szCs w:val="21"/>
        </w:rPr>
        <w:br w:type="page"/>
      </w:r>
    </w:p>
    <w:p w14:paraId="4FCAF9A7">
      <w:pPr>
        <w:snapToGrid w:val="0"/>
        <w:spacing w:line="400" w:lineRule="exact"/>
        <w:ind w:firstLine="435"/>
        <w:rPr>
          <w:rFonts w:ascii="黑体" w:hAnsi="黑体" w:eastAsia="黑体"/>
          <w:sz w:val="18"/>
          <w:szCs w:val="18"/>
        </w:rPr>
      </w:pPr>
      <w:r>
        <w:rPr>
          <w:rFonts w:hint="eastAsia" w:ascii="宋体" w:hAnsi="宋体"/>
          <w:sz w:val="18"/>
          <w:szCs w:val="18"/>
        </w:rPr>
        <w:t>2</w:t>
      </w:r>
      <w:r>
        <w:rPr>
          <w:rFonts w:ascii="宋体" w:hAnsi="宋体"/>
          <w:sz w:val="18"/>
          <w:szCs w:val="18"/>
        </w:rPr>
        <w:t>.</w:t>
      </w:r>
      <w:r>
        <w:rPr>
          <w:rFonts w:hint="eastAsia" w:ascii="宋体" w:hAnsi="宋体"/>
          <w:sz w:val="18"/>
          <w:szCs w:val="18"/>
          <w:lang w:val="en-US" w:eastAsia="zh-CN"/>
        </w:rPr>
        <w:t>2</w:t>
      </w:r>
      <w:r>
        <w:rPr>
          <w:rFonts w:ascii="宋体" w:hAnsi="宋体"/>
          <w:sz w:val="18"/>
          <w:szCs w:val="18"/>
        </w:rPr>
        <w:t>.</w:t>
      </w:r>
      <w:r>
        <w:rPr>
          <w:rFonts w:hint="eastAsia" w:ascii="宋体" w:hAnsi="宋体"/>
          <w:sz w:val="18"/>
          <w:szCs w:val="18"/>
          <w:lang w:val="en-US" w:eastAsia="zh-CN"/>
        </w:rPr>
        <w:t>4</w:t>
      </w:r>
      <w:r>
        <w:rPr>
          <w:rFonts w:hint="eastAsia" w:ascii="宋体" w:hAnsi="宋体"/>
          <w:sz w:val="18"/>
          <w:szCs w:val="18"/>
        </w:rPr>
        <w:t>各评审因素与评审标准：</w:t>
      </w:r>
    </w:p>
    <w:p w14:paraId="1578834F">
      <w:pPr>
        <w:snapToGrid w:val="0"/>
        <w:spacing w:line="400" w:lineRule="exact"/>
        <w:ind w:firstLine="435"/>
        <w:rPr>
          <w:rFonts w:hint="eastAsia" w:ascii="宋体" w:hAnsi="宋体" w:eastAsia="宋体"/>
          <w:sz w:val="18"/>
          <w:szCs w:val="18"/>
        </w:rPr>
      </w:pPr>
      <w:r>
        <w:rPr>
          <w:rFonts w:hint="eastAsia" w:ascii="宋体" w:hAnsi="宋体" w:eastAsia="宋体"/>
          <w:sz w:val="18"/>
          <w:szCs w:val="18"/>
          <w:lang w:val="en-US" w:eastAsia="zh-CN"/>
        </w:rPr>
        <w:t>SBYS01、HBYS02</w:t>
      </w:r>
      <w:r>
        <w:rPr>
          <w:rFonts w:hint="eastAsia" w:ascii="宋体" w:hAnsi="宋体" w:eastAsia="宋体"/>
          <w:sz w:val="18"/>
          <w:szCs w:val="18"/>
        </w:rPr>
        <w:t>标段：</w:t>
      </w:r>
    </w:p>
    <w:tbl>
      <w:tblPr>
        <w:tblStyle w:val="12"/>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11"/>
        <w:gridCol w:w="1180"/>
        <w:gridCol w:w="962"/>
        <w:gridCol w:w="2455"/>
        <w:gridCol w:w="624"/>
        <w:gridCol w:w="4187"/>
      </w:tblGrid>
      <w:tr w14:paraId="498A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96" w:hRule="atLeast"/>
          <w:tblHeader/>
          <w:jc w:val="center"/>
        </w:trPr>
        <w:tc>
          <w:tcPr>
            <w:tcW w:w="5832" w:type="dxa"/>
            <w:gridSpan w:val="5"/>
            <w:noWrap w:val="0"/>
            <w:vAlign w:val="center"/>
          </w:tcPr>
          <w:p w14:paraId="512A5FC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评审因素与评分值</w:t>
            </w:r>
          </w:p>
        </w:tc>
        <w:tc>
          <w:tcPr>
            <w:tcW w:w="4187" w:type="dxa"/>
            <w:vMerge w:val="restart"/>
            <w:noWrap w:val="0"/>
            <w:vAlign w:val="center"/>
          </w:tcPr>
          <w:p w14:paraId="2ACE6573">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评分标准</w:t>
            </w:r>
          </w:p>
        </w:tc>
      </w:tr>
      <w:tr w14:paraId="532A6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26" w:hRule="atLeast"/>
          <w:tblHeader/>
          <w:jc w:val="center"/>
        </w:trPr>
        <w:tc>
          <w:tcPr>
            <w:tcW w:w="611" w:type="dxa"/>
            <w:noWrap w:val="0"/>
            <w:vAlign w:val="center"/>
          </w:tcPr>
          <w:p w14:paraId="5BD88DF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序号</w:t>
            </w:r>
          </w:p>
        </w:tc>
        <w:tc>
          <w:tcPr>
            <w:tcW w:w="1180" w:type="dxa"/>
            <w:noWrap w:val="0"/>
            <w:vAlign w:val="center"/>
          </w:tcPr>
          <w:p w14:paraId="0F1BBBED">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tc>
        <w:tc>
          <w:tcPr>
            <w:tcW w:w="962" w:type="dxa"/>
            <w:noWrap w:val="0"/>
            <w:vAlign w:val="center"/>
          </w:tcPr>
          <w:p w14:paraId="1115C76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评审因素</w:t>
            </w:r>
          </w:p>
          <w:p w14:paraId="4AF1038E">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评分值</w:t>
            </w:r>
          </w:p>
        </w:tc>
        <w:tc>
          <w:tcPr>
            <w:tcW w:w="2455" w:type="dxa"/>
            <w:noWrap w:val="0"/>
            <w:vAlign w:val="center"/>
          </w:tcPr>
          <w:p w14:paraId="3F0D319F">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各评审因素</w:t>
            </w:r>
          </w:p>
          <w:p w14:paraId="2CDABBA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细分项</w:t>
            </w:r>
          </w:p>
        </w:tc>
        <w:tc>
          <w:tcPr>
            <w:tcW w:w="624" w:type="dxa"/>
            <w:noWrap w:val="0"/>
            <w:vAlign w:val="center"/>
          </w:tcPr>
          <w:p w14:paraId="224C0A4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分值</w:t>
            </w:r>
          </w:p>
        </w:tc>
        <w:tc>
          <w:tcPr>
            <w:tcW w:w="4187" w:type="dxa"/>
            <w:vMerge w:val="continue"/>
            <w:noWrap w:val="0"/>
            <w:vAlign w:val="center"/>
          </w:tcPr>
          <w:p w14:paraId="5EC141E4">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r>
      <w:tr w14:paraId="61105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62" w:hRule="atLeast"/>
          <w:tblHeader/>
          <w:jc w:val="center"/>
        </w:trPr>
        <w:tc>
          <w:tcPr>
            <w:tcW w:w="611" w:type="dxa"/>
            <w:vMerge w:val="restart"/>
            <w:noWrap w:val="0"/>
            <w:vAlign w:val="center"/>
          </w:tcPr>
          <w:p w14:paraId="242C576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2.2.4（1）</w:t>
            </w:r>
          </w:p>
        </w:tc>
        <w:tc>
          <w:tcPr>
            <w:tcW w:w="1180" w:type="dxa"/>
            <w:vMerge w:val="restart"/>
            <w:noWrap w:val="0"/>
            <w:vAlign w:val="center"/>
          </w:tcPr>
          <w:p w14:paraId="0D0F86A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技术建议书</w:t>
            </w:r>
          </w:p>
        </w:tc>
        <w:tc>
          <w:tcPr>
            <w:tcW w:w="962" w:type="dxa"/>
            <w:vMerge w:val="restart"/>
            <w:noWrap w:val="0"/>
            <w:vAlign w:val="center"/>
          </w:tcPr>
          <w:p w14:paraId="4C85101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r>
              <w:rPr>
                <w:rFonts w:hint="eastAsia" w:ascii="宋体" w:hAnsi="宋体" w:cs="宋体"/>
                <w:sz w:val="18"/>
                <w:szCs w:val="18"/>
                <w:lang w:val="en-US" w:eastAsia="zh-CN"/>
              </w:rPr>
              <w:t>25</w:t>
            </w:r>
            <w:r>
              <w:rPr>
                <w:rFonts w:hint="eastAsia" w:ascii="宋体" w:hAnsi="宋体" w:eastAsia="宋体" w:cs="宋体"/>
                <w:sz w:val="18"/>
                <w:szCs w:val="18"/>
                <w:lang w:val="en-US" w:eastAsia="zh-CN"/>
              </w:rPr>
              <w:t>分</w:t>
            </w:r>
          </w:p>
        </w:tc>
        <w:tc>
          <w:tcPr>
            <w:tcW w:w="2455" w:type="dxa"/>
            <w:noWrap w:val="0"/>
            <w:vAlign w:val="center"/>
          </w:tcPr>
          <w:p w14:paraId="5B4AFBE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本项目的水土保持设施验收报告编制</w:t>
            </w:r>
            <w:r>
              <w:rPr>
                <w:rFonts w:hint="eastAsia" w:ascii="宋体" w:hAnsi="宋体" w:cs="宋体"/>
                <w:sz w:val="18"/>
                <w:szCs w:val="18"/>
                <w:lang w:eastAsia="zh-CN"/>
              </w:rPr>
              <w:t>（竣工环境保护验收调查）</w:t>
            </w:r>
            <w:r>
              <w:rPr>
                <w:rFonts w:hint="eastAsia" w:ascii="宋体" w:hAnsi="宋体" w:eastAsia="宋体" w:cs="宋体"/>
                <w:sz w:val="18"/>
                <w:szCs w:val="18"/>
              </w:rPr>
              <w:t>内容、方法</w:t>
            </w:r>
          </w:p>
        </w:tc>
        <w:tc>
          <w:tcPr>
            <w:tcW w:w="624" w:type="dxa"/>
            <w:noWrap w:val="0"/>
            <w:vAlign w:val="center"/>
          </w:tcPr>
          <w:p w14:paraId="1C462049">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1</w:t>
            </w:r>
            <w:r>
              <w:rPr>
                <w:rFonts w:hint="eastAsia" w:ascii="宋体" w:hAnsi="宋体" w:cs="宋体"/>
                <w:sz w:val="18"/>
                <w:szCs w:val="18"/>
                <w:lang w:val="en-US" w:eastAsia="zh-CN"/>
              </w:rPr>
              <w:t>5</w:t>
            </w:r>
            <w:r>
              <w:rPr>
                <w:rFonts w:hint="eastAsia" w:ascii="宋体" w:hAnsi="宋体" w:eastAsia="宋体" w:cs="宋体"/>
                <w:sz w:val="18"/>
                <w:szCs w:val="18"/>
                <w:lang w:val="en-US" w:eastAsia="zh-CN"/>
              </w:rPr>
              <w:t>分</w:t>
            </w:r>
          </w:p>
        </w:tc>
        <w:tc>
          <w:tcPr>
            <w:tcW w:w="4187" w:type="dxa"/>
            <w:noWrap w:val="0"/>
            <w:vAlign w:val="center"/>
          </w:tcPr>
          <w:p w14:paraId="3F8B353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一般</w:t>
            </w:r>
            <w:r>
              <w:rPr>
                <w:rFonts w:ascii="宋体" w:hAnsi="宋体"/>
                <w:sz w:val="18"/>
                <w:szCs w:val="18"/>
              </w:rPr>
              <w:t>，得</w:t>
            </w:r>
            <w:r>
              <w:rPr>
                <w:rFonts w:hint="eastAsia" w:ascii="宋体" w:hAnsi="宋体"/>
                <w:sz w:val="18"/>
                <w:szCs w:val="18"/>
              </w:rPr>
              <w:t>9</w:t>
            </w:r>
            <w:r>
              <w:rPr>
                <w:rFonts w:ascii="宋体" w:hAnsi="宋体"/>
                <w:sz w:val="18"/>
                <w:szCs w:val="18"/>
              </w:rPr>
              <w:t>分</w:t>
            </w:r>
            <w:r>
              <w:rPr>
                <w:rFonts w:hint="eastAsia" w:ascii="宋体" w:hAnsi="宋体"/>
                <w:sz w:val="18"/>
                <w:szCs w:val="18"/>
              </w:rPr>
              <w:t>；</w:t>
            </w:r>
          </w:p>
          <w:p w14:paraId="412DB576">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较好</w:t>
            </w:r>
            <w:r>
              <w:rPr>
                <w:rFonts w:ascii="宋体" w:hAnsi="宋体"/>
                <w:sz w:val="18"/>
                <w:szCs w:val="18"/>
              </w:rPr>
              <w:t>，</w:t>
            </w:r>
            <w:r>
              <w:rPr>
                <w:rFonts w:hint="eastAsia" w:ascii="宋体" w:hAnsi="宋体"/>
                <w:sz w:val="18"/>
                <w:szCs w:val="18"/>
              </w:rPr>
              <w:t>得9</w:t>
            </w:r>
            <w:r>
              <w:rPr>
                <w:rFonts w:ascii="宋体" w:hAnsi="宋体"/>
                <w:sz w:val="18"/>
                <w:szCs w:val="18"/>
              </w:rPr>
              <w:t>.1-</w:t>
            </w:r>
            <w:r>
              <w:rPr>
                <w:rFonts w:hint="eastAsia" w:ascii="宋体" w:hAnsi="宋体"/>
                <w:sz w:val="18"/>
                <w:szCs w:val="18"/>
              </w:rPr>
              <w:t>12分；</w:t>
            </w:r>
          </w:p>
          <w:p w14:paraId="030D913F">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sz w:val="18"/>
                <w:szCs w:val="18"/>
              </w:rPr>
              <w:t>满意，得12</w:t>
            </w:r>
            <w:r>
              <w:rPr>
                <w:rFonts w:ascii="宋体" w:hAnsi="宋体"/>
                <w:sz w:val="18"/>
                <w:szCs w:val="18"/>
              </w:rPr>
              <w:t>.1-</w:t>
            </w:r>
            <w:r>
              <w:rPr>
                <w:rFonts w:hint="eastAsia" w:ascii="宋体" w:hAnsi="宋体"/>
                <w:sz w:val="18"/>
                <w:szCs w:val="18"/>
              </w:rPr>
              <w:t>15分。</w:t>
            </w:r>
          </w:p>
        </w:tc>
      </w:tr>
      <w:tr w14:paraId="7169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25" w:hRule="atLeast"/>
          <w:tblHeader/>
          <w:jc w:val="center"/>
        </w:trPr>
        <w:tc>
          <w:tcPr>
            <w:tcW w:w="611" w:type="dxa"/>
            <w:vMerge w:val="continue"/>
            <w:noWrap w:val="0"/>
            <w:vAlign w:val="center"/>
          </w:tcPr>
          <w:p w14:paraId="11AD8EC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3921D098">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962" w:type="dxa"/>
            <w:vMerge w:val="continue"/>
            <w:noWrap w:val="0"/>
            <w:vAlign w:val="center"/>
          </w:tcPr>
          <w:p w14:paraId="50BB97E1">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p>
        </w:tc>
        <w:tc>
          <w:tcPr>
            <w:tcW w:w="2455" w:type="dxa"/>
            <w:noWrap w:val="0"/>
            <w:vAlign w:val="center"/>
          </w:tcPr>
          <w:p w14:paraId="033346E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对本项目水土保持设施验收报告编制</w:t>
            </w:r>
            <w:r>
              <w:rPr>
                <w:rFonts w:hint="eastAsia" w:ascii="宋体" w:hAnsi="宋体" w:cs="宋体"/>
                <w:sz w:val="18"/>
                <w:szCs w:val="18"/>
                <w:lang w:eastAsia="zh-CN"/>
              </w:rPr>
              <w:t>（竣工环境保护验收调查）</w:t>
            </w:r>
            <w:r>
              <w:rPr>
                <w:rFonts w:hint="eastAsia" w:ascii="宋体" w:hAnsi="宋体" w:eastAsia="宋体" w:cs="宋体"/>
                <w:sz w:val="18"/>
                <w:szCs w:val="18"/>
              </w:rPr>
              <w:t>整体安排、关键性技术问题的认识</w:t>
            </w:r>
          </w:p>
        </w:tc>
        <w:tc>
          <w:tcPr>
            <w:tcW w:w="624" w:type="dxa"/>
            <w:noWrap w:val="0"/>
            <w:vAlign w:val="center"/>
          </w:tcPr>
          <w:p w14:paraId="6314A52C">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分</w:t>
            </w:r>
          </w:p>
        </w:tc>
        <w:tc>
          <w:tcPr>
            <w:tcW w:w="4187" w:type="dxa"/>
            <w:noWrap w:val="0"/>
            <w:vAlign w:val="center"/>
          </w:tcPr>
          <w:p w14:paraId="11709253">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一般</w:t>
            </w:r>
            <w:r>
              <w:rPr>
                <w:rFonts w:ascii="宋体" w:hAnsi="宋体"/>
                <w:sz w:val="18"/>
                <w:szCs w:val="18"/>
              </w:rPr>
              <w:t>，得</w:t>
            </w:r>
            <w:r>
              <w:rPr>
                <w:rFonts w:hint="eastAsia" w:ascii="宋体" w:hAnsi="宋体"/>
                <w:sz w:val="18"/>
                <w:szCs w:val="18"/>
              </w:rPr>
              <w:t>3</w:t>
            </w:r>
            <w:r>
              <w:rPr>
                <w:rFonts w:ascii="宋体" w:hAnsi="宋体"/>
                <w:sz w:val="18"/>
                <w:szCs w:val="18"/>
              </w:rPr>
              <w:t>分</w:t>
            </w:r>
            <w:r>
              <w:rPr>
                <w:rFonts w:hint="eastAsia" w:ascii="宋体" w:hAnsi="宋体"/>
                <w:sz w:val="18"/>
                <w:szCs w:val="18"/>
              </w:rPr>
              <w:t>；</w:t>
            </w:r>
          </w:p>
          <w:p w14:paraId="16649EB7">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较好</w:t>
            </w:r>
            <w:r>
              <w:rPr>
                <w:rFonts w:ascii="宋体" w:hAnsi="宋体"/>
                <w:sz w:val="18"/>
                <w:szCs w:val="18"/>
              </w:rPr>
              <w:t>，</w:t>
            </w:r>
            <w:r>
              <w:rPr>
                <w:rFonts w:hint="eastAsia" w:ascii="宋体" w:hAnsi="宋体"/>
                <w:sz w:val="18"/>
                <w:szCs w:val="18"/>
              </w:rPr>
              <w:t>得3</w:t>
            </w:r>
            <w:r>
              <w:rPr>
                <w:rFonts w:ascii="宋体" w:hAnsi="宋体"/>
                <w:sz w:val="18"/>
                <w:szCs w:val="18"/>
              </w:rPr>
              <w:t>.1-</w:t>
            </w:r>
            <w:r>
              <w:rPr>
                <w:rFonts w:hint="eastAsia" w:ascii="宋体" w:hAnsi="宋体"/>
                <w:sz w:val="18"/>
                <w:szCs w:val="18"/>
              </w:rPr>
              <w:t>4分；</w:t>
            </w:r>
          </w:p>
          <w:p w14:paraId="6108768B">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sz w:val="18"/>
                <w:szCs w:val="18"/>
              </w:rPr>
              <w:t>满意，得4</w:t>
            </w:r>
            <w:r>
              <w:rPr>
                <w:rFonts w:ascii="宋体" w:hAnsi="宋体"/>
                <w:sz w:val="18"/>
                <w:szCs w:val="18"/>
              </w:rPr>
              <w:t>.1-</w:t>
            </w:r>
            <w:r>
              <w:rPr>
                <w:rFonts w:hint="eastAsia" w:ascii="宋体" w:hAnsi="宋体"/>
                <w:sz w:val="18"/>
                <w:szCs w:val="18"/>
              </w:rPr>
              <w:t>5分。</w:t>
            </w:r>
          </w:p>
        </w:tc>
      </w:tr>
      <w:tr w14:paraId="14AE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25" w:hRule="atLeast"/>
          <w:tblHeader/>
          <w:jc w:val="center"/>
        </w:trPr>
        <w:tc>
          <w:tcPr>
            <w:tcW w:w="611" w:type="dxa"/>
            <w:vMerge w:val="continue"/>
            <w:noWrap w:val="0"/>
            <w:vAlign w:val="center"/>
          </w:tcPr>
          <w:p w14:paraId="601B618A">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68E0EBD6">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p>
        </w:tc>
        <w:tc>
          <w:tcPr>
            <w:tcW w:w="962" w:type="dxa"/>
            <w:vMerge w:val="continue"/>
            <w:noWrap w:val="0"/>
            <w:vAlign w:val="center"/>
          </w:tcPr>
          <w:p w14:paraId="591BC88A">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p>
        </w:tc>
        <w:tc>
          <w:tcPr>
            <w:tcW w:w="2455" w:type="dxa"/>
            <w:noWrap w:val="0"/>
            <w:vAlign w:val="center"/>
          </w:tcPr>
          <w:p w14:paraId="68A7AAE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水土保持设施验收报告编制</w:t>
            </w:r>
            <w:r>
              <w:rPr>
                <w:rFonts w:hint="eastAsia" w:ascii="宋体" w:hAnsi="宋体" w:cs="宋体"/>
                <w:sz w:val="18"/>
                <w:szCs w:val="18"/>
                <w:lang w:eastAsia="zh-CN"/>
              </w:rPr>
              <w:t>（竣工环境保护验收调查）</w:t>
            </w:r>
            <w:r>
              <w:rPr>
                <w:rFonts w:hint="eastAsia" w:ascii="宋体" w:hAnsi="宋体" w:eastAsia="宋体" w:cs="宋体"/>
                <w:sz w:val="18"/>
                <w:szCs w:val="18"/>
              </w:rPr>
              <w:t>工作质量保证措施与进度安排保证措施</w:t>
            </w:r>
          </w:p>
        </w:tc>
        <w:tc>
          <w:tcPr>
            <w:tcW w:w="624" w:type="dxa"/>
            <w:noWrap w:val="0"/>
            <w:vAlign w:val="center"/>
          </w:tcPr>
          <w:p w14:paraId="0E9267C6">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分</w:t>
            </w:r>
          </w:p>
        </w:tc>
        <w:tc>
          <w:tcPr>
            <w:tcW w:w="4187" w:type="dxa"/>
            <w:noWrap w:val="0"/>
            <w:vAlign w:val="center"/>
          </w:tcPr>
          <w:p w14:paraId="4422543E">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一般</w:t>
            </w:r>
            <w:r>
              <w:rPr>
                <w:rFonts w:ascii="宋体" w:hAnsi="宋体"/>
                <w:sz w:val="18"/>
                <w:szCs w:val="18"/>
              </w:rPr>
              <w:t>，得</w:t>
            </w:r>
            <w:r>
              <w:rPr>
                <w:rFonts w:hint="eastAsia" w:ascii="宋体" w:hAnsi="宋体"/>
                <w:sz w:val="18"/>
                <w:szCs w:val="18"/>
              </w:rPr>
              <w:t>3</w:t>
            </w:r>
            <w:r>
              <w:rPr>
                <w:rFonts w:ascii="宋体" w:hAnsi="宋体"/>
                <w:sz w:val="18"/>
                <w:szCs w:val="18"/>
              </w:rPr>
              <w:t>分</w:t>
            </w:r>
            <w:r>
              <w:rPr>
                <w:rFonts w:hint="eastAsia" w:ascii="宋体" w:hAnsi="宋体"/>
                <w:sz w:val="18"/>
                <w:szCs w:val="18"/>
              </w:rPr>
              <w:t>；</w:t>
            </w:r>
          </w:p>
          <w:p w14:paraId="08DA5E85">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left"/>
              <w:textAlignment w:val="auto"/>
              <w:rPr>
                <w:rFonts w:ascii="宋体" w:hAnsi="宋体"/>
                <w:sz w:val="18"/>
                <w:szCs w:val="18"/>
              </w:rPr>
            </w:pPr>
            <w:r>
              <w:rPr>
                <w:rFonts w:hint="eastAsia" w:ascii="宋体" w:hAnsi="宋体"/>
                <w:sz w:val="18"/>
                <w:szCs w:val="18"/>
              </w:rPr>
              <w:t>较好</w:t>
            </w:r>
            <w:r>
              <w:rPr>
                <w:rFonts w:ascii="宋体" w:hAnsi="宋体"/>
                <w:sz w:val="18"/>
                <w:szCs w:val="18"/>
              </w:rPr>
              <w:t>，</w:t>
            </w:r>
            <w:r>
              <w:rPr>
                <w:rFonts w:hint="eastAsia" w:ascii="宋体" w:hAnsi="宋体"/>
                <w:sz w:val="18"/>
                <w:szCs w:val="18"/>
              </w:rPr>
              <w:t>得3</w:t>
            </w:r>
            <w:r>
              <w:rPr>
                <w:rFonts w:ascii="宋体" w:hAnsi="宋体"/>
                <w:sz w:val="18"/>
                <w:szCs w:val="18"/>
              </w:rPr>
              <w:t>.1-</w:t>
            </w:r>
            <w:r>
              <w:rPr>
                <w:rFonts w:hint="eastAsia" w:ascii="宋体" w:hAnsi="宋体"/>
                <w:sz w:val="18"/>
                <w:szCs w:val="18"/>
              </w:rPr>
              <w:t>4分；</w:t>
            </w:r>
          </w:p>
          <w:p w14:paraId="1C056EC4">
            <w:pPr>
              <w:keepNext w:val="0"/>
              <w:keepLines w:val="0"/>
              <w:pageBreakBefore w:val="0"/>
              <w:widowControl w:val="0"/>
              <w:kinsoku/>
              <w:wordWrap/>
              <w:overflowPunct/>
              <w:topLinePunct w:val="0"/>
              <w:autoSpaceDE/>
              <w:autoSpaceDN/>
              <w:bidi w:val="0"/>
              <w:adjustRightInd/>
              <w:snapToGrid/>
              <w:spacing w:line="240" w:lineRule="auto"/>
              <w:ind w:right="0" w:rightChars="0" w:firstLine="0" w:firstLineChars="0"/>
              <w:jc w:val="left"/>
              <w:textAlignment w:val="auto"/>
              <w:rPr>
                <w:rFonts w:hint="eastAsia" w:ascii="宋体" w:hAnsi="宋体" w:eastAsia="宋体" w:cs="宋体"/>
                <w:sz w:val="18"/>
                <w:szCs w:val="18"/>
              </w:rPr>
            </w:pPr>
            <w:r>
              <w:rPr>
                <w:rFonts w:hint="eastAsia" w:ascii="宋体" w:hAnsi="宋体"/>
                <w:sz w:val="18"/>
                <w:szCs w:val="18"/>
              </w:rPr>
              <w:t>满意，得4</w:t>
            </w:r>
            <w:r>
              <w:rPr>
                <w:rFonts w:ascii="宋体" w:hAnsi="宋体"/>
                <w:sz w:val="18"/>
                <w:szCs w:val="18"/>
              </w:rPr>
              <w:t>.1-</w:t>
            </w:r>
            <w:r>
              <w:rPr>
                <w:rFonts w:hint="eastAsia" w:ascii="宋体" w:hAnsi="宋体"/>
                <w:sz w:val="18"/>
                <w:szCs w:val="18"/>
              </w:rPr>
              <w:t>5分。</w:t>
            </w:r>
          </w:p>
        </w:tc>
      </w:tr>
      <w:tr w14:paraId="5B9F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48" w:hRule="atLeast"/>
          <w:tblHeader/>
          <w:jc w:val="center"/>
        </w:trPr>
        <w:tc>
          <w:tcPr>
            <w:tcW w:w="611" w:type="dxa"/>
            <w:vMerge w:val="restart"/>
            <w:noWrap w:val="0"/>
            <w:vAlign w:val="center"/>
          </w:tcPr>
          <w:p w14:paraId="0438C3AC">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2.2.4（2）</w:t>
            </w:r>
          </w:p>
        </w:tc>
        <w:tc>
          <w:tcPr>
            <w:tcW w:w="1180" w:type="dxa"/>
            <w:vMerge w:val="restart"/>
            <w:noWrap w:val="0"/>
            <w:vAlign w:val="center"/>
          </w:tcPr>
          <w:p w14:paraId="56E49623">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napToGrid w:val="0"/>
                <w:sz w:val="18"/>
                <w:szCs w:val="18"/>
              </w:rPr>
              <w:t>主要人员</w:t>
            </w:r>
          </w:p>
        </w:tc>
        <w:tc>
          <w:tcPr>
            <w:tcW w:w="962" w:type="dxa"/>
            <w:vMerge w:val="restart"/>
            <w:noWrap w:val="0"/>
            <w:vAlign w:val="center"/>
          </w:tcPr>
          <w:p w14:paraId="1D8572B5">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r>
              <w:rPr>
                <w:rFonts w:hint="eastAsia" w:ascii="宋体" w:hAnsi="宋体" w:cs="宋体"/>
                <w:sz w:val="18"/>
                <w:szCs w:val="18"/>
                <w:lang w:val="en-US" w:eastAsia="zh-CN"/>
              </w:rPr>
              <w:t>25</w:t>
            </w:r>
            <w:r>
              <w:rPr>
                <w:rFonts w:hint="eastAsia" w:ascii="宋体" w:hAnsi="宋体" w:eastAsia="宋体" w:cs="宋体"/>
                <w:sz w:val="18"/>
                <w:szCs w:val="18"/>
              </w:rPr>
              <w:t>分</w:t>
            </w:r>
          </w:p>
        </w:tc>
        <w:tc>
          <w:tcPr>
            <w:tcW w:w="2455" w:type="dxa"/>
            <w:noWrap w:val="0"/>
            <w:vAlign w:val="center"/>
          </w:tcPr>
          <w:p w14:paraId="3C464434">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项目负责人</w:t>
            </w:r>
          </w:p>
        </w:tc>
        <w:tc>
          <w:tcPr>
            <w:tcW w:w="624" w:type="dxa"/>
            <w:noWrap w:val="0"/>
            <w:vAlign w:val="center"/>
          </w:tcPr>
          <w:p w14:paraId="0914656F">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w:t>
            </w: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分</w:t>
            </w:r>
          </w:p>
        </w:tc>
        <w:tc>
          <w:tcPr>
            <w:tcW w:w="4187" w:type="dxa"/>
            <w:noWrap w:val="0"/>
            <w:vAlign w:val="center"/>
          </w:tcPr>
          <w:p w14:paraId="5250A496">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sz w:val="18"/>
                <w:szCs w:val="18"/>
                <w:highlight w:val="none"/>
              </w:rPr>
            </w:pPr>
            <w:r>
              <w:rPr>
                <w:rFonts w:hint="eastAsia" w:ascii="宋体" w:hAnsi="宋体"/>
                <w:sz w:val="18"/>
                <w:szCs w:val="18"/>
                <w:highlight w:val="none"/>
              </w:rPr>
              <w:t>满足最低资格要求得9分。</w:t>
            </w:r>
          </w:p>
          <w:p w14:paraId="00DEB72C">
            <w:pPr>
              <w:keepNext w:val="0"/>
              <w:keepLines w:val="0"/>
              <w:pageBreakBefore w:val="0"/>
              <w:widowControl w:val="0"/>
              <w:kinsoku/>
              <w:wordWrap w:val="0"/>
              <w:overflowPunct/>
              <w:topLinePunct w:val="0"/>
              <w:bidi w:val="0"/>
              <w:spacing w:line="240" w:lineRule="auto"/>
              <w:ind w:left="0" w:leftChars="0" w:right="0" w:firstLine="0" w:firstLineChars="0"/>
              <w:rPr>
                <w:rFonts w:hint="eastAsia" w:ascii="宋体" w:hAnsi="宋体"/>
                <w:sz w:val="18"/>
                <w:szCs w:val="18"/>
                <w:highlight w:val="none"/>
              </w:rPr>
            </w:pPr>
            <w:r>
              <w:rPr>
                <w:rFonts w:hint="eastAsia" w:ascii="宋体" w:hAnsi="宋体"/>
                <w:sz w:val="18"/>
                <w:szCs w:val="18"/>
                <w:highlight w:val="none"/>
              </w:rPr>
              <w:t>在此基础上，每增加1项满足最低资格条件要求的业绩加6分，最多得6分。</w:t>
            </w:r>
          </w:p>
        </w:tc>
      </w:tr>
      <w:tr w14:paraId="0CBF2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86" w:hRule="atLeast"/>
          <w:tblHeader/>
          <w:jc w:val="center"/>
        </w:trPr>
        <w:tc>
          <w:tcPr>
            <w:tcW w:w="611" w:type="dxa"/>
            <w:vMerge w:val="continue"/>
            <w:noWrap w:val="0"/>
            <w:vAlign w:val="center"/>
          </w:tcPr>
          <w:p w14:paraId="7D43F430">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1AAD2F9D">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textAlignment w:val="baseline"/>
              <w:rPr>
                <w:rFonts w:hint="eastAsia" w:ascii="宋体" w:hAnsi="宋体" w:eastAsia="宋体" w:cs="宋体"/>
                <w:sz w:val="18"/>
                <w:szCs w:val="18"/>
              </w:rPr>
            </w:pPr>
          </w:p>
        </w:tc>
        <w:tc>
          <w:tcPr>
            <w:tcW w:w="962" w:type="dxa"/>
            <w:vMerge w:val="continue"/>
            <w:noWrap w:val="0"/>
            <w:vAlign w:val="center"/>
          </w:tcPr>
          <w:p w14:paraId="14F1176C">
            <w:pPr>
              <w:keepNext w:val="0"/>
              <w:keepLines w:val="0"/>
              <w:pageBreakBefore w:val="0"/>
              <w:widowControl w:val="0"/>
              <w:kinsoku/>
              <w:overflowPunct/>
              <w:topLinePunct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z w:val="18"/>
                <w:szCs w:val="18"/>
                <w:lang w:val="en-US" w:eastAsia="zh-CN"/>
              </w:rPr>
            </w:pPr>
          </w:p>
        </w:tc>
        <w:tc>
          <w:tcPr>
            <w:tcW w:w="2455" w:type="dxa"/>
            <w:noWrap w:val="0"/>
            <w:vAlign w:val="center"/>
          </w:tcPr>
          <w:p w14:paraId="436D4447">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专业工程师</w:t>
            </w:r>
          </w:p>
        </w:tc>
        <w:tc>
          <w:tcPr>
            <w:tcW w:w="624" w:type="dxa"/>
            <w:noWrap w:val="0"/>
            <w:vAlign w:val="center"/>
          </w:tcPr>
          <w:p w14:paraId="35A3004A">
            <w:pPr>
              <w:keepNext w:val="0"/>
              <w:keepLines w:val="0"/>
              <w:pageBreakBefore w:val="0"/>
              <w:widowControl w:val="0"/>
              <w:kinsoku/>
              <w:overflowPunct/>
              <w:topLinePunct w:val="0"/>
              <w:bidi w:val="0"/>
              <w:spacing w:line="240" w:lineRule="auto"/>
              <w:ind w:left="0" w:leftChars="0" w:right="0" w:rightChars="0" w:firstLine="0" w:firstLineChars="0"/>
              <w:jc w:val="cente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10</w:t>
            </w:r>
            <w:r>
              <w:rPr>
                <w:rFonts w:hint="eastAsia" w:ascii="宋体" w:hAnsi="宋体" w:eastAsia="宋体" w:cs="宋体"/>
                <w:sz w:val="18"/>
                <w:szCs w:val="18"/>
                <w:highlight w:val="none"/>
              </w:rPr>
              <w:t>分</w:t>
            </w:r>
          </w:p>
        </w:tc>
        <w:tc>
          <w:tcPr>
            <w:tcW w:w="4187" w:type="dxa"/>
            <w:noWrap w:val="0"/>
            <w:vAlign w:val="center"/>
          </w:tcPr>
          <w:p w14:paraId="21EB92D1">
            <w:pPr>
              <w:pStyle w:val="26"/>
              <w:keepNext w:val="0"/>
              <w:keepLines w:val="0"/>
              <w:pageBreakBefore w:val="0"/>
              <w:widowControl w:val="0"/>
              <w:kinsoku/>
              <w:overflowPunct/>
              <w:topLinePunct w:val="0"/>
              <w:bidi w:val="0"/>
              <w:spacing w:line="240" w:lineRule="auto"/>
              <w:ind w:left="0" w:leftChars="0" w:right="0" w:rightChars="0" w:firstLine="0" w:firstLineChars="0"/>
              <w:rPr>
                <w:rFonts w:hint="eastAsia" w:ascii="宋体" w:hAnsi="宋体"/>
                <w:sz w:val="18"/>
                <w:szCs w:val="18"/>
                <w:highlight w:val="none"/>
              </w:rPr>
            </w:pPr>
            <w:r>
              <w:rPr>
                <w:rFonts w:hint="eastAsia" w:ascii="宋体" w:hAnsi="宋体"/>
                <w:sz w:val="18"/>
                <w:szCs w:val="18"/>
                <w:highlight w:val="none"/>
              </w:rPr>
              <w:t>满足最低资格要求得8分，综合能力加分0～2分。</w:t>
            </w:r>
          </w:p>
        </w:tc>
      </w:tr>
      <w:tr w14:paraId="3DE4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203" w:hRule="atLeast"/>
          <w:jc w:val="center"/>
        </w:trPr>
        <w:tc>
          <w:tcPr>
            <w:tcW w:w="611" w:type="dxa"/>
            <w:vMerge w:val="restart"/>
            <w:noWrap w:val="0"/>
            <w:vAlign w:val="center"/>
          </w:tcPr>
          <w:p w14:paraId="23490EA0">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lang w:val="en-US" w:eastAsia="zh-CN"/>
              </w:rPr>
              <w:t>2.2.4（3）</w:t>
            </w:r>
          </w:p>
        </w:tc>
        <w:tc>
          <w:tcPr>
            <w:tcW w:w="1180" w:type="dxa"/>
            <w:vMerge w:val="restart"/>
            <w:noWrap w:val="0"/>
            <w:vAlign w:val="center"/>
          </w:tcPr>
          <w:p w14:paraId="19536511">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r>
              <w:rPr>
                <w:rFonts w:hint="eastAsia" w:ascii="宋体" w:hAnsi="宋体" w:eastAsia="宋体" w:cs="宋体"/>
                <w:sz w:val="18"/>
                <w:szCs w:val="18"/>
                <w:lang w:eastAsia="zh-CN"/>
              </w:rPr>
              <w:t>其他因素</w:t>
            </w:r>
          </w:p>
        </w:tc>
        <w:tc>
          <w:tcPr>
            <w:tcW w:w="962" w:type="dxa"/>
            <w:vMerge w:val="restart"/>
            <w:noWrap w:val="0"/>
            <w:vAlign w:val="center"/>
          </w:tcPr>
          <w:p w14:paraId="187B64B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0</w:t>
            </w:r>
            <w:r>
              <w:rPr>
                <w:rFonts w:hint="eastAsia" w:ascii="宋体" w:hAnsi="宋体" w:eastAsia="宋体" w:cs="宋体"/>
                <w:sz w:val="18"/>
                <w:szCs w:val="18"/>
              </w:rPr>
              <w:t>分</w:t>
            </w:r>
          </w:p>
        </w:tc>
        <w:tc>
          <w:tcPr>
            <w:tcW w:w="2455" w:type="dxa"/>
            <w:noWrap w:val="0"/>
            <w:vAlign w:val="center"/>
          </w:tcPr>
          <w:p w14:paraId="5F5223C6">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企业业绩</w:t>
            </w:r>
          </w:p>
        </w:tc>
        <w:tc>
          <w:tcPr>
            <w:tcW w:w="624" w:type="dxa"/>
            <w:noWrap w:val="0"/>
            <w:vAlign w:val="center"/>
          </w:tcPr>
          <w:p w14:paraId="0AE65250">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cs="宋体"/>
                <w:sz w:val="18"/>
                <w:szCs w:val="18"/>
                <w:lang w:val="en-US" w:eastAsia="zh-CN"/>
              </w:rPr>
              <w:t>20</w:t>
            </w:r>
            <w:r>
              <w:rPr>
                <w:rFonts w:hint="eastAsia" w:ascii="宋体" w:hAnsi="宋体" w:eastAsia="宋体" w:cs="宋体"/>
                <w:sz w:val="18"/>
                <w:szCs w:val="18"/>
              </w:rPr>
              <w:t>分</w:t>
            </w:r>
          </w:p>
        </w:tc>
        <w:tc>
          <w:tcPr>
            <w:tcW w:w="4187" w:type="dxa"/>
            <w:noWrap w:val="0"/>
            <w:vAlign w:val="center"/>
          </w:tcPr>
          <w:p w14:paraId="44A0CD21">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满足最低资格要求得12分。</w:t>
            </w:r>
          </w:p>
          <w:p w14:paraId="06415F9F">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在此基础上，</w:t>
            </w:r>
            <w:r>
              <w:rPr>
                <w:rFonts w:hint="eastAsia" w:ascii="宋体" w:hAnsi="宋体"/>
                <w:sz w:val="18"/>
                <w:szCs w:val="18"/>
                <w:highlight w:val="none"/>
              </w:rPr>
              <w:t>每增加1项满足最低资格条件要求的业绩</w:t>
            </w:r>
            <w:r>
              <w:rPr>
                <w:rFonts w:hint="eastAsia" w:ascii="宋体" w:hAnsi="宋体" w:eastAsia="宋体" w:cs="宋体"/>
                <w:sz w:val="18"/>
                <w:szCs w:val="18"/>
              </w:rPr>
              <w:t>加4分，最多加8分。</w:t>
            </w:r>
          </w:p>
        </w:tc>
      </w:tr>
      <w:tr w14:paraId="1E4F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8" w:hRule="atLeast"/>
          <w:jc w:val="center"/>
        </w:trPr>
        <w:tc>
          <w:tcPr>
            <w:tcW w:w="611" w:type="dxa"/>
            <w:vMerge w:val="continue"/>
            <w:noWrap w:val="0"/>
            <w:vAlign w:val="center"/>
          </w:tcPr>
          <w:p w14:paraId="31B8DECE">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1180" w:type="dxa"/>
            <w:vMerge w:val="continue"/>
            <w:noWrap w:val="0"/>
            <w:vAlign w:val="center"/>
          </w:tcPr>
          <w:p w14:paraId="07D92CE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eastAsia="zh-CN"/>
              </w:rPr>
            </w:pPr>
          </w:p>
        </w:tc>
        <w:tc>
          <w:tcPr>
            <w:tcW w:w="962" w:type="dxa"/>
            <w:vMerge w:val="continue"/>
            <w:noWrap w:val="0"/>
            <w:vAlign w:val="center"/>
          </w:tcPr>
          <w:p w14:paraId="69DEC817">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lang w:val="en-US" w:eastAsia="zh-CN"/>
              </w:rPr>
            </w:pPr>
          </w:p>
        </w:tc>
        <w:tc>
          <w:tcPr>
            <w:tcW w:w="2455" w:type="dxa"/>
            <w:noWrap w:val="0"/>
            <w:vAlign w:val="center"/>
          </w:tcPr>
          <w:p w14:paraId="4AF34A2B">
            <w:pPr>
              <w:keepNext w:val="0"/>
              <w:keepLines w:val="0"/>
              <w:pageBreakBefore w:val="0"/>
              <w:widowControl w:val="0"/>
              <w:kinsoku/>
              <w:overflowPunct/>
              <w:topLinePunct w:val="0"/>
              <w:autoSpaceDE w:val="0"/>
              <w:autoSpaceDN w:val="0"/>
              <w:bidi w:val="0"/>
              <w:adjustRightInd w:val="0"/>
              <w:spacing w:line="240" w:lineRule="auto"/>
              <w:ind w:left="0" w:leftChars="0" w:right="0" w:firstLine="0" w:firstLineChars="0"/>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服务承诺</w:t>
            </w:r>
          </w:p>
        </w:tc>
        <w:tc>
          <w:tcPr>
            <w:tcW w:w="624" w:type="dxa"/>
            <w:noWrap w:val="0"/>
            <w:vAlign w:val="center"/>
          </w:tcPr>
          <w:p w14:paraId="4F0CF75E">
            <w:pPr>
              <w:keepNext w:val="0"/>
              <w:keepLines w:val="0"/>
              <w:pageBreakBefore w:val="0"/>
              <w:widowControl w:val="0"/>
              <w:kinsoku/>
              <w:overflowPunct/>
              <w:topLinePunct w:val="0"/>
              <w:bidi w:val="0"/>
              <w:spacing w:line="240" w:lineRule="auto"/>
              <w:ind w:left="0" w:leftChars="0" w:right="0" w:firstLine="0" w:firstLineChars="0"/>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20</w:t>
            </w:r>
            <w:r>
              <w:rPr>
                <w:rFonts w:hint="eastAsia" w:ascii="宋体" w:hAnsi="宋体" w:eastAsia="宋体" w:cs="宋体"/>
                <w:sz w:val="18"/>
                <w:szCs w:val="18"/>
              </w:rPr>
              <w:t>分</w:t>
            </w:r>
          </w:p>
        </w:tc>
        <w:tc>
          <w:tcPr>
            <w:tcW w:w="4187" w:type="dxa"/>
            <w:noWrap w:val="0"/>
            <w:vAlign w:val="center"/>
          </w:tcPr>
          <w:p w14:paraId="3E9976B9">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综合评比各投标人所提供的服务承诺，一般得12分，良得12.1～16分，优得16.1～20分。</w:t>
            </w:r>
          </w:p>
        </w:tc>
      </w:tr>
      <w:tr w14:paraId="61F7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22" w:hRule="atLeast"/>
          <w:jc w:val="center"/>
        </w:trPr>
        <w:tc>
          <w:tcPr>
            <w:tcW w:w="611" w:type="dxa"/>
            <w:noWrap w:val="0"/>
            <w:vAlign w:val="center"/>
          </w:tcPr>
          <w:p w14:paraId="697D19CB">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2.2.4（4）</w:t>
            </w:r>
          </w:p>
        </w:tc>
        <w:tc>
          <w:tcPr>
            <w:tcW w:w="1180" w:type="dxa"/>
            <w:noWrap w:val="0"/>
            <w:vAlign w:val="center"/>
          </w:tcPr>
          <w:p w14:paraId="33B84895">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投标价得分</w:t>
            </w:r>
          </w:p>
        </w:tc>
        <w:tc>
          <w:tcPr>
            <w:tcW w:w="962" w:type="dxa"/>
            <w:noWrap w:val="0"/>
            <w:vAlign w:val="center"/>
          </w:tcPr>
          <w:p w14:paraId="240CCD3D">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2455" w:type="dxa"/>
            <w:noWrap w:val="0"/>
            <w:vAlign w:val="center"/>
          </w:tcPr>
          <w:p w14:paraId="7F3CA851">
            <w:pPr>
              <w:keepNext w:val="0"/>
              <w:keepLines w:val="0"/>
              <w:pageBreakBefore w:val="0"/>
              <w:widowControl w:val="0"/>
              <w:kinsoku/>
              <w:overflowPunct/>
              <w:topLinePunct w:val="0"/>
              <w:bidi w:val="0"/>
              <w:snapToGrid w:val="0"/>
              <w:spacing w:line="240" w:lineRule="auto"/>
              <w:ind w:left="0" w:leftChars="0" w:right="0" w:firstLine="0" w:firstLineChars="0"/>
              <w:jc w:val="center"/>
              <w:rPr>
                <w:rFonts w:hint="eastAsia" w:ascii="宋体" w:hAnsi="宋体" w:eastAsia="宋体" w:cs="宋体"/>
                <w:sz w:val="18"/>
                <w:szCs w:val="18"/>
              </w:rPr>
            </w:pPr>
            <w:r>
              <w:rPr>
                <w:rFonts w:hint="eastAsia" w:ascii="宋体" w:hAnsi="宋体" w:eastAsia="宋体" w:cs="宋体"/>
                <w:sz w:val="18"/>
                <w:szCs w:val="18"/>
              </w:rPr>
              <w:t>投标价得分</w:t>
            </w:r>
          </w:p>
        </w:tc>
        <w:tc>
          <w:tcPr>
            <w:tcW w:w="624" w:type="dxa"/>
            <w:noWrap w:val="0"/>
            <w:vAlign w:val="center"/>
          </w:tcPr>
          <w:p w14:paraId="32A5E6B2">
            <w:pPr>
              <w:keepNext w:val="0"/>
              <w:keepLines w:val="0"/>
              <w:pageBreakBefore w:val="0"/>
              <w:widowControl w:val="0"/>
              <w:kinsoku/>
              <w:overflowPunct/>
              <w:topLinePunct w:val="0"/>
              <w:bidi w:val="0"/>
              <w:adjustRightInd w:val="0"/>
              <w:snapToGrid w:val="0"/>
              <w:spacing w:line="240" w:lineRule="auto"/>
              <w:ind w:left="0" w:leftChars="0" w:right="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10分</w:t>
            </w:r>
          </w:p>
        </w:tc>
        <w:tc>
          <w:tcPr>
            <w:tcW w:w="4187" w:type="dxa"/>
            <w:noWrap w:val="0"/>
            <w:vAlign w:val="center"/>
          </w:tcPr>
          <w:p w14:paraId="34943C09">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计算方法如下：</w:t>
            </w:r>
          </w:p>
          <w:p w14:paraId="1AD33ADC">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（1）投标价的确定：投标价=投标函文字报价。</w:t>
            </w:r>
          </w:p>
          <w:p w14:paraId="2C81ECB3">
            <w:pPr>
              <w:keepNext w:val="0"/>
              <w:keepLines w:val="0"/>
              <w:pageBreakBefore w:val="0"/>
              <w:widowControl w:val="0"/>
              <w:kinsoku/>
              <w:overflowPunct/>
              <w:topLinePunct w:val="0"/>
              <w:bidi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2）评标基准价的确定：所有有效投标人的投标价去掉一个最高值和一个最低值后的算术平均值即为评标价平均值（如果参与平均值计算的有效投标人少于5家时，则计算平均值时不去掉最高值和最低值）。计算结果保留至个位，小数点后第一位“四舍五入”，将评标价平均值直接作为评标基准价。</w:t>
            </w:r>
          </w:p>
          <w:p w14:paraId="29D1CD02">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eastAsia="宋体" w:cs="宋体"/>
                <w:sz w:val="18"/>
                <w:szCs w:val="18"/>
              </w:rPr>
              <w:t>（3）投标价得分计算：</w:t>
            </w:r>
          </w:p>
          <w:p w14:paraId="774E2E5F">
            <w:pPr>
              <w:spacing w:line="240" w:lineRule="auto"/>
              <w:ind w:firstLine="180" w:firstLineChars="100"/>
              <w:rPr>
                <w:rFonts w:ascii="宋体" w:hAnsi="宋体"/>
                <w:sz w:val="18"/>
                <w:szCs w:val="18"/>
              </w:rPr>
            </w:pPr>
            <w:r>
              <w:rPr>
                <w:rFonts w:hint="eastAsia" w:ascii="宋体" w:hAnsi="宋体"/>
                <w:sz w:val="18"/>
                <w:szCs w:val="18"/>
              </w:rPr>
              <w:t>1）如果投标人的评标价＞评标基准价，则评标价得分=</w:t>
            </w:r>
            <w:r>
              <w:rPr>
                <w:rFonts w:hint="eastAsia" w:ascii="宋体" w:hAnsi="宋体"/>
                <w:sz w:val="18"/>
                <w:szCs w:val="18"/>
                <w:lang w:val="en-US" w:eastAsia="zh-CN"/>
              </w:rPr>
              <w:t>10</w:t>
            </w:r>
            <w:r>
              <w:rPr>
                <w:rFonts w:hint="eastAsia" w:ascii="宋体" w:hAnsi="宋体"/>
                <w:sz w:val="18"/>
                <w:szCs w:val="18"/>
              </w:rPr>
              <w:t>-偏差率×100×</w:t>
            </w:r>
            <w:r>
              <w:rPr>
                <w:rFonts w:hint="eastAsia" w:ascii="宋体" w:hAnsi="宋体"/>
                <w:sz w:val="18"/>
                <w:szCs w:val="18"/>
                <w:lang w:val="en-US" w:eastAsia="zh-CN"/>
              </w:rPr>
              <w:t>0.2</w:t>
            </w:r>
            <w:r>
              <w:rPr>
                <w:rFonts w:hint="eastAsia" w:ascii="宋体" w:hAnsi="宋体"/>
                <w:sz w:val="18"/>
                <w:szCs w:val="18"/>
              </w:rPr>
              <w:t>；</w:t>
            </w:r>
          </w:p>
          <w:p w14:paraId="0D55E6A7">
            <w:pPr>
              <w:spacing w:line="240" w:lineRule="auto"/>
              <w:ind w:firstLine="180" w:firstLineChars="100"/>
              <w:rPr>
                <w:rFonts w:ascii="宋体" w:hAnsi="宋体"/>
                <w:sz w:val="18"/>
                <w:szCs w:val="18"/>
              </w:rPr>
            </w:pPr>
            <w:r>
              <w:rPr>
                <w:rFonts w:hint="eastAsia" w:ascii="宋体" w:hAnsi="宋体"/>
                <w:sz w:val="18"/>
                <w:szCs w:val="18"/>
              </w:rPr>
              <w:t>2）如果投标人的评标价≤评标基准价，则评标价得分=</w:t>
            </w:r>
            <w:r>
              <w:rPr>
                <w:rFonts w:hint="eastAsia" w:ascii="宋体" w:hAnsi="宋体"/>
                <w:sz w:val="18"/>
                <w:szCs w:val="18"/>
                <w:lang w:val="en-US" w:eastAsia="zh-CN"/>
              </w:rPr>
              <w:t>10+</w:t>
            </w:r>
            <w:r>
              <w:rPr>
                <w:rFonts w:hint="eastAsia" w:ascii="宋体" w:hAnsi="宋体"/>
                <w:sz w:val="18"/>
                <w:szCs w:val="18"/>
              </w:rPr>
              <w:t>偏差率×100×0.</w:t>
            </w:r>
            <w:r>
              <w:rPr>
                <w:rFonts w:hint="eastAsia" w:ascii="宋体" w:hAnsi="宋体"/>
                <w:sz w:val="18"/>
                <w:szCs w:val="18"/>
                <w:lang w:val="en-US" w:eastAsia="zh-CN"/>
              </w:rPr>
              <w:t>1</w:t>
            </w:r>
            <w:r>
              <w:rPr>
                <w:rFonts w:hint="eastAsia" w:ascii="宋体" w:hAnsi="宋体"/>
                <w:sz w:val="18"/>
                <w:szCs w:val="18"/>
              </w:rPr>
              <w:t>。</w:t>
            </w:r>
          </w:p>
          <w:p w14:paraId="15DDA4FC">
            <w:pPr>
              <w:keepNext w:val="0"/>
              <w:keepLines w:val="0"/>
              <w:pageBreakBefore w:val="0"/>
              <w:widowControl w:val="0"/>
              <w:kinsoku/>
              <w:overflowPunct/>
              <w:topLinePunct w:val="0"/>
              <w:bidi w:val="0"/>
              <w:snapToGrid w:val="0"/>
              <w:spacing w:line="240" w:lineRule="auto"/>
              <w:ind w:left="0" w:leftChars="0" w:right="0" w:firstLine="0" w:firstLineChars="0"/>
              <w:rPr>
                <w:rFonts w:hint="eastAsia" w:ascii="宋体" w:hAnsi="宋体" w:eastAsia="宋体" w:cs="宋体"/>
                <w:sz w:val="18"/>
                <w:szCs w:val="18"/>
              </w:rPr>
            </w:pPr>
            <w:r>
              <w:rPr>
                <w:rFonts w:hint="eastAsia" w:ascii="宋体" w:hAnsi="宋体"/>
                <w:sz w:val="18"/>
                <w:szCs w:val="18"/>
              </w:rPr>
              <w:t>评标价得分最低扣至0分。</w:t>
            </w:r>
          </w:p>
        </w:tc>
      </w:tr>
      <w:bookmarkEnd w:id="13"/>
      <w:bookmarkEnd w:id="14"/>
      <w:bookmarkEnd w:id="15"/>
      <w:bookmarkEnd w:id="16"/>
    </w:tbl>
    <w:p w14:paraId="2ECB7D89">
      <w:pPr>
        <w:rPr>
          <w:rFonts w:hint="eastAsia" w:asciiTheme="majorEastAsia" w:hAnsiTheme="majorEastAsia" w:eastAsiaTheme="majorEastAsia" w:cstheme="majorEastAsia"/>
          <w:highlight w:val="yellow"/>
          <w:lang w:val="en-US" w:eastAsia="zh-CN"/>
        </w:rPr>
      </w:pPr>
    </w:p>
    <w:p w14:paraId="6DB6ECDE">
      <w:pPr>
        <w:pStyle w:val="7"/>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 总则</w:t>
      </w:r>
    </w:p>
    <w:p w14:paraId="01AD20E5">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本次评标</w:t>
      </w:r>
      <w:r>
        <w:rPr>
          <w:rFonts w:hint="eastAsia" w:ascii="宋体" w:hAnsi="宋体" w:eastAsia="宋体" w:cs="宋体"/>
          <w:sz w:val="21"/>
          <w:szCs w:val="21"/>
          <w:u w:val="none"/>
        </w:rPr>
        <w:t>采用综合评估法</w:t>
      </w:r>
      <w:r>
        <w:rPr>
          <w:rFonts w:hint="eastAsia" w:ascii="宋体" w:hAnsi="宋体" w:eastAsia="宋体" w:cs="宋体"/>
          <w:sz w:val="21"/>
          <w:szCs w:val="21"/>
        </w:rPr>
        <w:t>。评标委员会对满足招标文件实质性要求的投标文件，按照本章第2条规定的评分标准进行打分（满分100分，其中商务及技术90分、投标价10分），并按得分由高到低顺序推荐中标候选人。</w:t>
      </w:r>
    </w:p>
    <w:p w14:paraId="680CC914">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kern w:val="0"/>
          <w:sz w:val="21"/>
          <w:szCs w:val="21"/>
        </w:rPr>
        <w:t>当通过初步评审的有效投标人不足3家时，由评标委员会确定现有投标人是否具有竞争性，决定是否继续评标。</w:t>
      </w:r>
    </w:p>
    <w:p w14:paraId="5A91B147">
      <w:pPr>
        <w:pStyle w:val="7"/>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bCs/>
          <w:color w:val="auto"/>
          <w:sz w:val="21"/>
          <w:szCs w:val="21"/>
        </w:rPr>
      </w:pPr>
      <w:bookmarkStart w:id="17" w:name="_Toc179632619"/>
      <w:bookmarkStart w:id="18" w:name="_Toc152045601"/>
      <w:bookmarkStart w:id="19" w:name="_Toc152042378"/>
      <w:bookmarkStart w:id="20" w:name="_Toc144974568"/>
      <w:r>
        <w:rPr>
          <w:rFonts w:hint="eastAsia" w:ascii="宋体" w:hAnsi="宋体" w:eastAsia="宋体" w:cs="宋体"/>
          <w:bCs/>
          <w:color w:val="auto"/>
          <w:sz w:val="21"/>
          <w:szCs w:val="21"/>
        </w:rPr>
        <w:t>2. 评</w:t>
      </w:r>
      <w:bookmarkEnd w:id="17"/>
      <w:bookmarkEnd w:id="18"/>
      <w:bookmarkEnd w:id="19"/>
      <w:bookmarkEnd w:id="20"/>
      <w:r>
        <w:rPr>
          <w:rFonts w:hint="eastAsia" w:ascii="宋体" w:hAnsi="宋体" w:eastAsia="宋体" w:cs="宋体"/>
          <w:bCs/>
          <w:color w:val="auto"/>
          <w:sz w:val="21"/>
          <w:szCs w:val="21"/>
        </w:rPr>
        <w:t>标程序和评审标准</w:t>
      </w:r>
    </w:p>
    <w:p w14:paraId="354D3461">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sz w:val="21"/>
          <w:szCs w:val="21"/>
        </w:rPr>
      </w:pPr>
      <w:bookmarkStart w:id="21" w:name="_Toc152045602"/>
      <w:bookmarkStart w:id="22" w:name="_Toc152042379"/>
      <w:bookmarkStart w:id="23" w:name="_Toc144974569"/>
      <w:bookmarkStart w:id="24" w:name="_Toc179632620"/>
      <w:r>
        <w:rPr>
          <w:rFonts w:hint="eastAsia" w:ascii="宋体" w:hAnsi="宋体" w:eastAsia="宋体" w:cs="宋体"/>
          <w:sz w:val="21"/>
          <w:szCs w:val="21"/>
          <w:lang w:val="zh-CN"/>
        </w:rPr>
        <w:t>2.1</w:t>
      </w:r>
      <w:bookmarkEnd w:id="21"/>
      <w:bookmarkEnd w:id="22"/>
      <w:bookmarkEnd w:id="23"/>
      <w:bookmarkEnd w:id="24"/>
      <w:r>
        <w:rPr>
          <w:rFonts w:hint="eastAsia" w:ascii="宋体" w:hAnsi="宋体" w:eastAsia="宋体" w:cs="宋体"/>
          <w:sz w:val="21"/>
          <w:szCs w:val="21"/>
          <w:lang w:val="zh-CN"/>
        </w:rPr>
        <w:t xml:space="preserve"> 评标程序</w:t>
      </w:r>
      <w:bookmarkStart w:id="29" w:name="_GoBack"/>
      <w:bookmarkEnd w:id="29"/>
    </w:p>
    <w:p w14:paraId="7607D4BF">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评标工作按以下程序进行：</w:t>
      </w:r>
    </w:p>
    <w:p w14:paraId="656715BD">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2.1.1资格审查；</w:t>
      </w:r>
    </w:p>
    <w:p w14:paraId="3AA2F224">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2.1.2初步评审；</w:t>
      </w:r>
    </w:p>
    <w:p w14:paraId="48970B97">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2.1.3澄清（如果需要）；</w:t>
      </w:r>
    </w:p>
    <w:p w14:paraId="41F2D48C">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2.1.4详细评审；</w:t>
      </w:r>
    </w:p>
    <w:p w14:paraId="0F329B5E">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2.1.5推荐中标候选人；</w:t>
      </w:r>
    </w:p>
    <w:p w14:paraId="4486B698">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2.1.6编写评标报告。</w:t>
      </w:r>
    </w:p>
    <w:p w14:paraId="5CF41A0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sz w:val="21"/>
          <w:szCs w:val="21"/>
          <w:lang w:val="zh-CN"/>
        </w:rPr>
      </w:pPr>
      <w:bookmarkStart w:id="25" w:name="_Toc144974570"/>
      <w:bookmarkStart w:id="26" w:name="_Toc152042380"/>
      <w:bookmarkStart w:id="27" w:name="_Toc179632621"/>
      <w:bookmarkStart w:id="28" w:name="_Toc152045603"/>
      <w:r>
        <w:rPr>
          <w:rFonts w:hint="eastAsia" w:ascii="宋体" w:hAnsi="宋体" w:eastAsia="宋体" w:cs="宋体"/>
          <w:sz w:val="21"/>
          <w:szCs w:val="21"/>
          <w:lang w:val="zh-CN"/>
        </w:rPr>
        <w:t>2.2</w:t>
      </w:r>
      <w:bookmarkEnd w:id="25"/>
      <w:bookmarkEnd w:id="26"/>
      <w:bookmarkEnd w:id="27"/>
      <w:bookmarkEnd w:id="28"/>
      <w:r>
        <w:rPr>
          <w:rFonts w:hint="eastAsia" w:ascii="宋体" w:hAnsi="宋体" w:eastAsia="宋体" w:cs="宋体"/>
          <w:sz w:val="21"/>
          <w:szCs w:val="21"/>
          <w:lang w:val="zh-CN"/>
        </w:rPr>
        <w:t xml:space="preserve"> 资格审查</w:t>
      </w:r>
    </w:p>
    <w:p w14:paraId="691C7DEC">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评标委员会首先对投标人提交的资格审查表进行审查，有一项不符合评审标准的，评标委员会将否决其投标。通过资格审查的标准如下：</w:t>
      </w:r>
    </w:p>
    <w:p w14:paraId="0A7B4751">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（1）投标人具备有效的营业执照或事业单位法人证书；</w:t>
      </w:r>
    </w:p>
    <w:p w14:paraId="28CB0D82">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（2）投标人的资质证书有效且等级符合第二章“投标人须知前附表”附录1的规定；</w:t>
      </w:r>
    </w:p>
    <w:p w14:paraId="4447BC43">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（3）投标人的业绩符合第二章“投标人须知前附表”附录2的规定；</w:t>
      </w:r>
    </w:p>
    <w:p w14:paraId="2716C9B3">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（4）投标人的主要人员资格符合第二章“投标人须知前附表”附录3</w:t>
      </w:r>
      <w:r>
        <w:rPr>
          <w:rFonts w:hint="eastAsia" w:ascii="宋体" w:hAnsi="宋体" w:eastAsia="宋体" w:cs="宋体"/>
          <w:sz w:val="21"/>
          <w:szCs w:val="21"/>
          <w:lang w:eastAsia="zh-CN"/>
        </w:rPr>
        <w:t>、</w:t>
      </w:r>
      <w:r>
        <w:rPr>
          <w:rFonts w:hint="eastAsia" w:ascii="宋体" w:hAnsi="宋体" w:eastAsia="宋体" w:cs="宋体"/>
          <w:sz w:val="21"/>
          <w:szCs w:val="21"/>
        </w:rPr>
        <w:t>附录</w:t>
      </w:r>
      <w:r>
        <w:rPr>
          <w:rFonts w:hint="eastAsia" w:ascii="宋体" w:hAnsi="宋体" w:eastAsia="宋体" w:cs="宋体"/>
          <w:sz w:val="21"/>
          <w:szCs w:val="21"/>
          <w:lang w:val="en-US" w:eastAsia="zh-CN"/>
        </w:rPr>
        <w:t>4</w:t>
      </w:r>
      <w:r>
        <w:rPr>
          <w:rFonts w:hint="eastAsia" w:ascii="宋体" w:hAnsi="宋体" w:eastAsia="宋体" w:cs="宋体"/>
          <w:sz w:val="21"/>
          <w:szCs w:val="21"/>
        </w:rPr>
        <w:t>的规定；</w:t>
      </w:r>
    </w:p>
    <w:p w14:paraId="73F32741">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（5）投标人的信誉符合第二章“投标人须知前附表”附录</w:t>
      </w:r>
      <w:r>
        <w:rPr>
          <w:rFonts w:hint="eastAsia" w:ascii="宋体" w:hAnsi="宋体" w:eastAsia="宋体" w:cs="宋体"/>
          <w:sz w:val="21"/>
          <w:szCs w:val="21"/>
          <w:lang w:val="en-US" w:eastAsia="zh-CN"/>
        </w:rPr>
        <w:t>5</w:t>
      </w:r>
      <w:r>
        <w:rPr>
          <w:rFonts w:hint="eastAsia" w:ascii="宋体" w:hAnsi="宋体" w:eastAsia="宋体" w:cs="宋体"/>
          <w:sz w:val="21"/>
          <w:szCs w:val="21"/>
        </w:rPr>
        <w:t>的规定；</w:t>
      </w:r>
    </w:p>
    <w:p w14:paraId="405CE9F8">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（6）投标人不存在第二章“投标人须知”第1.4.3项规定的情形；</w:t>
      </w:r>
    </w:p>
    <w:p w14:paraId="32595659">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（7）投标人所附证明材料完整且符合招标文件要求。</w:t>
      </w:r>
    </w:p>
    <w:p w14:paraId="6319D083">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2.3 初步评审</w:t>
      </w:r>
    </w:p>
    <w:p w14:paraId="756B0926">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评标委员会对通过资格审查的投标文件进行初步评审，有一项不符合评审标准的，评标委员会将否决其投标。通过初步评审的标准如下：</w:t>
      </w:r>
    </w:p>
    <w:p w14:paraId="0AEC28BF">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（1）投标文件按照招标文件规定的格式、内容填写；</w:t>
      </w:r>
    </w:p>
    <w:p w14:paraId="4950CDD2">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a.投标函按招标文件规定填报了项目名称、标段号、补遗书编号（如有）、服务期限、投标价（包括大写金额和小写金额）；</w:t>
      </w:r>
    </w:p>
    <w:p w14:paraId="1C6D9C36">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b.投标文件组成齐全完整，内容均按规定填写。</w:t>
      </w:r>
    </w:p>
    <w:p w14:paraId="302D742C">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（2）投标文件签字、盖章齐全，符合招标文件规定；</w:t>
      </w:r>
    </w:p>
    <w:p w14:paraId="79D12824">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（3）投标人按照第二章“投标人须知”第3.4.1项规定的金额、形式、时间等要求提供了投标保证金；</w:t>
      </w:r>
    </w:p>
    <w:p w14:paraId="2F969B65">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（4）投标人提供了法定代表人身份证明,法定代表人姓名和签字人员一致；</w:t>
      </w:r>
    </w:p>
    <w:p w14:paraId="7067D4A0">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（5）投标人</w:t>
      </w:r>
      <w:r>
        <w:rPr>
          <w:rFonts w:hint="eastAsia" w:ascii="宋体" w:hAnsi="宋体" w:eastAsia="宋体" w:cs="宋体"/>
          <w:sz w:val="21"/>
          <w:szCs w:val="21"/>
          <w:lang w:eastAsia="zh-CN"/>
        </w:rPr>
        <w:t>未</w:t>
      </w:r>
      <w:r>
        <w:rPr>
          <w:rFonts w:hint="eastAsia" w:ascii="宋体" w:hAnsi="宋体" w:eastAsia="宋体" w:cs="宋体"/>
          <w:sz w:val="21"/>
          <w:szCs w:val="21"/>
        </w:rPr>
        <w:t>采用联合体形式投标；</w:t>
      </w:r>
    </w:p>
    <w:p w14:paraId="3C6A3657">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（6）投标人不得有分包项目；</w:t>
      </w:r>
    </w:p>
    <w:p w14:paraId="27CB7D20">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（7）同一投标人未提交两个以上不同的投标文件；</w:t>
      </w:r>
    </w:p>
    <w:p w14:paraId="43114482">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（8）投标文件载明的服务期限未超过招标文件规定的时限；</w:t>
      </w:r>
    </w:p>
    <w:p w14:paraId="26A585F5">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（9）投标报价未超过最高投标限价；</w:t>
      </w:r>
    </w:p>
    <w:p w14:paraId="585A35D1">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（10）投标报价的大写金额能够确定具体数值且同一投标人未提交两个以上不同的投标报价；</w:t>
      </w:r>
    </w:p>
    <w:p w14:paraId="6A696959">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（11）投标文件没有对招标人的权利提出削弱性或限制性要求，没有对投标人的责任和义务提出实质性修改；</w:t>
      </w:r>
    </w:p>
    <w:p w14:paraId="31136734">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（12）投标文件未附有招标人不能接受的条件。</w:t>
      </w:r>
    </w:p>
    <w:p w14:paraId="01028E74">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2.4 投标文件的澄清和说明</w:t>
      </w:r>
    </w:p>
    <w:p w14:paraId="6A518679">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在评标过程中，评标委员会可以书面形式要求投标人对所提交投标文件中含义不明确、对同类问题表述不一致或者有明显文字错误的内容作必要的澄清、说明或者补正。评标委员会不接受投标人主动提出的澄清、说明或补正。</w:t>
      </w:r>
    </w:p>
    <w:p w14:paraId="781F415C">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澄清、说明或者补正应以书面方式进行，并不得超出投标文件的范围或者改变投标文件的实质性内容。投标人的书面澄清、说明和补正属于投标文件的组成部分。</w:t>
      </w:r>
    </w:p>
    <w:p w14:paraId="6E5F5021">
      <w:pPr>
        <w:keepNext w:val="0"/>
        <w:keepLines w:val="0"/>
        <w:pageBreakBefore w:val="0"/>
        <w:widowControl w:val="0"/>
        <w:kinsoku/>
        <w:wordWrap/>
        <w:overflowPunct/>
        <w:topLinePunct w:val="0"/>
        <w:bidi w:val="0"/>
        <w:adjustRightIn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对投标人提交的澄清、说明或补正有疑问的，可以要求投标人进一步澄清、说明或补正，直至满足评标委员会的要求。凡超出招标文件规定的或给发包人带来未曾要求的利益的变化、偏差或其他因素在评标时不予考虑。</w:t>
      </w:r>
    </w:p>
    <w:p w14:paraId="4C63B360">
      <w:pPr>
        <w:keepNext w:val="0"/>
        <w:keepLines w:val="0"/>
        <w:pageBreakBefore w:val="0"/>
        <w:widowControl w:val="0"/>
        <w:kinsoku/>
        <w:wordWrap/>
        <w:overflowPunct/>
        <w:topLinePunct w:val="0"/>
        <w:autoSpaceDE w:val="0"/>
        <w:autoSpaceDN w:val="0"/>
        <w:bidi w:val="0"/>
        <w:adjustRightInd w:val="0"/>
        <w:snapToGrid w:val="0"/>
        <w:spacing w:line="360" w:lineRule="exact"/>
        <w:ind w:firstLine="420" w:firstLineChars="200"/>
        <w:jc w:val="left"/>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2.5 详细评审</w:t>
      </w:r>
    </w:p>
    <w:p w14:paraId="3811EF8F">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评标委员会只对通过初步评审的投标文件进行详细评审，并按规定的评审因素和评分值进行评分，计算结果保留至小数点后两位，小数点后第三位“四舍五入”。</w:t>
      </w:r>
    </w:p>
    <w:p w14:paraId="19FAD353">
      <w:pPr>
        <w:pStyle w:val="10"/>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（1）各评分因素（评标价除外）得分一般不得低于其权重分值的 60%；</w:t>
      </w:r>
    </w:p>
    <w:p w14:paraId="4F8F0F4E">
      <w:pPr>
        <w:pStyle w:val="10"/>
        <w:keepNext w:val="0"/>
        <w:keepLines w:val="0"/>
        <w:pageBreakBefore w:val="0"/>
        <w:widowControl w:val="0"/>
        <w:kinsoku/>
        <w:wordWrap/>
        <w:overflowPunct/>
        <w:topLinePunct w:val="0"/>
        <w:bidi w:val="0"/>
        <w:spacing w:line="36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各评审因素得分应以评标委员会各成员的打分平均值确定，评标委员会成员总数为7人以上（含7人）时，该平均值以去掉一个最高分和一个最低分后计算。评标委员会成员对某一项评分因素的评分低于权重分值 60% 的，应当在评标报告中作出说明。</w:t>
      </w:r>
    </w:p>
    <w:p w14:paraId="62C8926E">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2.5.1评分分值构成（满分100分）：</w:t>
      </w:r>
    </w:p>
    <w:p w14:paraId="04682066">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投标人与本项目相关的具体业绩                              20分</w:t>
      </w:r>
    </w:p>
    <w:p w14:paraId="7C4FAACB">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拟投入本项目的人员资格和能力                              25分</w:t>
      </w:r>
    </w:p>
    <w:p w14:paraId="1D16CE8C">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技术建议书                                                25分</w:t>
      </w:r>
    </w:p>
    <w:p w14:paraId="1A2E5E6A">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服务承诺                                                  20分</w:t>
      </w:r>
    </w:p>
    <w:p w14:paraId="559A7048">
      <w:pPr>
        <w:keepNext w:val="0"/>
        <w:keepLines w:val="0"/>
        <w:pageBreakBefore w:val="0"/>
        <w:widowControl w:val="0"/>
        <w:kinsoku/>
        <w:wordWrap/>
        <w:overflowPunct/>
        <w:topLinePunct w:val="0"/>
        <w:bidi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投标价得分                                                10分</w:t>
      </w:r>
    </w:p>
    <w:p w14:paraId="165585BA">
      <w:pPr>
        <w:pStyle w:val="3"/>
        <w:rPr>
          <w:rFonts w:hint="eastAsia"/>
          <w:lang w:val="en-US" w:eastAsia="zh-CN"/>
        </w:rPr>
      </w:pPr>
    </w:p>
    <w:sectPr>
      <w:headerReference r:id="rId3" w:type="default"/>
      <w:pgSz w:w="11907" w:h="16840"/>
      <w:pgMar w:top="1399" w:right="1174" w:bottom="1278" w:left="1173" w:header="397" w:footer="85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D159D">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6A834"/>
    <w:multiLevelType w:val="multilevel"/>
    <w:tmpl w:val="C226A83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removePersonalInformation/>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56"/>
    <w:rsid w:val="00072602"/>
    <w:rsid w:val="003131E4"/>
    <w:rsid w:val="00331785"/>
    <w:rsid w:val="00335916"/>
    <w:rsid w:val="003E4654"/>
    <w:rsid w:val="0044084B"/>
    <w:rsid w:val="00621434"/>
    <w:rsid w:val="006D0394"/>
    <w:rsid w:val="007275A9"/>
    <w:rsid w:val="007349BD"/>
    <w:rsid w:val="007D3B24"/>
    <w:rsid w:val="007F1306"/>
    <w:rsid w:val="00865F13"/>
    <w:rsid w:val="00884C31"/>
    <w:rsid w:val="0095543D"/>
    <w:rsid w:val="00956AB5"/>
    <w:rsid w:val="00AA1E7B"/>
    <w:rsid w:val="00AB0AD0"/>
    <w:rsid w:val="00B00301"/>
    <w:rsid w:val="00BB37C8"/>
    <w:rsid w:val="00C2706A"/>
    <w:rsid w:val="00C32C79"/>
    <w:rsid w:val="00C917FB"/>
    <w:rsid w:val="00CB3556"/>
    <w:rsid w:val="00CF74DE"/>
    <w:rsid w:val="00DB2DB0"/>
    <w:rsid w:val="00DB7305"/>
    <w:rsid w:val="00E74397"/>
    <w:rsid w:val="00F66964"/>
    <w:rsid w:val="00F94ED7"/>
    <w:rsid w:val="00FB44F5"/>
    <w:rsid w:val="05706B86"/>
    <w:rsid w:val="0A4A014D"/>
    <w:rsid w:val="0C2D57D1"/>
    <w:rsid w:val="1001673C"/>
    <w:rsid w:val="15FD3F36"/>
    <w:rsid w:val="19AA562D"/>
    <w:rsid w:val="1BA30646"/>
    <w:rsid w:val="1C4F5D10"/>
    <w:rsid w:val="22543660"/>
    <w:rsid w:val="22EC6BCB"/>
    <w:rsid w:val="24840858"/>
    <w:rsid w:val="2A5A04D6"/>
    <w:rsid w:val="2BA03472"/>
    <w:rsid w:val="360A0561"/>
    <w:rsid w:val="3F781FFE"/>
    <w:rsid w:val="405748C0"/>
    <w:rsid w:val="421B6683"/>
    <w:rsid w:val="47627B2D"/>
    <w:rsid w:val="49967804"/>
    <w:rsid w:val="4DF25957"/>
    <w:rsid w:val="4E8F31A6"/>
    <w:rsid w:val="51340035"/>
    <w:rsid w:val="52287B99"/>
    <w:rsid w:val="52D27B05"/>
    <w:rsid w:val="55D00271"/>
    <w:rsid w:val="585316E8"/>
    <w:rsid w:val="758B767C"/>
    <w:rsid w:val="77366005"/>
    <w:rsid w:val="78DA3572"/>
    <w:rsid w:val="7BA63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Arial"/>
      <w:color w:val="000000"/>
      <w:kern w:val="2"/>
      <w:sz w:val="21"/>
      <w:szCs w:val="18"/>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4"/>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
    <w:pPr>
      <w:tabs>
        <w:tab w:val="left" w:pos="315"/>
      </w:tabs>
      <w:spacing w:before="120" w:after="120"/>
      <w:outlineLvl w:val="3"/>
    </w:pPr>
    <w:rPr>
      <w:rFonts w:ascii="Cambria" w:hAnsi="Cambria" w:eastAsia="黑体"/>
      <w:bCs/>
      <w:sz w:val="24"/>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6">
    <w:name w:val="Body Text"/>
    <w:basedOn w:val="1"/>
    <w:qFormat/>
    <w:uiPriority w:val="0"/>
    <w:rPr>
      <w:rFonts w:ascii="Times New Roman" w:hAnsi="Times New Roman"/>
      <w:sz w:val="28"/>
      <w:szCs w:val="24"/>
    </w:rPr>
  </w:style>
  <w:style w:type="paragraph" w:styleId="7">
    <w:name w:val="Plain Text"/>
    <w:basedOn w:val="1"/>
    <w:qFormat/>
    <w:uiPriority w:val="0"/>
    <w:rPr>
      <w:rFonts w:ascii="宋体" w:hAnsi="Courier New"/>
      <w:szCs w:val="20"/>
    </w:rPr>
  </w:style>
  <w:style w:type="paragraph" w:styleId="8">
    <w:name w:val="footer"/>
    <w:basedOn w:val="1"/>
    <w:link w:val="17"/>
    <w:unhideWhenUsed/>
    <w:qFormat/>
    <w:uiPriority w:val="99"/>
    <w:pPr>
      <w:tabs>
        <w:tab w:val="center" w:pos="4153"/>
        <w:tab w:val="right" w:pos="8306"/>
      </w:tabs>
      <w:snapToGrid w:val="0"/>
      <w:jc w:val="left"/>
    </w:pPr>
    <w:rPr>
      <w:sz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rPr>
  </w:style>
  <w:style w:type="paragraph" w:styleId="10">
    <w:name w:val="footnote text"/>
    <w:basedOn w:val="1"/>
    <w:link w:val="15"/>
    <w:semiHidden/>
    <w:unhideWhenUsed/>
    <w:qFormat/>
    <w:uiPriority w:val="99"/>
    <w:pPr>
      <w:snapToGrid w:val="0"/>
      <w:jc w:val="left"/>
    </w:pPr>
    <w:rPr>
      <w:sz w:val="18"/>
    </w:rPr>
  </w:style>
  <w:style w:type="paragraph" w:styleId="11">
    <w:name w:val="Normal (Web)"/>
    <w:basedOn w:val="1"/>
    <w:qFormat/>
    <w:uiPriority w:val="99"/>
    <w:pPr>
      <w:widowControl/>
      <w:spacing w:before="100" w:beforeAutospacing="1" w:after="100" w:afterAutospacing="1"/>
      <w:jc w:val="left"/>
    </w:pPr>
    <w:rPr>
      <w:kern w:val="0"/>
      <w:sz w:val="24"/>
      <w:szCs w:val="24"/>
    </w:rPr>
  </w:style>
  <w:style w:type="character" w:styleId="14">
    <w:name w:val="footnote reference"/>
    <w:basedOn w:val="13"/>
    <w:qFormat/>
    <w:uiPriority w:val="0"/>
    <w:rPr>
      <w:vertAlign w:val="superscript"/>
    </w:rPr>
  </w:style>
  <w:style w:type="character" w:customStyle="1" w:styleId="15">
    <w:name w:val="脚注文本 字符"/>
    <w:basedOn w:val="13"/>
    <w:link w:val="10"/>
    <w:semiHidden/>
    <w:qFormat/>
    <w:uiPriority w:val="99"/>
    <w:rPr>
      <w:sz w:val="18"/>
    </w:rPr>
  </w:style>
  <w:style w:type="character" w:customStyle="1" w:styleId="16">
    <w:name w:val="页眉 字符"/>
    <w:basedOn w:val="13"/>
    <w:link w:val="9"/>
    <w:qFormat/>
    <w:uiPriority w:val="99"/>
    <w:rPr>
      <w:sz w:val="18"/>
    </w:rPr>
  </w:style>
  <w:style w:type="character" w:customStyle="1" w:styleId="17">
    <w:name w:val="页脚 字符"/>
    <w:basedOn w:val="13"/>
    <w:link w:val="8"/>
    <w:qFormat/>
    <w:uiPriority w:val="99"/>
    <w:rPr>
      <w:sz w:val="18"/>
    </w:rPr>
  </w:style>
  <w:style w:type="paragraph" w:customStyle="1" w:styleId="18">
    <w:name w:val="Table Text"/>
    <w:basedOn w:val="1"/>
    <w:semiHidden/>
    <w:qFormat/>
    <w:uiPriority w:val="0"/>
    <w:rPr>
      <w:rFonts w:cs="宋体"/>
      <w:sz w:val="20"/>
      <w:szCs w:val="20"/>
      <w:lang w:eastAsia="en-US"/>
    </w:rPr>
  </w:style>
  <w:style w:type="table" w:customStyle="1" w:styleId="19">
    <w:name w:val="Table Normal"/>
    <w:semiHidden/>
    <w:unhideWhenUsed/>
    <w:qFormat/>
    <w:uiPriority w:val="0"/>
    <w:tblPr>
      <w:tblCellMar>
        <w:top w:w="0" w:type="dxa"/>
        <w:left w:w="0" w:type="dxa"/>
        <w:bottom w:w="0" w:type="dxa"/>
        <w:right w:w="0" w:type="dxa"/>
      </w:tblCellMar>
    </w:tblPr>
  </w:style>
  <w:style w:type="table" w:customStyle="1" w:styleId="20">
    <w:name w:val="Table Normal1"/>
    <w:semiHidden/>
    <w:unhideWhenUsed/>
    <w:qFormat/>
    <w:uiPriority w:val="0"/>
    <w:rPr>
      <w:rFonts w:ascii="Times New Roman" w:hAnsi="Times New Roman" w:cs="Times New Roman"/>
    </w:rPr>
    <w:tblPr>
      <w:tblCellMar>
        <w:top w:w="0" w:type="dxa"/>
        <w:left w:w="0" w:type="dxa"/>
        <w:bottom w:w="0" w:type="dxa"/>
        <w:right w:w="0" w:type="dxa"/>
      </w:tblCellMar>
    </w:tblPr>
  </w:style>
  <w:style w:type="character" w:customStyle="1" w:styleId="21">
    <w:name w:val="标题 2 字符"/>
    <w:basedOn w:val="13"/>
    <w:link w:val="3"/>
    <w:semiHidden/>
    <w:qFormat/>
    <w:uiPriority w:val="9"/>
    <w:rPr>
      <w:rFonts w:asciiTheme="majorHAnsi" w:hAnsiTheme="majorHAnsi" w:eastAsiaTheme="majorEastAsia" w:cstheme="majorBidi"/>
      <w:b/>
      <w:bCs/>
      <w:color w:val="000000"/>
      <w:kern w:val="2"/>
      <w:sz w:val="32"/>
      <w:szCs w:val="32"/>
    </w:rPr>
  </w:style>
  <w:style w:type="table" w:customStyle="1" w:styleId="22">
    <w:name w:val="Table Normal2"/>
    <w:semiHidden/>
    <w:unhideWhenUsed/>
    <w:qFormat/>
    <w:uiPriority w:val="0"/>
    <w:rPr>
      <w:rFonts w:ascii="Times New Roman" w:hAnsi="Times New Roman" w:cs="Times New Roman"/>
    </w:rPr>
    <w:tblPr>
      <w:tblCellMar>
        <w:top w:w="0" w:type="dxa"/>
        <w:left w:w="0" w:type="dxa"/>
        <w:bottom w:w="0" w:type="dxa"/>
        <w:right w:w="0" w:type="dxa"/>
      </w:tblCellMar>
    </w:tblPr>
  </w:style>
  <w:style w:type="paragraph" w:customStyle="1" w:styleId="23">
    <w:name w:val="正文文本 (2)"/>
    <w:basedOn w:val="1"/>
    <w:qFormat/>
    <w:uiPriority w:val="0"/>
    <w:pPr>
      <w:shd w:val="clear" w:color="auto" w:fill="FFFFFF"/>
      <w:spacing w:before="300" w:line="439" w:lineRule="exact"/>
      <w:jc w:val="distribute"/>
    </w:pPr>
    <w:rPr>
      <w:rFonts w:ascii="宋体" w:hAnsi="宋体" w:cs="宋体"/>
      <w:kern w:val="0"/>
      <w:sz w:val="22"/>
    </w:rPr>
  </w:style>
  <w:style w:type="table" w:customStyle="1" w:styleId="24">
    <w:name w:val="网格型2"/>
    <w:basedOn w:val="12"/>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Table Paragraph"/>
    <w:basedOn w:val="1"/>
    <w:qFormat/>
    <w:uiPriority w:val="1"/>
    <w:pPr>
      <w:jc w:val="left"/>
    </w:pPr>
    <w:rPr>
      <w:rFonts w:ascii="Calibri" w:hAnsi="Calibri" w:eastAsia="Calibri" w:cs="黑体"/>
      <w:kern w:val="0"/>
      <w:sz w:val="22"/>
      <w:szCs w:val="22"/>
      <w:lang w:eastAsia="en-US"/>
    </w:rPr>
  </w:style>
  <w:style w:type="paragraph" w:customStyle="1" w:styleId="26">
    <w:name w:val="列出段落2"/>
    <w:basedOn w:val="1"/>
    <w:unhideWhenUsed/>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3074</Words>
  <Characters>3351</Characters>
  <Lines>87</Lines>
  <Paragraphs>24</Paragraphs>
  <TotalTime>0</TotalTime>
  <ScaleCrop>false</ScaleCrop>
  <LinksUpToDate>false</LinksUpToDate>
  <CharactersWithSpaces>3372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2024-07-30T09:12:00Z</dcterms:created>
  <cp:lastPrinted>2026-02-11T00:53:00Z</cp:lastPrinted>
  <dcterms:modified xsi:type="dcterms:W3CDTF">2026-04-24T00:47:30Z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eyJoZGlkIjoiMDU0YTRjZjRmZGM5YmFmOTdiZmYxNjJkOWQwMWNiOWEiLCJ1c2VySWQiOiIzNTIzNzA2NTUifQ==</vt:lpwstr>
  </property>
  <property fmtid="{D5CDD505-2E9C-101B-9397-08002B2CF9AE}" pid="3" name="KSOProductBuildVer">
    <vt:lpwstr>2052-12.1.0.25865</vt:lpwstr>
  </property>
  <property fmtid="{D5CDD505-2E9C-101B-9397-08002B2CF9AE}" pid="4" name="ICV">
    <vt:lpwstr>5513B63654664154A47EE8FAFE1382D1_12</vt:lpwstr>
  </property>
</Properties>
</file>