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581A2">
      <w:pPr>
        <w:adjustRightInd w:val="0"/>
        <w:snapToGrid w:val="0"/>
        <w:spacing w:line="400" w:lineRule="exact"/>
        <w:jc w:val="center"/>
        <w:rPr>
          <w:rFonts w:hint="eastAsia" w:ascii="黑体" w:eastAsia="黑体"/>
          <w:sz w:val="24"/>
          <w:szCs w:val="24"/>
          <w:highlight w:val="none"/>
        </w:rPr>
      </w:pPr>
      <w:bookmarkStart w:id="0" w:name="_Toc287250928"/>
      <w:bookmarkStart w:id="1" w:name="_Toc287249978"/>
      <w:bookmarkStart w:id="2" w:name="OLE_LINK1"/>
      <w:bookmarkStart w:id="3" w:name="OLE_LINK2"/>
      <w:r>
        <w:rPr>
          <w:rFonts w:hint="eastAsia" w:ascii="黑体" w:eastAsia="黑体"/>
          <w:sz w:val="24"/>
          <w:szCs w:val="24"/>
          <w:highlight w:val="none"/>
        </w:rPr>
        <w:t>国道漫江至临江公路（G612）漫江至分水（县界）段勘察设计</w:t>
      </w:r>
    </w:p>
    <w:p w14:paraId="078840EE">
      <w:pPr>
        <w:adjustRightInd w:val="0"/>
        <w:snapToGrid w:val="0"/>
        <w:spacing w:line="400" w:lineRule="exact"/>
        <w:jc w:val="center"/>
        <w:rPr>
          <w:rFonts w:ascii="黑体" w:eastAsia="黑体"/>
          <w:sz w:val="24"/>
          <w:szCs w:val="24"/>
          <w:highlight w:val="none"/>
        </w:rPr>
      </w:pPr>
      <w:r>
        <w:rPr>
          <w:rFonts w:hint="eastAsia" w:ascii="黑体" w:hAnsi="黑体" w:eastAsia="黑体"/>
          <w:bCs/>
          <w:color w:val="auto"/>
          <w:sz w:val="24"/>
          <w:szCs w:val="24"/>
          <w:highlight w:val="none"/>
        </w:rPr>
        <w:t>招标文件关键内容信息公开</w:t>
      </w:r>
    </w:p>
    <w:bookmarkEnd w:id="0"/>
    <w:bookmarkEnd w:id="1"/>
    <w:p w14:paraId="69E4DC34">
      <w:pPr>
        <w:keepNext w:val="0"/>
        <w:keepLines w:val="0"/>
        <w:pageBreakBefore w:val="0"/>
        <w:kinsoku/>
        <w:wordWrap/>
        <w:overflowPunct/>
        <w:topLinePunct w:val="0"/>
        <w:autoSpaceDE/>
        <w:autoSpaceDN/>
        <w:bidi w:val="0"/>
        <w:adjustRightInd w:val="0"/>
        <w:snapToGrid w:val="0"/>
        <w:spacing w:line="360" w:lineRule="auto"/>
        <w:rPr>
          <w:rFonts w:ascii="黑体" w:eastAsia="黑体"/>
          <w:sz w:val="24"/>
          <w:highlight w:val="none"/>
        </w:rPr>
      </w:pPr>
      <w:bookmarkStart w:id="4" w:name="_Toc327432497"/>
      <w:r>
        <w:rPr>
          <w:rFonts w:hint="eastAsia" w:ascii="黑体" w:eastAsia="黑体"/>
          <w:sz w:val="24"/>
          <w:highlight w:val="none"/>
        </w:rPr>
        <w:t>1.招标条件</w:t>
      </w:r>
      <w:bookmarkEnd w:id="4"/>
    </w:p>
    <w:p w14:paraId="0BE0A710">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本招标项目</w:t>
      </w:r>
      <w:r>
        <w:rPr>
          <w:rFonts w:hint="eastAsia" w:ascii="黑体" w:hAnsi="黑体" w:eastAsia="黑体"/>
          <w:szCs w:val="21"/>
          <w:highlight w:val="none"/>
          <w:u w:val="single"/>
        </w:rPr>
        <w:t>国道漫江至临江公路（G612）漫江至分水（县界）段</w:t>
      </w:r>
      <w:r>
        <w:rPr>
          <w:rFonts w:hint="eastAsia" w:ascii="宋体" w:hAnsi="宋体"/>
          <w:szCs w:val="21"/>
          <w:highlight w:val="none"/>
        </w:rPr>
        <w:t>已由吉林省发展和改革委员会以《关于国道漫江至临江公路（G612）漫江至分水（县界）段项目可行性研究报告的批复》（吉发改审批〔2026〕6号）批准建设，项目业主为</w:t>
      </w:r>
      <w:r>
        <w:rPr>
          <w:rFonts w:hint="eastAsia" w:ascii="黑体" w:hAnsi="黑体" w:eastAsia="黑体"/>
          <w:szCs w:val="21"/>
          <w:highlight w:val="none"/>
          <w:u w:val="single"/>
        </w:rPr>
        <w:t>抚松县公路建设管理中心</w:t>
      </w:r>
      <w:r>
        <w:rPr>
          <w:rFonts w:hint="eastAsia" w:ascii="宋体" w:hAnsi="宋体"/>
          <w:szCs w:val="21"/>
          <w:highlight w:val="none"/>
        </w:rPr>
        <w:t>，建设资金来自申请国家交通运输领域重点项目资金和抚松县政府财政性资金，招标人为</w:t>
      </w:r>
      <w:r>
        <w:rPr>
          <w:rFonts w:hint="eastAsia" w:ascii="黑体" w:hAnsi="黑体" w:eastAsia="黑体"/>
          <w:szCs w:val="21"/>
          <w:highlight w:val="none"/>
          <w:u w:val="single"/>
        </w:rPr>
        <w:t>抚松县公路建设管理中心</w:t>
      </w:r>
      <w:r>
        <w:rPr>
          <w:rFonts w:hint="eastAsia" w:ascii="宋体" w:hAnsi="宋体"/>
          <w:szCs w:val="21"/>
          <w:highlight w:val="none"/>
        </w:rPr>
        <w:t>。项目已具备招标条件,现对该项目的</w:t>
      </w:r>
      <w:r>
        <w:rPr>
          <w:rFonts w:hint="eastAsia" w:ascii="黑体" w:hAnsi="黑体" w:eastAsia="黑体"/>
          <w:szCs w:val="21"/>
          <w:highlight w:val="none"/>
        </w:rPr>
        <w:t>勘察设计</w:t>
      </w:r>
      <w:r>
        <w:rPr>
          <w:rFonts w:hint="eastAsia" w:ascii="宋体" w:hAnsi="宋体"/>
          <w:szCs w:val="21"/>
          <w:highlight w:val="none"/>
        </w:rPr>
        <w:t>进行公开招标。</w:t>
      </w:r>
    </w:p>
    <w:p w14:paraId="4475C111">
      <w:pPr>
        <w:keepNext w:val="0"/>
        <w:keepLines w:val="0"/>
        <w:pageBreakBefore w:val="0"/>
        <w:kinsoku/>
        <w:wordWrap/>
        <w:overflowPunct/>
        <w:topLinePunct w:val="0"/>
        <w:autoSpaceDE/>
        <w:autoSpaceDN/>
        <w:bidi w:val="0"/>
        <w:adjustRightInd w:val="0"/>
        <w:snapToGrid w:val="0"/>
        <w:spacing w:line="360" w:lineRule="auto"/>
        <w:rPr>
          <w:rFonts w:ascii="黑体" w:eastAsia="黑体"/>
          <w:sz w:val="24"/>
          <w:highlight w:val="none"/>
        </w:rPr>
      </w:pPr>
      <w:bookmarkStart w:id="5" w:name="_Toc327432498"/>
      <w:r>
        <w:rPr>
          <w:rFonts w:hint="eastAsia" w:ascii="黑体" w:eastAsia="黑体"/>
          <w:sz w:val="24"/>
          <w:highlight w:val="none"/>
        </w:rPr>
        <w:t>2.项目概况与招标范围</w:t>
      </w:r>
      <w:bookmarkEnd w:id="5"/>
    </w:p>
    <w:p w14:paraId="467B2312">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2.1建设地点：路线起点位于漫江镇锦江木屋村北侧与国道抚公公路（G504）交汇处，向西跨越头道松花江，终点位于柳毛河林场北侧分水抚松县与临江区交界处。</w:t>
      </w:r>
    </w:p>
    <w:p w14:paraId="00FC4DC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建设规模及主要建设内容：路线全长9.04公里，二级公路标准，设计速度80公里/小时，桥涵设计荷载采用公路-Ⅰ级，路基宽度12米。全线设置特大桥519米/1座（最大跨径160米，最大墩高大于100米）、大桥344米/2座，涵洞10道，平面交叉8处。</w:t>
      </w:r>
    </w:p>
    <w:p w14:paraId="2BC0215B">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服务期限：</w:t>
      </w:r>
      <w:bookmarkStart w:id="6" w:name="OLE_LINK73"/>
      <w:r>
        <w:rPr>
          <w:rFonts w:hint="eastAsia" w:ascii="宋体" w:hAnsi="宋体"/>
          <w:szCs w:val="21"/>
          <w:highlight w:val="none"/>
        </w:rPr>
        <w:t>从合同签订之日起至本工程缺陷责任期终止之日止。其中勘察设计服务期限120天，主要时间节点如下：</w:t>
      </w:r>
    </w:p>
    <w:bookmarkEnd w:id="6"/>
    <w:p w14:paraId="04CC667F">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szCs w:val="21"/>
          <w:highlight w:val="none"/>
        </w:rPr>
      </w:pPr>
      <w:bookmarkStart w:id="7" w:name="OLE_LINK72"/>
      <w:r>
        <w:rPr>
          <w:rFonts w:hint="eastAsia" w:ascii="宋体" w:hAnsi="宋体"/>
          <w:szCs w:val="21"/>
          <w:highlight w:val="none"/>
        </w:rPr>
        <w:t>（1）初步设计自勘察设计通知中载明的开始勘察设计之日起60天内完成。</w:t>
      </w:r>
    </w:p>
    <w:p w14:paraId="3084BFB9">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（2）施工图设计自勘察设计通知中载明的开始勘察设计之日起120天内完成。</w:t>
      </w:r>
    </w:p>
    <w:bookmarkEnd w:id="7"/>
    <w:p w14:paraId="6FBBEEC7">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3）在招标人要求的具体日期之前完成：工程量清单、清单预算、最高投标限价等。</w:t>
      </w:r>
    </w:p>
    <w:p w14:paraId="3FCBC085">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4</w:t>
      </w:r>
      <w:r>
        <w:rPr>
          <w:rFonts w:hint="eastAsia" w:ascii="宋体" w:hAnsi="宋体"/>
          <w:szCs w:val="21"/>
          <w:highlight w:val="none"/>
        </w:rPr>
        <w:t>标段划分：本次招标划分为1个标段，即</w:t>
      </w:r>
      <w:r>
        <w:rPr>
          <w:rFonts w:hint="eastAsia" w:ascii="黑体" w:hAnsi="黑体" w:eastAsia="黑体"/>
          <w:szCs w:val="21"/>
          <w:highlight w:val="none"/>
        </w:rPr>
        <w:t>SJ01标段</w:t>
      </w:r>
      <w:r>
        <w:rPr>
          <w:rFonts w:hint="eastAsia" w:ascii="宋体" w:hAnsi="宋体"/>
          <w:szCs w:val="21"/>
          <w:highlight w:val="none"/>
        </w:rPr>
        <w:t>。</w:t>
      </w:r>
    </w:p>
    <w:p w14:paraId="298B2ABB">
      <w:pPr>
        <w:keepNext w:val="0"/>
        <w:keepLines w:val="0"/>
        <w:pageBreakBefore w:val="0"/>
        <w:widowControl/>
        <w:shd w:val="clear" w:color="auto" w:fill="FFFFFF"/>
        <w:kinsoku/>
        <w:wordWrap/>
        <w:overflowPunct/>
        <w:topLinePunct w:val="0"/>
        <w:autoSpaceDE/>
        <w:autoSpaceDN/>
        <w:bidi w:val="0"/>
        <w:snapToGrid w:val="0"/>
        <w:spacing w:line="360" w:lineRule="auto"/>
        <w:ind w:firstLine="420" w:firstLineChars="200"/>
        <w:jc w:val="left"/>
        <w:textAlignment w:val="baseline"/>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5</w:t>
      </w:r>
      <w:r>
        <w:rPr>
          <w:rFonts w:hint="eastAsia" w:ascii="宋体" w:hAnsi="宋体"/>
          <w:szCs w:val="21"/>
          <w:highlight w:val="none"/>
        </w:rPr>
        <w:t>招标范围：</w:t>
      </w:r>
    </w:p>
    <w:p w14:paraId="796BBDFE">
      <w:pPr>
        <w:keepNext w:val="0"/>
        <w:keepLines w:val="0"/>
        <w:pageBreakBefore w:val="0"/>
        <w:widowControl/>
        <w:shd w:val="clear" w:color="auto" w:fill="FFFFFF"/>
        <w:kinsoku/>
        <w:wordWrap/>
        <w:overflowPunct/>
        <w:topLinePunct w:val="0"/>
        <w:autoSpaceDE/>
        <w:autoSpaceDN/>
        <w:bidi w:val="0"/>
        <w:snapToGrid w:val="0"/>
        <w:spacing w:line="360" w:lineRule="auto"/>
        <w:ind w:firstLine="420" w:firstLineChars="200"/>
        <w:jc w:val="left"/>
        <w:textAlignment w:val="baseline"/>
        <w:rPr>
          <w:rFonts w:hint="eastAsia" w:ascii="宋体" w:hAnsi="宋体" w:cs="宋体"/>
          <w:kern w:val="0"/>
          <w:szCs w:val="21"/>
          <w:highlight w:val="none"/>
        </w:rPr>
      </w:pPr>
      <w:r>
        <w:rPr>
          <w:rFonts w:hint="eastAsia" w:ascii="宋体" w:hAnsi="宋体" w:cs="宋体"/>
          <w:kern w:val="0"/>
          <w:szCs w:val="21"/>
          <w:highlight w:val="none"/>
        </w:rPr>
        <w:t>（1）初步勘察设计：包括初步勘察设计阶段的勘察设计、设计概算等。</w:t>
      </w:r>
    </w:p>
    <w:p w14:paraId="3564B20F">
      <w:pPr>
        <w:keepNext w:val="0"/>
        <w:keepLines w:val="0"/>
        <w:pageBreakBefore w:val="0"/>
        <w:widowControl/>
        <w:shd w:val="clear" w:color="auto" w:fill="FFFFFF"/>
        <w:kinsoku/>
        <w:wordWrap/>
        <w:overflowPunct/>
        <w:topLinePunct w:val="0"/>
        <w:autoSpaceDE/>
        <w:autoSpaceDN/>
        <w:bidi w:val="0"/>
        <w:snapToGrid w:val="0"/>
        <w:spacing w:line="360" w:lineRule="auto"/>
        <w:ind w:firstLine="420" w:firstLineChars="200"/>
        <w:jc w:val="left"/>
        <w:textAlignment w:val="baseline"/>
        <w:rPr>
          <w:rFonts w:hint="eastAsia" w:ascii="宋体" w:hAnsi="宋体" w:cs="宋体"/>
          <w:kern w:val="0"/>
          <w:szCs w:val="21"/>
          <w:highlight w:val="none"/>
        </w:rPr>
      </w:pPr>
      <w:r>
        <w:rPr>
          <w:rFonts w:hint="eastAsia" w:ascii="宋体" w:hAnsi="宋体" w:cs="宋体"/>
          <w:kern w:val="0"/>
          <w:szCs w:val="21"/>
          <w:highlight w:val="none"/>
        </w:rPr>
        <w:t>（2）施工图勘察设计：包括施工图勘察设计阶段的勘察设计、施工图预算、占地图等。</w:t>
      </w:r>
    </w:p>
    <w:p w14:paraId="38536297">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（3）其他：按施工标段编制工程量清单、清单预算、最高投标限价等；</w:t>
      </w:r>
      <w:r>
        <w:rPr>
          <w:rFonts w:hint="eastAsia" w:ascii="宋体" w:hAnsi="宋体"/>
          <w:szCs w:val="21"/>
          <w:highlight w:val="none"/>
        </w:rPr>
        <w:t>招标与施工配合、</w:t>
      </w:r>
      <w:r>
        <w:rPr>
          <w:rFonts w:hint="eastAsia" w:ascii="宋体" w:hAnsi="宋体" w:cs="宋体"/>
          <w:kern w:val="0"/>
          <w:szCs w:val="21"/>
          <w:highlight w:val="none"/>
        </w:rPr>
        <w:t>设计变更、</w:t>
      </w:r>
      <w:r>
        <w:rPr>
          <w:rFonts w:hint="eastAsia" w:ascii="宋体" w:hAnsi="宋体"/>
          <w:szCs w:val="21"/>
          <w:highlight w:val="none"/>
        </w:rPr>
        <w:t>技术交底，以及参加交工、竣工验收和发包人委托的其他服务。</w:t>
      </w:r>
    </w:p>
    <w:p w14:paraId="191744AD">
      <w:pPr>
        <w:keepNext w:val="0"/>
        <w:keepLines w:val="0"/>
        <w:pageBreakBefore w:val="0"/>
        <w:kinsoku/>
        <w:wordWrap/>
        <w:overflowPunct/>
        <w:topLinePunct w:val="0"/>
        <w:autoSpaceDE/>
        <w:autoSpaceDN/>
        <w:bidi w:val="0"/>
        <w:adjustRightInd w:val="0"/>
        <w:snapToGrid w:val="0"/>
        <w:spacing w:line="360" w:lineRule="auto"/>
        <w:rPr>
          <w:rFonts w:ascii="黑体" w:eastAsia="黑体"/>
          <w:sz w:val="24"/>
          <w:highlight w:val="none"/>
        </w:rPr>
      </w:pPr>
      <w:bookmarkStart w:id="8" w:name="_Toc327432499"/>
      <w:r>
        <w:rPr>
          <w:rFonts w:hint="eastAsia" w:ascii="黑体" w:eastAsia="黑体"/>
          <w:sz w:val="24"/>
          <w:highlight w:val="none"/>
        </w:rPr>
        <w:t>3.投标人资格要求</w:t>
      </w:r>
      <w:bookmarkEnd w:id="8"/>
    </w:p>
    <w:p w14:paraId="2CB271C6">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3.1本次招标要求投标人须满足以下</w:t>
      </w:r>
      <w:r>
        <w:rPr>
          <w:rFonts w:hint="eastAsia" w:ascii="黑体" w:hAnsi="黑体" w:eastAsia="黑体"/>
          <w:szCs w:val="21"/>
          <w:highlight w:val="none"/>
        </w:rPr>
        <w:t>资质及业绩最低要求，</w:t>
      </w:r>
      <w:r>
        <w:rPr>
          <w:rFonts w:hint="eastAsia" w:ascii="宋体" w:hAnsi="宋体"/>
          <w:color w:val="000000" w:themeColor="text1"/>
          <w:szCs w:val="21"/>
          <w:highlight w:val="none"/>
          <w14:textFill>
            <w14:solidFill>
              <w14:schemeClr w14:val="tx1"/>
            </w14:solidFill>
          </w14:textFill>
        </w:rPr>
        <w:t>并在人员等方面具有相应的勘察设计能力。</w:t>
      </w:r>
    </w:p>
    <w:p w14:paraId="691F9812">
      <w:pPr>
        <w:keepNext w:val="0"/>
        <w:keepLines w:val="0"/>
        <w:pageBreakBefore w:val="0"/>
        <w:tabs>
          <w:tab w:val="left" w:pos="540"/>
        </w:tabs>
        <w:kinsoku/>
        <w:wordWrap/>
        <w:overflowPunct/>
        <w:topLinePunct w:val="0"/>
        <w:autoSpaceDE/>
        <w:autoSpaceDN/>
        <w:bidi w:val="0"/>
        <w:snapToGrid w:val="0"/>
        <w:spacing w:line="360" w:lineRule="auto"/>
        <w:ind w:left="-11" w:firstLine="432" w:firstLineChars="206"/>
        <w:rPr>
          <w:rFonts w:hint="eastAsia" w:ascii="宋体" w:hAnsi="宋体"/>
          <w:szCs w:val="21"/>
          <w:highlight w:val="none"/>
        </w:rPr>
      </w:pPr>
      <w:r>
        <w:rPr>
          <w:rFonts w:hint="eastAsia" w:ascii="宋体" w:hAnsi="宋体"/>
          <w:szCs w:val="21"/>
          <w:highlight w:val="none"/>
        </w:rPr>
        <w:t>（1）投标人须同时具备住房和城乡建设主管部门颁发的</w:t>
      </w:r>
      <w:r>
        <w:rPr>
          <w:rFonts w:hint="eastAsia" w:ascii="黑体" w:hAnsi="黑体" w:eastAsia="黑体"/>
          <w:szCs w:val="21"/>
          <w:highlight w:val="none"/>
        </w:rPr>
        <w:t>工程设计公路行业（公路）专业乙级资质</w:t>
      </w:r>
      <w:r>
        <w:rPr>
          <w:rFonts w:hint="eastAsia" w:ascii="宋体" w:hAnsi="宋体"/>
          <w:szCs w:val="21"/>
          <w:highlight w:val="none"/>
        </w:rPr>
        <w:t>、</w:t>
      </w:r>
      <w:r>
        <w:rPr>
          <w:rFonts w:hint="eastAsia" w:ascii="黑体" w:hAnsi="黑体" w:eastAsia="黑体"/>
          <w:szCs w:val="21"/>
          <w:highlight w:val="none"/>
        </w:rPr>
        <w:t>工程设计公路行业（特大桥梁）专业甲级资质、工程勘察专业类【岩土工程（勘察）】甲级资质</w:t>
      </w:r>
      <w:r>
        <w:rPr>
          <w:rFonts w:hint="eastAsia" w:ascii="宋体" w:hAnsi="宋体"/>
          <w:szCs w:val="21"/>
          <w:highlight w:val="none"/>
        </w:rPr>
        <w:t>、</w:t>
      </w:r>
      <w:r>
        <w:rPr>
          <w:rFonts w:hint="eastAsia" w:ascii="黑体" w:hAnsi="黑体" w:eastAsia="黑体"/>
          <w:szCs w:val="21"/>
          <w:highlight w:val="none"/>
        </w:rPr>
        <w:t>工程勘察专业类（工程测量）乙级资质</w:t>
      </w:r>
      <w:r>
        <w:rPr>
          <w:rFonts w:hint="eastAsia" w:ascii="宋体" w:hAnsi="宋体"/>
          <w:szCs w:val="21"/>
          <w:highlight w:val="none"/>
        </w:rPr>
        <w:t>。</w:t>
      </w:r>
    </w:p>
    <w:p w14:paraId="7C19D8E8">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由交通运输部审核、审批资质的投标人（如以联合体形式投标的，包括联合体各成员）应进入交通运输部“全国公路建设市场监督管理系统”中的公路工程设计资质企业名录，且投标人名称和资质与该名录中的相应企业名称和资质完全一致。</w:t>
      </w:r>
    </w:p>
    <w:p w14:paraId="4D7C79D6">
      <w:pPr>
        <w:keepNext w:val="0"/>
        <w:keepLines w:val="0"/>
        <w:pageBreakBefore w:val="0"/>
        <w:tabs>
          <w:tab w:val="left" w:pos="540"/>
        </w:tabs>
        <w:kinsoku/>
        <w:wordWrap/>
        <w:overflowPunct/>
        <w:topLinePunct w:val="0"/>
        <w:autoSpaceDE/>
        <w:autoSpaceDN/>
        <w:bidi w:val="0"/>
        <w:snapToGrid w:val="0"/>
        <w:spacing w:line="360" w:lineRule="auto"/>
        <w:ind w:left="-11" w:firstLine="432" w:firstLineChars="20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（2）投标人近五年内（</w:t>
      </w:r>
      <w:r>
        <w:rPr>
          <w:rFonts w:hint="eastAsia" w:ascii="宋体" w:hAnsi="宋体"/>
          <w:color w:val="000000" w:themeColor="text1"/>
          <w:highlight w:val="none"/>
          <w14:textFill>
            <w14:solidFill>
              <w14:schemeClr w14:val="tx1"/>
            </w14:solidFill>
          </w14:textFill>
        </w:rPr>
        <w:t>指2021年1月1日至投标截止时间，</w:t>
      </w:r>
      <w:r>
        <w:rPr>
          <w:rFonts w:hint="eastAsia" w:ascii="宋体" w:hAnsi="宋体"/>
          <w:color w:val="000000" w:themeColor="text1"/>
          <w:szCs w:val="21"/>
          <w:highlight w:val="none"/>
          <w14:textFill>
            <w14:solidFill>
              <w14:schemeClr w14:val="tx1"/>
            </w14:solidFill>
          </w14:textFill>
        </w:rPr>
        <w:t>以相应的批复时间为准）完成过二级（含）以上公路工程设计业绩</w:t>
      </w:r>
      <w:r>
        <w:rPr>
          <w:rFonts w:hint="eastAsia" w:ascii="黑体" w:hAnsi="黑体" w:eastAsia="黑体"/>
          <w:color w:val="000000" w:themeColor="text1"/>
          <w:szCs w:val="21"/>
          <w:highlight w:val="none"/>
          <w14:textFill>
            <w14:solidFill>
              <w14:schemeClr w14:val="tx1"/>
            </w14:solidFill>
          </w14:textFill>
        </w:rPr>
        <w:t>累计不少于9公里</w:t>
      </w:r>
      <w:r>
        <w:rPr>
          <w:rFonts w:hint="eastAsia" w:ascii="宋体" w:hAnsi="宋体"/>
          <w:color w:val="000000" w:themeColor="text1"/>
          <w:szCs w:val="21"/>
          <w:highlight w:val="none"/>
          <w14:textFill>
            <w14:solidFill>
              <w14:schemeClr w14:val="tx1"/>
            </w14:solidFill>
          </w14:textFill>
        </w:rPr>
        <w:t>（一级公路和高速公路业绩全幅按2倍长度计算、半幅按1倍长度计算）。</w:t>
      </w:r>
    </w:p>
    <w:p w14:paraId="3B5AE06F">
      <w:pPr>
        <w:keepNext w:val="0"/>
        <w:keepLines w:val="0"/>
        <w:pageBreakBefore w:val="0"/>
        <w:tabs>
          <w:tab w:val="left" w:pos="540"/>
        </w:tabs>
        <w:kinsoku/>
        <w:wordWrap/>
        <w:overflowPunct/>
        <w:topLinePunct w:val="0"/>
        <w:autoSpaceDE/>
        <w:autoSpaceDN/>
        <w:bidi w:val="0"/>
        <w:snapToGrid w:val="0"/>
        <w:spacing w:line="360" w:lineRule="auto"/>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注：①设计业绩应为国内新建、改扩建公路工程的业绩，养护工程业绩不予认定。</w:t>
      </w:r>
    </w:p>
    <w:p w14:paraId="2860C610">
      <w:pPr>
        <w:keepNext w:val="0"/>
        <w:keepLines w:val="0"/>
        <w:pageBreakBefore w:val="0"/>
        <w:tabs>
          <w:tab w:val="left" w:pos="540"/>
        </w:tabs>
        <w:kinsoku/>
        <w:wordWrap/>
        <w:overflowPunct/>
        <w:topLinePunct w:val="0"/>
        <w:autoSpaceDE/>
        <w:autoSpaceDN/>
        <w:bidi w:val="0"/>
        <w:snapToGrid w:val="0"/>
        <w:spacing w:line="360" w:lineRule="auto"/>
        <w:ind w:left="-14" w:firstLine="420" w:firstLineChars="200"/>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②设计业绩同一项目包括初步设计和施工图设计的，当设计段落重复时不重复计算。</w:t>
      </w:r>
    </w:p>
    <w:p w14:paraId="239B0F15">
      <w:pPr>
        <w:keepNext w:val="0"/>
        <w:keepLines w:val="0"/>
        <w:pageBreakBefore w:val="0"/>
        <w:tabs>
          <w:tab w:val="left" w:pos="540"/>
        </w:tabs>
        <w:kinsoku/>
        <w:wordWrap/>
        <w:overflowPunct/>
        <w:topLinePunct w:val="0"/>
        <w:autoSpaceDE/>
        <w:autoSpaceDN/>
        <w:bidi w:val="0"/>
        <w:snapToGrid w:val="0"/>
        <w:spacing w:line="360" w:lineRule="auto"/>
        <w:ind w:firstLine="420" w:firstLineChars="200"/>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③设计业绩应为已列入交通运输部“全国公路建设市场监督管理系统”或省级交通运输主管部门“公路建设市场信用信息管理系统” 并公开的主包或分包业绩。</w:t>
      </w:r>
    </w:p>
    <w:p w14:paraId="0E9E661C">
      <w:pPr>
        <w:keepNext w:val="0"/>
        <w:keepLines w:val="0"/>
        <w:pageBreakBefore w:val="0"/>
        <w:tabs>
          <w:tab w:val="left" w:pos="540"/>
        </w:tabs>
        <w:kinsoku/>
        <w:wordWrap/>
        <w:overflowPunct/>
        <w:topLinePunct w:val="0"/>
        <w:autoSpaceDE/>
        <w:autoSpaceDN/>
        <w:bidi w:val="0"/>
        <w:snapToGrid w:val="0"/>
        <w:spacing w:line="360" w:lineRule="auto"/>
        <w:ind w:left="-14" w:firstLine="420" w:firstLineChars="200"/>
        <w:jc w:val="left"/>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④以联合体形式投标的，公路工程设计业绩以牵头人业绩为准。</w:t>
      </w:r>
    </w:p>
    <w:p w14:paraId="06A32B7B">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3.2本次招标</w:t>
      </w:r>
      <w:r>
        <w:rPr>
          <w:rFonts w:hint="eastAsia" w:ascii="黑体" w:hAnsi="黑体" w:eastAsia="黑体"/>
          <w:szCs w:val="21"/>
          <w:highlight w:val="none"/>
          <w:u w:val="single"/>
        </w:rPr>
        <w:t>接受</w:t>
      </w:r>
      <w:r>
        <w:rPr>
          <w:rFonts w:hint="eastAsia" w:ascii="宋体" w:hAnsi="宋体"/>
          <w:szCs w:val="21"/>
          <w:highlight w:val="none"/>
        </w:rPr>
        <w:t>联合体投标，联合体投标的，应满足下列要求：</w:t>
      </w:r>
    </w:p>
    <w:p w14:paraId="3CC7B01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（1）联合体所有成员数量</w:t>
      </w:r>
      <w:r>
        <w:rPr>
          <w:rFonts w:hint="eastAsia" w:ascii="黑体" w:hAnsi="黑体" w:eastAsia="黑体"/>
          <w:szCs w:val="21"/>
          <w:highlight w:val="none"/>
        </w:rPr>
        <w:t>不得超过4家</w:t>
      </w:r>
      <w:r>
        <w:rPr>
          <w:rFonts w:hint="eastAsia" w:ascii="宋体" w:hAnsi="宋体"/>
          <w:szCs w:val="21"/>
          <w:highlight w:val="none"/>
        </w:rPr>
        <w:t>。</w:t>
      </w:r>
    </w:p>
    <w:p w14:paraId="53BAB10D">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（2）联合体牵头人至少应具有住房和城乡建设主管部门颁发的工程设计</w:t>
      </w:r>
      <w:r>
        <w:rPr>
          <w:rFonts w:hint="eastAsia" w:ascii="黑体" w:hAnsi="黑体" w:eastAsia="黑体"/>
          <w:szCs w:val="21"/>
          <w:highlight w:val="none"/>
        </w:rPr>
        <w:t>公路行业（公路）专业乙级</w:t>
      </w:r>
      <w:r>
        <w:rPr>
          <w:rFonts w:hint="eastAsia" w:ascii="宋体" w:hAnsi="宋体"/>
          <w:szCs w:val="21"/>
          <w:highlight w:val="none"/>
        </w:rPr>
        <w:t>以上（含乙级）资质，并负责本项目总体设计和全线协调、统一、汇总工作；联合体成员必须具备与其承担工作内容相应的资质。</w:t>
      </w:r>
    </w:p>
    <w:p w14:paraId="3C272BF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（3）招标文件中的其他相关规定。</w:t>
      </w:r>
    </w:p>
    <w:p w14:paraId="45CF9B2C">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3.3与招标人存在利害关系可能影响招标公正性的单位，不得参加投标。单位负责人为同一人或者存在控股、管理关系的不同单位，不得参加同一标段投标，否则相关投标均无效。</w:t>
      </w:r>
    </w:p>
    <w:p w14:paraId="4E6DD8B5">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3.4在“信用中国”网站</w:t>
      </w:r>
      <w:r>
        <w:rPr>
          <w:rFonts w:ascii="宋体" w:hAnsi="宋体"/>
          <w:szCs w:val="21"/>
          <w:highlight w:val="none"/>
        </w:rPr>
        <w:t>（http://www.creditchina.gov.cn/）</w:t>
      </w:r>
      <w:r>
        <w:rPr>
          <w:rFonts w:hint="eastAsia" w:ascii="宋体" w:hAnsi="宋体"/>
          <w:szCs w:val="21"/>
          <w:highlight w:val="none"/>
        </w:rPr>
        <w:t>中被列入失信被执行人名单的投标人，不得参加投标。</w:t>
      </w:r>
    </w:p>
    <w:p w14:paraId="4678AA4D">
      <w:pPr>
        <w:keepNext w:val="0"/>
        <w:keepLines w:val="0"/>
        <w:pageBreakBefore w:val="0"/>
        <w:kinsoku/>
        <w:wordWrap/>
        <w:overflowPunct/>
        <w:topLinePunct w:val="0"/>
        <w:autoSpaceDE/>
        <w:autoSpaceDN/>
        <w:bidi w:val="0"/>
        <w:adjustRightInd w:val="0"/>
        <w:snapToGrid w:val="0"/>
        <w:spacing w:line="360" w:lineRule="auto"/>
        <w:rPr>
          <w:rFonts w:ascii="黑体" w:eastAsia="黑体"/>
          <w:sz w:val="24"/>
          <w:highlight w:val="none"/>
        </w:rPr>
      </w:pPr>
      <w:bookmarkStart w:id="9" w:name="_Toc327432500"/>
      <w:r>
        <w:rPr>
          <w:rFonts w:hint="eastAsia" w:ascii="黑体" w:eastAsia="黑体"/>
          <w:sz w:val="24"/>
          <w:highlight w:val="none"/>
        </w:rPr>
        <w:t>4.</w:t>
      </w:r>
      <w:bookmarkEnd w:id="9"/>
      <w:r>
        <w:rPr>
          <w:rFonts w:hint="eastAsia" w:ascii="黑体" w:eastAsia="黑体"/>
          <w:sz w:val="24"/>
          <w:highlight w:val="none"/>
        </w:rPr>
        <w:t xml:space="preserve">招标文件的获取 </w:t>
      </w:r>
    </w:p>
    <w:p w14:paraId="4326AC7A">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4.1</w:t>
      </w:r>
      <w:r>
        <w:rPr>
          <w:rFonts w:hint="eastAsia" w:ascii="宋体" w:hAnsi="宋体"/>
          <w:szCs w:val="21"/>
          <w:highlight w:val="none"/>
        </w:rPr>
        <w:t>本次招标全程实行电子化招投标。</w:t>
      </w:r>
    </w:p>
    <w:p w14:paraId="1E2A2D4F">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凡有意参加投标者，请于</w:t>
      </w:r>
      <w:r>
        <w:rPr>
          <w:rFonts w:hint="eastAsia" w:ascii="黑体" w:hAnsi="黑体" w:eastAsia="黑体"/>
          <w:szCs w:val="21"/>
          <w:highlight w:val="none"/>
          <w:u w:val="single"/>
        </w:rPr>
        <w:t>2026年3月26日至2026年4月1日</w:t>
      </w:r>
      <w:r>
        <w:rPr>
          <w:rFonts w:hint="eastAsia" w:ascii="宋体" w:hAnsi="宋体"/>
          <w:szCs w:val="21"/>
          <w:highlight w:val="none"/>
        </w:rPr>
        <w:t>，登录吉林省公共资源交易一体化平台(</w:t>
      </w:r>
      <w:r>
        <w:rPr>
          <w:rFonts w:ascii="宋体" w:hAnsi="宋体"/>
          <w:szCs w:val="21"/>
          <w:highlight w:val="none"/>
        </w:rPr>
        <w:t>https://www.ggzyyth.jl.cn/EpointSSO/memberLogin</w:t>
      </w:r>
      <w:r>
        <w:rPr>
          <w:rFonts w:hint="eastAsia" w:ascii="宋体" w:hAnsi="宋体"/>
          <w:szCs w:val="21"/>
          <w:highlight w:val="none"/>
        </w:rPr>
        <w:t>）免费下载招标文件。</w:t>
      </w:r>
    </w:p>
    <w:p w14:paraId="5318E14D">
      <w:pPr>
        <w:keepNext w:val="0"/>
        <w:keepLines w:val="0"/>
        <w:pageBreakBefore w:val="0"/>
        <w:kinsoku/>
        <w:wordWrap/>
        <w:overflowPunct/>
        <w:topLinePunct w:val="0"/>
        <w:autoSpaceDE/>
        <w:autoSpaceDN/>
        <w:bidi w:val="0"/>
        <w:adjustRightInd w:val="0"/>
        <w:snapToGrid w:val="0"/>
        <w:spacing w:line="360" w:lineRule="auto"/>
        <w:rPr>
          <w:rFonts w:ascii="黑体" w:eastAsia="黑体"/>
          <w:sz w:val="24"/>
          <w:highlight w:val="none"/>
        </w:rPr>
      </w:pPr>
      <w:bookmarkStart w:id="10" w:name="_Toc327432501"/>
      <w:r>
        <w:rPr>
          <w:rFonts w:ascii="黑体" w:eastAsia="黑体"/>
          <w:sz w:val="24"/>
          <w:highlight w:val="none"/>
        </w:rPr>
        <w:t>5</w:t>
      </w:r>
      <w:r>
        <w:rPr>
          <w:rFonts w:hint="eastAsia" w:ascii="黑体" w:eastAsia="黑体"/>
          <w:sz w:val="24"/>
          <w:highlight w:val="none"/>
        </w:rPr>
        <w:t>.投标文件的递交及相关事宜</w:t>
      </w:r>
      <w:bookmarkEnd w:id="10"/>
    </w:p>
    <w:p w14:paraId="7C882A40">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.1招标人不组织工程现场踏勘和投标预备会。</w:t>
      </w:r>
    </w:p>
    <w:p w14:paraId="0EC9CCF1">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.2投标文件递交的截止时间（投标截止时间，下同）为</w:t>
      </w:r>
      <w:r>
        <w:rPr>
          <w:rFonts w:hint="eastAsia" w:ascii="黑体" w:hAnsi="黑体" w:eastAsia="黑体"/>
          <w:szCs w:val="21"/>
          <w:highlight w:val="none"/>
          <w:u w:val="single"/>
        </w:rPr>
        <w:t>2026年4月16日9时00分</w:t>
      </w:r>
      <w:r>
        <w:rPr>
          <w:rFonts w:hint="eastAsia" w:ascii="宋体" w:hAnsi="宋体"/>
          <w:szCs w:val="21"/>
          <w:highlight w:val="none"/>
        </w:rPr>
        <w:t>，投标人应在投标截止时间前将加密的投标文件上传至“吉林省公共资源交易一体化平台”。逾期未完成上传或未按规定加密的投标文件，“吉林省公共资源交易一体化平台”将予以拒收。</w:t>
      </w:r>
    </w:p>
    <w:p w14:paraId="6EC7FE68">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黑体" w:hAnsi="黑体" w:eastAsia="黑体"/>
          <w:szCs w:val="21"/>
          <w:highlight w:val="none"/>
        </w:rPr>
      </w:pPr>
      <w:r>
        <w:rPr>
          <w:rFonts w:ascii="宋体" w:hAnsi="宋体"/>
          <w:szCs w:val="21"/>
          <w:highlight w:val="none"/>
        </w:rPr>
        <w:t>5</w:t>
      </w:r>
      <w:r>
        <w:rPr>
          <w:rFonts w:hint="eastAsia" w:ascii="宋体" w:hAnsi="宋体"/>
          <w:szCs w:val="21"/>
          <w:highlight w:val="none"/>
        </w:rPr>
        <w:t>.3</w:t>
      </w:r>
      <w:r>
        <w:rPr>
          <w:rFonts w:hint="eastAsia" w:ascii="黑体" w:hAnsi="黑体" w:eastAsia="黑体"/>
          <w:szCs w:val="21"/>
          <w:highlight w:val="none"/>
        </w:rPr>
        <w:t>投标文件第一个信封（商务及技术文件）开标时间：同投标截止时间</w:t>
      </w:r>
      <w:r>
        <w:rPr>
          <w:rFonts w:hint="eastAsia" w:ascii="宋体" w:hAnsi="宋体"/>
          <w:szCs w:val="21"/>
          <w:highlight w:val="none"/>
        </w:rPr>
        <w:t>；开标地点：吉林省公共资源交易中心四楼开标区。</w:t>
      </w:r>
      <w:r>
        <w:rPr>
          <w:rFonts w:hint="eastAsia" w:ascii="黑体" w:hAnsi="黑体" w:eastAsia="黑体"/>
          <w:szCs w:val="21"/>
          <w:highlight w:val="none"/>
        </w:rPr>
        <w:t>投标文件第二个信封（报价文件）开标时间：</w:t>
      </w:r>
      <w:r>
        <w:rPr>
          <w:rFonts w:hint="eastAsia" w:ascii="黑体" w:hAnsi="黑体" w:eastAsia="黑体"/>
          <w:szCs w:val="21"/>
          <w:highlight w:val="none"/>
          <w:u w:val="single"/>
        </w:rPr>
        <w:t>2026年4月16日1</w:t>
      </w:r>
      <w:r>
        <w:rPr>
          <w:rFonts w:ascii="黑体" w:hAnsi="黑体" w:eastAsia="黑体"/>
          <w:szCs w:val="21"/>
          <w:highlight w:val="none"/>
          <w:u w:val="single"/>
        </w:rPr>
        <w:t>2</w:t>
      </w:r>
      <w:r>
        <w:rPr>
          <w:rFonts w:hint="eastAsia" w:ascii="黑体" w:hAnsi="黑体" w:eastAsia="黑体"/>
          <w:szCs w:val="21"/>
          <w:highlight w:val="none"/>
          <w:u w:val="single"/>
        </w:rPr>
        <w:t>时00分</w:t>
      </w:r>
      <w:r>
        <w:rPr>
          <w:rFonts w:hint="eastAsia" w:ascii="宋体" w:hAnsi="宋体"/>
          <w:szCs w:val="21"/>
          <w:highlight w:val="none"/>
        </w:rPr>
        <w:t>，开标地点：吉林省公共资源交易中心四楼开标区。</w:t>
      </w:r>
      <w:r>
        <w:rPr>
          <w:rFonts w:hint="eastAsia" w:ascii="黑体" w:hAnsi="黑体" w:eastAsia="黑体"/>
          <w:szCs w:val="21"/>
          <w:highlight w:val="none"/>
        </w:rPr>
        <w:t>投标人无须到达开标现场，通过吉林省公共资源交易一体化平台参加开标活动。</w:t>
      </w:r>
    </w:p>
    <w:p w14:paraId="55D4C927">
      <w:pPr>
        <w:keepNext w:val="0"/>
        <w:keepLines w:val="0"/>
        <w:pageBreakBefore w:val="0"/>
        <w:kinsoku/>
        <w:wordWrap/>
        <w:overflowPunct/>
        <w:topLinePunct w:val="0"/>
        <w:autoSpaceDE/>
        <w:autoSpaceDN/>
        <w:bidi w:val="0"/>
        <w:adjustRightInd w:val="0"/>
        <w:snapToGrid w:val="0"/>
        <w:spacing w:line="360" w:lineRule="auto"/>
        <w:rPr>
          <w:rFonts w:ascii="黑体" w:eastAsia="黑体"/>
          <w:sz w:val="24"/>
          <w:highlight w:val="none"/>
        </w:rPr>
      </w:pPr>
      <w:bookmarkStart w:id="11" w:name="_Toc327432502"/>
      <w:r>
        <w:rPr>
          <w:rFonts w:ascii="黑体" w:eastAsia="黑体"/>
          <w:sz w:val="24"/>
          <w:highlight w:val="none"/>
        </w:rPr>
        <w:t>6</w:t>
      </w:r>
      <w:r>
        <w:rPr>
          <w:rFonts w:hint="eastAsia" w:ascii="黑体" w:eastAsia="黑体"/>
          <w:sz w:val="24"/>
          <w:highlight w:val="none"/>
        </w:rPr>
        <w:t>.发布公告的媒介</w:t>
      </w:r>
      <w:bookmarkEnd w:id="11"/>
    </w:p>
    <w:p w14:paraId="5F35C385">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.1本次招标公告同时在中国招标投标公共服务平台、吉林省公共资源交易中心网（同步推送到吉林省公共资源交易公共服务平台）、吉林省交通运输厅网站、白山市政府信息公开专栏上发布。</w:t>
      </w:r>
    </w:p>
    <w:p w14:paraId="2C9AA3CD">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.2 本次招标文件的关键内容在吉林省交通运输厅网站上公开。</w:t>
      </w:r>
    </w:p>
    <w:bookmarkEnd w:id="2"/>
    <w:bookmarkEnd w:id="3"/>
    <w:p w14:paraId="676F434B">
      <w:pPr>
        <w:pStyle w:val="3"/>
        <w:adjustRightInd w:val="0"/>
        <w:snapToGrid w:val="0"/>
        <w:spacing w:before="0" w:after="0" w:line="240" w:lineRule="auto"/>
        <w:rPr>
          <w:rFonts w:hint="eastAsia" w:ascii="黑体" w:hAnsi="黑体"/>
          <w:b w:val="0"/>
          <w:bCs w:val="0"/>
          <w:sz w:val="28"/>
          <w:highlight w:val="none"/>
        </w:rPr>
      </w:pPr>
      <w:bookmarkStart w:id="12" w:name="_Toc327432505"/>
      <w:bookmarkStart w:id="13" w:name="_Toc478456011"/>
      <w:bookmarkStart w:id="14" w:name="_Toc222906195"/>
      <w:r>
        <w:rPr>
          <w:rFonts w:hint="eastAsia"/>
          <w:b w:val="0"/>
          <w:bCs w:val="0"/>
          <w:sz w:val="28"/>
          <w:szCs w:val="28"/>
          <w:highlight w:val="none"/>
          <w:lang w:val="en-US" w:eastAsia="zh-CN"/>
        </w:rPr>
        <w:t>7.</w:t>
      </w:r>
      <w:r>
        <w:rPr>
          <w:rFonts w:hint="eastAsia"/>
          <w:b w:val="0"/>
          <w:bCs w:val="0"/>
          <w:sz w:val="28"/>
          <w:szCs w:val="28"/>
          <w:highlight w:val="none"/>
        </w:rPr>
        <w:t>投标人须知前附表</w:t>
      </w:r>
      <w:r>
        <w:rPr>
          <w:rStyle w:val="30"/>
          <w:b w:val="0"/>
          <w:bCs w:val="0"/>
          <w:sz w:val="28"/>
          <w:szCs w:val="28"/>
          <w:highlight w:val="none"/>
        </w:rPr>
        <w:footnoteReference w:id="0"/>
      </w:r>
      <w:bookmarkEnd w:id="12"/>
      <w:bookmarkEnd w:id="13"/>
      <w:bookmarkEnd w:id="14"/>
    </w:p>
    <w:tbl>
      <w:tblPr>
        <w:tblStyle w:val="23"/>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608"/>
        <w:gridCol w:w="7146"/>
      </w:tblGrid>
      <w:tr w14:paraId="48F4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4" w:type="dxa"/>
            <w:vAlign w:val="center"/>
          </w:tcPr>
          <w:p w14:paraId="327593A0">
            <w:pPr>
              <w:adjustRightInd w:val="0"/>
              <w:snapToGrid w:val="0"/>
              <w:spacing w:line="340" w:lineRule="exact"/>
              <w:jc w:val="center"/>
              <w:rPr>
                <w:rFonts w:hint="eastAsia" w:ascii="宋体" w:hAnsi="宋体"/>
                <w:sz w:val="24"/>
                <w:highlight w:val="none"/>
              </w:rPr>
            </w:pPr>
            <w:r>
              <w:rPr>
                <w:rFonts w:hint="eastAsia" w:ascii="宋体" w:hAnsi="宋体"/>
                <w:sz w:val="24"/>
                <w:highlight w:val="none"/>
              </w:rPr>
              <w:t>条款号</w:t>
            </w:r>
          </w:p>
        </w:tc>
        <w:tc>
          <w:tcPr>
            <w:tcW w:w="1608" w:type="dxa"/>
            <w:vAlign w:val="center"/>
          </w:tcPr>
          <w:p w14:paraId="63AD32DF">
            <w:pPr>
              <w:adjustRightInd w:val="0"/>
              <w:snapToGrid w:val="0"/>
              <w:spacing w:line="340" w:lineRule="exact"/>
              <w:jc w:val="center"/>
              <w:rPr>
                <w:rFonts w:hint="eastAsia" w:ascii="宋体" w:hAnsi="宋体"/>
                <w:sz w:val="24"/>
                <w:highlight w:val="none"/>
              </w:rPr>
            </w:pPr>
            <w:r>
              <w:rPr>
                <w:rFonts w:hint="eastAsia" w:ascii="宋体" w:hAnsi="宋体"/>
                <w:sz w:val="24"/>
                <w:highlight w:val="none"/>
              </w:rPr>
              <w:t>条款名称</w:t>
            </w:r>
          </w:p>
        </w:tc>
        <w:tc>
          <w:tcPr>
            <w:tcW w:w="7146" w:type="dxa"/>
            <w:vAlign w:val="center"/>
          </w:tcPr>
          <w:p w14:paraId="06857560">
            <w:pPr>
              <w:adjustRightInd w:val="0"/>
              <w:snapToGrid w:val="0"/>
              <w:spacing w:line="340" w:lineRule="exact"/>
              <w:jc w:val="center"/>
              <w:rPr>
                <w:rFonts w:hint="eastAsia" w:ascii="宋体" w:hAnsi="宋体"/>
                <w:sz w:val="24"/>
                <w:highlight w:val="none"/>
              </w:rPr>
            </w:pPr>
            <w:r>
              <w:rPr>
                <w:rFonts w:hint="eastAsia" w:ascii="宋体" w:hAnsi="宋体"/>
                <w:sz w:val="24"/>
                <w:highlight w:val="none"/>
              </w:rPr>
              <w:t>编    列    内    容</w:t>
            </w:r>
          </w:p>
        </w:tc>
      </w:tr>
      <w:tr w14:paraId="54D9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8038486">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1.1.2</w:t>
            </w:r>
          </w:p>
        </w:tc>
        <w:tc>
          <w:tcPr>
            <w:tcW w:w="1608" w:type="dxa"/>
            <w:vAlign w:val="center"/>
          </w:tcPr>
          <w:p w14:paraId="69FFF77F">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招标人</w:t>
            </w:r>
          </w:p>
        </w:tc>
        <w:tc>
          <w:tcPr>
            <w:tcW w:w="7146" w:type="dxa"/>
          </w:tcPr>
          <w:p w14:paraId="52D57621">
            <w:pPr>
              <w:adjustRightInd w:val="0"/>
              <w:snapToGrid w:val="0"/>
              <w:spacing w:line="340" w:lineRule="exact"/>
              <w:rPr>
                <w:rFonts w:hint="eastAsia" w:ascii="黑体" w:hAnsi="黑体" w:eastAsia="黑体"/>
                <w:szCs w:val="21"/>
                <w:highlight w:val="none"/>
              </w:rPr>
            </w:pPr>
            <w:r>
              <w:rPr>
                <w:rFonts w:hint="eastAsia" w:ascii="黑体" w:hAnsi="黑体" w:eastAsia="黑体"/>
                <w:szCs w:val="21"/>
                <w:highlight w:val="none"/>
              </w:rPr>
              <w:t>招标人：抚松县公路建设管理中心</w:t>
            </w:r>
          </w:p>
          <w:p w14:paraId="6221A328">
            <w:pPr>
              <w:adjustRightInd w:val="0"/>
              <w:snapToGrid w:val="0"/>
              <w:spacing w:line="340" w:lineRule="exact"/>
              <w:rPr>
                <w:rFonts w:hint="eastAsia" w:ascii="宋体" w:hAnsi="宋体"/>
                <w:szCs w:val="21"/>
                <w:highlight w:val="none"/>
              </w:rPr>
            </w:pPr>
            <w:r>
              <w:rPr>
                <w:rFonts w:hint="eastAsia" w:ascii="宋体" w:hAnsi="宋体"/>
                <w:szCs w:val="21"/>
                <w:highlight w:val="none"/>
              </w:rPr>
              <w:t>地址：抚松县香江路300号</w:t>
            </w:r>
          </w:p>
          <w:p w14:paraId="51A8A2AE">
            <w:pPr>
              <w:adjustRightInd w:val="0"/>
              <w:snapToGrid w:val="0"/>
              <w:spacing w:line="340" w:lineRule="exact"/>
              <w:rPr>
                <w:rFonts w:hint="eastAsia" w:ascii="宋体" w:hAnsi="宋体"/>
                <w:szCs w:val="21"/>
                <w:highlight w:val="none"/>
              </w:rPr>
            </w:pPr>
            <w:r>
              <w:rPr>
                <w:rFonts w:hint="eastAsia" w:ascii="宋体" w:hAnsi="宋体"/>
                <w:szCs w:val="21"/>
                <w:highlight w:val="none"/>
              </w:rPr>
              <w:t>联系人：相洪海</w:t>
            </w:r>
          </w:p>
          <w:p w14:paraId="696B4F99">
            <w:pPr>
              <w:adjustRightInd w:val="0"/>
              <w:snapToGrid w:val="0"/>
              <w:spacing w:line="340" w:lineRule="exact"/>
              <w:rPr>
                <w:rFonts w:hint="eastAsia" w:ascii="宋体" w:hAnsi="宋体"/>
                <w:szCs w:val="21"/>
                <w:highlight w:val="none"/>
              </w:rPr>
            </w:pPr>
            <w:r>
              <w:rPr>
                <w:rFonts w:hint="eastAsia" w:ascii="宋体" w:hAnsi="宋体"/>
                <w:szCs w:val="21"/>
                <w:highlight w:val="none"/>
              </w:rPr>
              <w:t>电话：0439-</w:t>
            </w:r>
            <w:r>
              <w:rPr>
                <w:rFonts w:ascii="宋体" w:hAnsi="宋体"/>
                <w:szCs w:val="21"/>
                <w:highlight w:val="none"/>
              </w:rPr>
              <w:t>6217500</w:t>
            </w:r>
          </w:p>
        </w:tc>
      </w:tr>
      <w:tr w14:paraId="07E2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37A7627C">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1.1.3</w:t>
            </w:r>
          </w:p>
        </w:tc>
        <w:tc>
          <w:tcPr>
            <w:tcW w:w="1608" w:type="dxa"/>
            <w:vAlign w:val="center"/>
          </w:tcPr>
          <w:p w14:paraId="2B79EFC9">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招标代理机构</w:t>
            </w:r>
          </w:p>
        </w:tc>
        <w:tc>
          <w:tcPr>
            <w:tcW w:w="7146" w:type="dxa"/>
          </w:tcPr>
          <w:p w14:paraId="1661FDFF">
            <w:pPr>
              <w:adjustRightInd w:val="0"/>
              <w:snapToGrid w:val="0"/>
              <w:spacing w:line="340" w:lineRule="exact"/>
              <w:rPr>
                <w:rFonts w:hint="eastAsia" w:ascii="黑体" w:hAnsi="黑体" w:eastAsia="黑体"/>
                <w:szCs w:val="21"/>
                <w:highlight w:val="none"/>
              </w:rPr>
            </w:pPr>
            <w:r>
              <w:rPr>
                <w:rFonts w:hint="eastAsia" w:ascii="黑体" w:hAnsi="黑体" w:eastAsia="黑体"/>
                <w:szCs w:val="21"/>
                <w:highlight w:val="none"/>
              </w:rPr>
              <w:t>招标代理机构：吉林省伟邦公路技术有限公司</w:t>
            </w:r>
          </w:p>
          <w:p w14:paraId="4859D1B0">
            <w:pPr>
              <w:adjustRightInd w:val="0"/>
              <w:snapToGrid w:val="0"/>
              <w:spacing w:line="340" w:lineRule="exact"/>
              <w:rPr>
                <w:rFonts w:hint="eastAsia" w:ascii="宋体" w:hAnsi="宋体"/>
                <w:szCs w:val="21"/>
                <w:highlight w:val="none"/>
              </w:rPr>
            </w:pPr>
            <w:r>
              <w:rPr>
                <w:rFonts w:hint="eastAsia" w:ascii="宋体" w:hAnsi="宋体"/>
                <w:szCs w:val="21"/>
                <w:highlight w:val="none"/>
              </w:rPr>
              <w:t>地址：长春净月高新技术产业开发区擎天树街855号</w:t>
            </w:r>
          </w:p>
          <w:p w14:paraId="38CE33AA">
            <w:pPr>
              <w:adjustRightInd w:val="0"/>
              <w:snapToGrid w:val="0"/>
              <w:spacing w:line="340" w:lineRule="exact"/>
              <w:rPr>
                <w:rFonts w:hint="eastAsia" w:ascii="宋体" w:hAnsi="宋体"/>
                <w:szCs w:val="21"/>
                <w:highlight w:val="none"/>
              </w:rPr>
            </w:pPr>
            <w:r>
              <w:rPr>
                <w:rFonts w:hint="eastAsia" w:ascii="宋体" w:hAnsi="宋体"/>
                <w:szCs w:val="21"/>
                <w:highlight w:val="none"/>
              </w:rPr>
              <w:t>联系人：赵鑫  刘世远</w:t>
            </w:r>
          </w:p>
          <w:p w14:paraId="61F4D026">
            <w:pPr>
              <w:adjustRightInd w:val="0"/>
              <w:snapToGrid w:val="0"/>
              <w:spacing w:line="340" w:lineRule="exact"/>
              <w:rPr>
                <w:rFonts w:hint="eastAsia" w:ascii="宋体" w:hAnsi="宋体" w:cs="宋体"/>
                <w:kern w:val="0"/>
                <w:szCs w:val="21"/>
                <w:highlight w:val="none"/>
              </w:rPr>
            </w:pPr>
            <w:r>
              <w:rPr>
                <w:rFonts w:hint="eastAsia" w:ascii="宋体" w:hAnsi="宋体"/>
                <w:szCs w:val="21"/>
                <w:highlight w:val="none"/>
              </w:rPr>
              <w:t>电话：0431-88655555</w:t>
            </w:r>
          </w:p>
        </w:tc>
      </w:tr>
      <w:tr w14:paraId="7E85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A568314">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1.1.4</w:t>
            </w:r>
          </w:p>
        </w:tc>
        <w:tc>
          <w:tcPr>
            <w:tcW w:w="1608" w:type="dxa"/>
            <w:vAlign w:val="center"/>
          </w:tcPr>
          <w:p w14:paraId="33EF5A87">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招标项目名称</w:t>
            </w:r>
          </w:p>
        </w:tc>
        <w:tc>
          <w:tcPr>
            <w:tcW w:w="7146" w:type="dxa"/>
            <w:vAlign w:val="center"/>
          </w:tcPr>
          <w:p w14:paraId="0070B2BB">
            <w:pPr>
              <w:adjustRightInd w:val="0"/>
              <w:snapToGrid w:val="0"/>
              <w:spacing w:line="340" w:lineRule="exact"/>
              <w:rPr>
                <w:rFonts w:hint="eastAsia" w:ascii="黑体" w:hAnsi="黑体" w:eastAsia="黑体" w:cs="宋体"/>
                <w:kern w:val="0"/>
                <w:szCs w:val="21"/>
                <w:highlight w:val="none"/>
              </w:rPr>
            </w:pPr>
            <w:r>
              <w:rPr>
                <w:rFonts w:hint="eastAsia" w:ascii="黑体" w:hAnsi="黑体" w:eastAsia="黑体" w:cs="宋体"/>
                <w:kern w:val="0"/>
                <w:szCs w:val="21"/>
                <w:highlight w:val="none"/>
              </w:rPr>
              <w:t>国道漫江至临江公路（G612）漫江至分水（县界）段</w:t>
            </w:r>
          </w:p>
        </w:tc>
      </w:tr>
      <w:tr w14:paraId="6A55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5DD649BB">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1.1.5</w:t>
            </w:r>
          </w:p>
        </w:tc>
        <w:tc>
          <w:tcPr>
            <w:tcW w:w="1608" w:type="dxa"/>
            <w:vAlign w:val="center"/>
          </w:tcPr>
          <w:p w14:paraId="00D77303">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标段建设地点</w:t>
            </w:r>
          </w:p>
        </w:tc>
        <w:tc>
          <w:tcPr>
            <w:tcW w:w="7146" w:type="dxa"/>
            <w:vAlign w:val="center"/>
          </w:tcPr>
          <w:p w14:paraId="6463F907">
            <w:pPr>
              <w:adjustRightInd w:val="0"/>
              <w:snapToGrid w:val="0"/>
              <w:spacing w:line="340" w:lineRule="exact"/>
              <w:rPr>
                <w:rFonts w:hint="eastAsia" w:ascii="宋体" w:hAnsi="宋体"/>
                <w:szCs w:val="21"/>
                <w:highlight w:val="none"/>
              </w:rPr>
            </w:pPr>
            <w:r>
              <w:rPr>
                <w:rFonts w:hint="eastAsia" w:ascii="宋体" w:hAnsi="宋体"/>
                <w:szCs w:val="21"/>
                <w:highlight w:val="none"/>
              </w:rPr>
              <w:t>吉林省抚松县境内</w:t>
            </w:r>
          </w:p>
        </w:tc>
      </w:tr>
      <w:tr w14:paraId="37A3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AF27574">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1.1.6</w:t>
            </w:r>
          </w:p>
        </w:tc>
        <w:tc>
          <w:tcPr>
            <w:tcW w:w="1608" w:type="dxa"/>
            <w:vAlign w:val="center"/>
          </w:tcPr>
          <w:p w14:paraId="7290E2AA">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标段建设规模</w:t>
            </w:r>
          </w:p>
        </w:tc>
        <w:tc>
          <w:tcPr>
            <w:tcW w:w="7146" w:type="dxa"/>
            <w:vAlign w:val="center"/>
          </w:tcPr>
          <w:p w14:paraId="3B5499F4">
            <w:pPr>
              <w:adjustRightInd w:val="0"/>
              <w:snapToGrid w:val="0"/>
              <w:spacing w:line="340" w:lineRule="exact"/>
              <w:rPr>
                <w:rFonts w:hint="eastAsia" w:ascii="宋体" w:hAnsi="宋体"/>
                <w:szCs w:val="21"/>
                <w:highlight w:val="none"/>
              </w:rPr>
            </w:pPr>
            <w:r>
              <w:rPr>
                <w:rFonts w:hint="eastAsia" w:ascii="宋体" w:hAnsi="宋体"/>
                <w:szCs w:val="21"/>
                <w:highlight w:val="none"/>
              </w:rPr>
              <w:t>详见招标文件“第五章  发包人要求”</w:t>
            </w:r>
          </w:p>
        </w:tc>
      </w:tr>
      <w:tr w14:paraId="151B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5074E26">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1.1.7</w:t>
            </w:r>
          </w:p>
        </w:tc>
        <w:tc>
          <w:tcPr>
            <w:tcW w:w="1608" w:type="dxa"/>
            <w:vAlign w:val="center"/>
          </w:tcPr>
          <w:p w14:paraId="044DC985">
            <w:pPr>
              <w:tabs>
                <w:tab w:val="left" w:pos="1470"/>
              </w:tabs>
              <w:adjustRightInd w:val="0"/>
              <w:snapToGrid w:val="0"/>
              <w:spacing w:line="340" w:lineRule="exact"/>
              <w:jc w:val="center"/>
              <w:rPr>
                <w:rFonts w:hint="eastAsia" w:ascii="宋体" w:hAnsi="宋体"/>
                <w:highlight w:val="none"/>
                <w:u w:val="single" w:color="FFFFFF"/>
              </w:rPr>
            </w:pPr>
            <w:r>
              <w:rPr>
                <w:rFonts w:ascii="宋体" w:hAnsi="宋体"/>
                <w:highlight w:val="none"/>
                <w:u w:val="single" w:color="FFFFFF"/>
              </w:rPr>
              <w:t>标段投资估算</w:t>
            </w:r>
          </w:p>
        </w:tc>
        <w:tc>
          <w:tcPr>
            <w:tcW w:w="7146" w:type="dxa"/>
            <w:vAlign w:val="center"/>
          </w:tcPr>
          <w:p w14:paraId="3738B242">
            <w:pPr>
              <w:adjustRightInd w:val="0"/>
              <w:snapToGrid w:val="0"/>
              <w:spacing w:line="340" w:lineRule="exact"/>
              <w:rPr>
                <w:rFonts w:hint="eastAsia" w:ascii="宋体" w:hAnsi="宋体"/>
                <w:szCs w:val="21"/>
                <w:highlight w:val="none"/>
              </w:rPr>
            </w:pPr>
            <w:r>
              <w:rPr>
                <w:rFonts w:hint="eastAsia" w:ascii="宋体" w:hAnsi="宋体"/>
                <w:szCs w:val="21"/>
                <w:highlight w:val="none"/>
              </w:rPr>
              <w:t>3.03亿元</w:t>
            </w:r>
          </w:p>
        </w:tc>
      </w:tr>
      <w:tr w14:paraId="4563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54FDAA88">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1.2.1</w:t>
            </w:r>
          </w:p>
        </w:tc>
        <w:tc>
          <w:tcPr>
            <w:tcW w:w="1608" w:type="dxa"/>
            <w:vAlign w:val="center"/>
          </w:tcPr>
          <w:p w14:paraId="7BA0C0B3">
            <w:pPr>
              <w:tabs>
                <w:tab w:val="left" w:pos="1470"/>
              </w:tabs>
              <w:adjustRightInd w:val="0"/>
              <w:snapToGrid w:val="0"/>
              <w:spacing w:line="340" w:lineRule="exact"/>
              <w:jc w:val="center"/>
              <w:rPr>
                <w:rFonts w:hint="eastAsia" w:ascii="宋体" w:hAnsi="宋体"/>
                <w:highlight w:val="none"/>
                <w:u w:val="single" w:color="FFFFFF"/>
              </w:rPr>
            </w:pPr>
            <w:r>
              <w:rPr>
                <w:rFonts w:ascii="宋体" w:hAnsi="宋体"/>
                <w:highlight w:val="none"/>
                <w:u w:val="single" w:color="FFFFFF"/>
              </w:rPr>
              <w:t>资金来源及</w:t>
            </w:r>
          </w:p>
          <w:p w14:paraId="22840497">
            <w:pPr>
              <w:tabs>
                <w:tab w:val="left" w:pos="1470"/>
              </w:tabs>
              <w:adjustRightInd w:val="0"/>
              <w:snapToGrid w:val="0"/>
              <w:spacing w:line="340" w:lineRule="exact"/>
              <w:jc w:val="center"/>
              <w:rPr>
                <w:rFonts w:hint="eastAsia" w:ascii="宋体" w:hAnsi="宋体"/>
                <w:highlight w:val="none"/>
                <w:u w:val="single" w:color="FFFFFF"/>
              </w:rPr>
            </w:pPr>
            <w:r>
              <w:rPr>
                <w:rFonts w:ascii="宋体" w:hAnsi="宋体"/>
                <w:highlight w:val="none"/>
                <w:u w:val="single" w:color="FFFFFF"/>
              </w:rPr>
              <w:t>比例</w:t>
            </w:r>
          </w:p>
        </w:tc>
        <w:tc>
          <w:tcPr>
            <w:tcW w:w="7146" w:type="dxa"/>
            <w:vAlign w:val="center"/>
          </w:tcPr>
          <w:p w14:paraId="51333E6E">
            <w:pPr>
              <w:adjustRightInd w:val="0"/>
              <w:snapToGrid w:val="0"/>
              <w:spacing w:line="340" w:lineRule="exact"/>
              <w:rPr>
                <w:rFonts w:hint="eastAsia" w:ascii="宋体" w:hAnsi="宋体"/>
                <w:szCs w:val="21"/>
                <w:highlight w:val="none"/>
              </w:rPr>
            </w:pPr>
            <w:r>
              <w:rPr>
                <w:rFonts w:hint="eastAsia" w:ascii="宋体" w:hAnsi="宋体"/>
                <w:szCs w:val="21"/>
                <w:highlight w:val="none"/>
              </w:rPr>
              <w:t>申请国家交通运输领域重点项目资金：56.77%；</w:t>
            </w:r>
          </w:p>
          <w:p w14:paraId="3DB0DEE3">
            <w:pPr>
              <w:adjustRightInd w:val="0"/>
              <w:snapToGrid w:val="0"/>
              <w:spacing w:line="340" w:lineRule="exact"/>
              <w:rPr>
                <w:rFonts w:hint="eastAsia" w:ascii="宋体" w:hAnsi="宋体"/>
                <w:szCs w:val="21"/>
                <w:highlight w:val="none"/>
              </w:rPr>
            </w:pPr>
            <w:r>
              <w:rPr>
                <w:rFonts w:hint="eastAsia" w:ascii="宋体" w:hAnsi="宋体"/>
                <w:szCs w:val="21"/>
                <w:highlight w:val="none"/>
              </w:rPr>
              <w:t>抚松县政府财政性资金：43.23%。</w:t>
            </w:r>
          </w:p>
        </w:tc>
      </w:tr>
      <w:tr w14:paraId="2C2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2BE19B4">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1.2.2</w:t>
            </w:r>
          </w:p>
        </w:tc>
        <w:tc>
          <w:tcPr>
            <w:tcW w:w="1608" w:type="dxa"/>
            <w:vAlign w:val="center"/>
          </w:tcPr>
          <w:p w14:paraId="21ECDA4C">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资金落实情况</w:t>
            </w:r>
          </w:p>
        </w:tc>
        <w:tc>
          <w:tcPr>
            <w:tcW w:w="7146" w:type="dxa"/>
            <w:vAlign w:val="center"/>
          </w:tcPr>
          <w:p w14:paraId="167F492A">
            <w:pPr>
              <w:adjustRightInd w:val="0"/>
              <w:snapToGrid w:val="0"/>
              <w:spacing w:line="340" w:lineRule="exact"/>
              <w:rPr>
                <w:rFonts w:hint="eastAsia" w:ascii="宋体" w:hAnsi="宋体"/>
                <w:szCs w:val="21"/>
                <w:highlight w:val="none"/>
              </w:rPr>
            </w:pPr>
            <w:r>
              <w:rPr>
                <w:rFonts w:ascii="宋体" w:hAnsi="宋体"/>
                <w:szCs w:val="21"/>
                <w:highlight w:val="none"/>
              </w:rPr>
              <w:t>已落实</w:t>
            </w:r>
          </w:p>
        </w:tc>
      </w:tr>
      <w:tr w14:paraId="3639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4" w:type="dxa"/>
            <w:vAlign w:val="center"/>
          </w:tcPr>
          <w:p w14:paraId="5C6A9709">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1.3.1</w:t>
            </w:r>
          </w:p>
        </w:tc>
        <w:tc>
          <w:tcPr>
            <w:tcW w:w="1608" w:type="dxa"/>
            <w:vAlign w:val="center"/>
          </w:tcPr>
          <w:p w14:paraId="0031293D">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招标范围</w:t>
            </w:r>
          </w:p>
        </w:tc>
        <w:tc>
          <w:tcPr>
            <w:tcW w:w="7146" w:type="dxa"/>
            <w:vAlign w:val="center"/>
          </w:tcPr>
          <w:p w14:paraId="7907AB06">
            <w:pPr>
              <w:adjustRightInd w:val="0"/>
              <w:snapToGrid w:val="0"/>
              <w:spacing w:line="340" w:lineRule="exact"/>
              <w:rPr>
                <w:rFonts w:hint="eastAsia" w:ascii="宋体" w:hAnsi="宋体"/>
                <w:szCs w:val="21"/>
                <w:highlight w:val="none"/>
              </w:rPr>
            </w:pPr>
            <w:bookmarkStart w:id="15" w:name="_Hlk196479080"/>
            <w:r>
              <w:rPr>
                <w:rFonts w:hint="eastAsia" w:ascii="宋体" w:hAnsi="宋体"/>
                <w:szCs w:val="21"/>
                <w:highlight w:val="none"/>
              </w:rPr>
              <w:t>详见招标公告</w:t>
            </w:r>
            <w:bookmarkEnd w:id="15"/>
          </w:p>
        </w:tc>
      </w:tr>
      <w:tr w14:paraId="3880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525DA02">
            <w:pPr>
              <w:tabs>
                <w:tab w:val="left" w:pos="1470"/>
              </w:tabs>
              <w:adjustRightInd w:val="0"/>
              <w:snapToGrid w:val="0"/>
              <w:spacing w:line="340" w:lineRule="exact"/>
              <w:jc w:val="center"/>
              <w:rPr>
                <w:rFonts w:hint="eastAsia" w:ascii="宋体" w:hAnsi="宋体"/>
                <w:highlight w:val="none"/>
                <w:u w:val="single" w:color="FFFFFF"/>
              </w:rPr>
            </w:pPr>
            <w:r>
              <w:rPr>
                <w:rFonts w:ascii="宋体" w:hAnsi="宋体"/>
                <w:highlight w:val="none"/>
                <w:u w:val="single" w:color="FFFFFF"/>
              </w:rPr>
              <w:t>1.3.2</w:t>
            </w:r>
          </w:p>
        </w:tc>
        <w:tc>
          <w:tcPr>
            <w:tcW w:w="1608" w:type="dxa"/>
            <w:vAlign w:val="center"/>
          </w:tcPr>
          <w:p w14:paraId="58296A2C">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勘察设计服务期限</w:t>
            </w:r>
          </w:p>
        </w:tc>
        <w:tc>
          <w:tcPr>
            <w:tcW w:w="7146" w:type="dxa"/>
            <w:vAlign w:val="center"/>
          </w:tcPr>
          <w:p w14:paraId="47DB05F5">
            <w:pPr>
              <w:adjustRightInd w:val="0"/>
              <w:snapToGrid w:val="0"/>
              <w:spacing w:line="340" w:lineRule="exact"/>
              <w:rPr>
                <w:rFonts w:hint="eastAsia" w:ascii="黑体" w:hAnsi="黑体" w:eastAsia="黑体"/>
                <w:szCs w:val="21"/>
                <w:highlight w:val="none"/>
              </w:rPr>
            </w:pPr>
            <w:r>
              <w:rPr>
                <w:rFonts w:hint="eastAsia" w:ascii="黑体" w:hAnsi="黑体" w:eastAsia="黑体"/>
                <w:szCs w:val="21"/>
                <w:highlight w:val="none"/>
              </w:rPr>
              <w:t>120</w:t>
            </w:r>
            <w:r>
              <w:rPr>
                <w:rFonts w:ascii="黑体" w:hAnsi="黑体" w:eastAsia="黑体"/>
                <w:szCs w:val="21"/>
                <w:highlight w:val="none"/>
              </w:rPr>
              <w:t>天</w:t>
            </w:r>
          </w:p>
        </w:tc>
      </w:tr>
      <w:tr w14:paraId="6B3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2EBDDE15">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1.3.3</w:t>
            </w:r>
          </w:p>
        </w:tc>
        <w:tc>
          <w:tcPr>
            <w:tcW w:w="1608" w:type="dxa"/>
            <w:vAlign w:val="center"/>
          </w:tcPr>
          <w:p w14:paraId="44FDA7CA">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质量要求</w:t>
            </w:r>
          </w:p>
        </w:tc>
        <w:tc>
          <w:tcPr>
            <w:tcW w:w="7146" w:type="dxa"/>
            <w:vAlign w:val="center"/>
          </w:tcPr>
          <w:p w14:paraId="521ADA41">
            <w:pPr>
              <w:adjustRightInd w:val="0"/>
              <w:snapToGrid w:val="0"/>
              <w:spacing w:line="340" w:lineRule="exact"/>
              <w:rPr>
                <w:rFonts w:hint="eastAsia" w:ascii="宋体" w:hAnsi="宋体"/>
                <w:szCs w:val="21"/>
                <w:highlight w:val="none"/>
                <w:lang w:val="zh-CN"/>
              </w:rPr>
            </w:pPr>
            <w:r>
              <w:rPr>
                <w:rFonts w:hint="eastAsia" w:ascii="宋体" w:hAnsi="宋体"/>
                <w:szCs w:val="21"/>
                <w:highlight w:val="none"/>
                <w:lang w:val="zh-CN"/>
              </w:rPr>
              <w:t>符合国家及行业强制性标准及吉林省交通行业相关规定，符合设计外业验收及审批标准。</w:t>
            </w:r>
          </w:p>
        </w:tc>
      </w:tr>
      <w:tr w14:paraId="6C2B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08CED3B">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1.3.4</w:t>
            </w:r>
          </w:p>
        </w:tc>
        <w:tc>
          <w:tcPr>
            <w:tcW w:w="1608" w:type="dxa"/>
            <w:vAlign w:val="center"/>
          </w:tcPr>
          <w:p w14:paraId="7975C22D">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安全目标</w:t>
            </w:r>
          </w:p>
        </w:tc>
        <w:tc>
          <w:tcPr>
            <w:tcW w:w="7146" w:type="dxa"/>
            <w:vAlign w:val="center"/>
          </w:tcPr>
          <w:p w14:paraId="35A73F12">
            <w:pPr>
              <w:adjustRightInd w:val="0"/>
              <w:snapToGrid w:val="0"/>
              <w:spacing w:line="340" w:lineRule="exact"/>
              <w:rPr>
                <w:rFonts w:hint="eastAsia" w:ascii="宋体" w:hAnsi="宋体" w:cs="宋体"/>
                <w:kern w:val="0"/>
                <w:szCs w:val="21"/>
                <w:highlight w:val="none"/>
                <w:bdr w:val="single" w:color="auto" w:sz="4" w:space="0"/>
                <w:lang w:val="zh-CN"/>
              </w:rPr>
            </w:pPr>
            <w:r>
              <w:rPr>
                <w:rFonts w:hint="eastAsia" w:ascii="宋体" w:hAnsi="宋体" w:cs="Arial"/>
                <w:color w:val="333333"/>
                <w:szCs w:val="21"/>
                <w:highlight w:val="none"/>
              </w:rPr>
              <w:t>在项目勘察设计过程中不发生安全生产责任事故</w:t>
            </w:r>
          </w:p>
        </w:tc>
      </w:tr>
      <w:tr w14:paraId="3DC0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5706C8CF">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1.4.1</w:t>
            </w:r>
          </w:p>
        </w:tc>
        <w:tc>
          <w:tcPr>
            <w:tcW w:w="1608" w:type="dxa"/>
            <w:vAlign w:val="center"/>
          </w:tcPr>
          <w:p w14:paraId="3A5293ED">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szCs w:val="21"/>
                <w:highlight w:val="none"/>
              </w:rPr>
              <w:t>投标人资质条件、能力和信誉</w:t>
            </w:r>
          </w:p>
        </w:tc>
        <w:tc>
          <w:tcPr>
            <w:tcW w:w="7146" w:type="dxa"/>
          </w:tcPr>
          <w:p w14:paraId="0D01C610">
            <w:pPr>
              <w:adjustRightInd w:val="0"/>
              <w:snapToGrid w:val="0"/>
              <w:spacing w:line="340" w:lineRule="exact"/>
              <w:rPr>
                <w:rFonts w:hint="eastAsia" w:ascii="黑体" w:hAnsi="黑体" w:eastAsia="黑体"/>
                <w:szCs w:val="21"/>
                <w:highlight w:val="none"/>
              </w:rPr>
            </w:pPr>
            <w:r>
              <w:rPr>
                <w:rFonts w:hint="eastAsia" w:ascii="宋体" w:hAnsi="宋体"/>
                <w:szCs w:val="21"/>
                <w:highlight w:val="none"/>
              </w:rPr>
              <w:t>资质要求：</w:t>
            </w:r>
            <w:r>
              <w:rPr>
                <w:rFonts w:hint="eastAsia" w:ascii="黑体" w:hAnsi="黑体" w:eastAsia="黑体"/>
                <w:szCs w:val="21"/>
                <w:highlight w:val="none"/>
              </w:rPr>
              <w:t>见附录1</w:t>
            </w:r>
          </w:p>
          <w:p w14:paraId="18181AEC">
            <w:pPr>
              <w:adjustRightInd w:val="0"/>
              <w:snapToGrid w:val="0"/>
              <w:spacing w:line="340" w:lineRule="exact"/>
              <w:rPr>
                <w:rFonts w:hint="eastAsia" w:ascii="宋体" w:hAnsi="宋体"/>
                <w:szCs w:val="21"/>
                <w:highlight w:val="none"/>
              </w:rPr>
            </w:pPr>
            <w:r>
              <w:rPr>
                <w:rFonts w:hint="eastAsia" w:ascii="宋体" w:hAnsi="宋体"/>
                <w:szCs w:val="21"/>
                <w:highlight w:val="none"/>
              </w:rPr>
              <w:t>业绩要求：</w:t>
            </w:r>
            <w:r>
              <w:rPr>
                <w:rFonts w:hint="eastAsia" w:ascii="黑体" w:hAnsi="黑体" w:eastAsia="黑体"/>
                <w:szCs w:val="21"/>
                <w:highlight w:val="none"/>
              </w:rPr>
              <w:t>见附录2</w:t>
            </w:r>
          </w:p>
          <w:p w14:paraId="6FCD91AB">
            <w:pPr>
              <w:adjustRightInd w:val="0"/>
              <w:snapToGrid w:val="0"/>
              <w:spacing w:line="340" w:lineRule="exact"/>
              <w:rPr>
                <w:rFonts w:hint="eastAsia" w:ascii="宋体" w:hAnsi="宋体"/>
                <w:szCs w:val="21"/>
                <w:highlight w:val="none"/>
              </w:rPr>
            </w:pPr>
            <w:r>
              <w:rPr>
                <w:rFonts w:hint="eastAsia" w:ascii="宋体" w:hAnsi="宋体"/>
                <w:szCs w:val="21"/>
                <w:highlight w:val="none"/>
              </w:rPr>
              <w:t>信誉要求：</w:t>
            </w:r>
            <w:r>
              <w:rPr>
                <w:rFonts w:hint="eastAsia" w:ascii="黑体" w:hAnsi="黑体" w:eastAsia="黑体"/>
                <w:szCs w:val="21"/>
                <w:highlight w:val="none"/>
              </w:rPr>
              <w:t>见附录3</w:t>
            </w:r>
          </w:p>
          <w:p w14:paraId="3C5A4754">
            <w:pPr>
              <w:adjustRightInd w:val="0"/>
              <w:snapToGrid w:val="0"/>
              <w:spacing w:line="340" w:lineRule="exact"/>
              <w:rPr>
                <w:rFonts w:hint="eastAsia" w:ascii="黑体" w:hAnsi="黑体" w:eastAsia="黑体"/>
                <w:szCs w:val="21"/>
                <w:highlight w:val="none"/>
              </w:rPr>
            </w:pPr>
            <w:r>
              <w:rPr>
                <w:rFonts w:hint="eastAsia" w:ascii="宋体" w:hAnsi="宋体"/>
                <w:szCs w:val="21"/>
                <w:highlight w:val="none"/>
              </w:rPr>
              <w:t>项目负责人资格：</w:t>
            </w:r>
            <w:r>
              <w:rPr>
                <w:rFonts w:hint="eastAsia" w:ascii="黑体" w:hAnsi="黑体" w:eastAsia="黑体"/>
                <w:szCs w:val="21"/>
                <w:highlight w:val="none"/>
              </w:rPr>
              <w:t>见附录4</w:t>
            </w:r>
          </w:p>
          <w:p w14:paraId="6E6F453E">
            <w:pPr>
              <w:adjustRightInd w:val="0"/>
              <w:snapToGrid w:val="0"/>
              <w:spacing w:line="340" w:lineRule="exact"/>
              <w:rPr>
                <w:rFonts w:hint="eastAsia" w:ascii="宋体" w:hAnsi="宋体"/>
                <w:szCs w:val="21"/>
                <w:highlight w:val="none"/>
              </w:rPr>
            </w:pPr>
            <w:r>
              <w:rPr>
                <w:rFonts w:hint="eastAsia" w:ascii="宋体" w:hAnsi="宋体"/>
                <w:szCs w:val="21"/>
                <w:highlight w:val="none"/>
              </w:rPr>
              <w:t>分项负责人资格：</w:t>
            </w:r>
            <w:r>
              <w:rPr>
                <w:rFonts w:hint="eastAsia" w:ascii="黑体" w:hAnsi="黑体" w:eastAsia="黑体"/>
                <w:szCs w:val="21"/>
                <w:highlight w:val="none"/>
              </w:rPr>
              <w:t>见附录5</w:t>
            </w:r>
          </w:p>
        </w:tc>
      </w:tr>
      <w:tr w14:paraId="69C6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62FF00B">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1.4.2</w:t>
            </w:r>
          </w:p>
        </w:tc>
        <w:tc>
          <w:tcPr>
            <w:tcW w:w="1608" w:type="dxa"/>
            <w:vAlign w:val="center"/>
          </w:tcPr>
          <w:p w14:paraId="481896E2">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是否接受联合体投标</w:t>
            </w:r>
          </w:p>
        </w:tc>
        <w:tc>
          <w:tcPr>
            <w:tcW w:w="7146" w:type="dxa"/>
            <w:vAlign w:val="center"/>
          </w:tcPr>
          <w:p w14:paraId="7261417A">
            <w:pPr>
              <w:adjustRightInd w:val="0"/>
              <w:snapToGrid w:val="0"/>
              <w:spacing w:line="340" w:lineRule="exact"/>
              <w:rPr>
                <w:rFonts w:hint="eastAsia" w:ascii="宋体" w:hAnsi="宋体"/>
                <w:szCs w:val="21"/>
                <w:highlight w:val="none"/>
              </w:rPr>
            </w:pPr>
            <w:r>
              <w:rPr>
                <w:rFonts w:hint="eastAsia" w:ascii="宋体" w:hAnsi="宋体"/>
                <w:szCs w:val="21"/>
                <w:highlight w:val="none"/>
              </w:rPr>
              <w:t>接受，应满足下列要求：</w:t>
            </w:r>
          </w:p>
          <w:p w14:paraId="5E96E6F0">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（1）联合体所有成员数量</w:t>
            </w:r>
            <w:r>
              <w:rPr>
                <w:rFonts w:hint="eastAsia" w:ascii="黑体" w:hAnsi="黑体" w:eastAsia="黑体"/>
                <w:szCs w:val="21"/>
                <w:highlight w:val="none"/>
              </w:rPr>
              <w:t>不得超过4家</w:t>
            </w:r>
            <w:r>
              <w:rPr>
                <w:rFonts w:hint="eastAsia" w:ascii="宋体" w:hAnsi="宋体"/>
                <w:szCs w:val="21"/>
                <w:highlight w:val="none"/>
              </w:rPr>
              <w:t>。</w:t>
            </w:r>
          </w:p>
          <w:p w14:paraId="65EE8404">
            <w:pPr>
              <w:adjustRightInd w:val="0"/>
              <w:snapToGrid w:val="0"/>
              <w:spacing w:line="3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（2）</w:t>
            </w:r>
            <w:r>
              <w:rPr>
                <w:rFonts w:hint="eastAsia" w:ascii="宋体" w:hAnsi="宋体"/>
                <w:color w:val="000000" w:themeColor="text1"/>
                <w:szCs w:val="21"/>
                <w:highlight w:val="none"/>
                <w14:textFill>
                  <w14:solidFill>
                    <w14:schemeClr w14:val="tx1"/>
                  </w14:solidFill>
                </w14:textFill>
              </w:rPr>
              <w:t>联合体牵头人至少应具有住房和城乡建设主管部门颁发的工程设计</w:t>
            </w:r>
            <w:r>
              <w:rPr>
                <w:rFonts w:hint="eastAsia" w:ascii="黑体" w:hAnsi="黑体" w:eastAsia="黑体"/>
                <w:color w:val="000000" w:themeColor="text1"/>
                <w:szCs w:val="21"/>
                <w:highlight w:val="none"/>
                <w14:textFill>
                  <w14:solidFill>
                    <w14:schemeClr w14:val="tx1"/>
                  </w14:solidFill>
                </w14:textFill>
              </w:rPr>
              <w:t>公路行业（公路）专业乙级</w:t>
            </w:r>
            <w:r>
              <w:rPr>
                <w:rFonts w:hint="eastAsia" w:ascii="宋体" w:hAnsi="宋体"/>
                <w:color w:val="000000" w:themeColor="text1"/>
                <w:szCs w:val="21"/>
                <w:highlight w:val="none"/>
                <w14:textFill>
                  <w14:solidFill>
                    <w14:schemeClr w14:val="tx1"/>
                  </w14:solidFill>
                </w14:textFill>
              </w:rPr>
              <w:t>以上（含乙级）资质，并负责本项目总体设计和全线协调、统一、汇总工作；</w:t>
            </w:r>
          </w:p>
          <w:p w14:paraId="41C2D089">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（3）联合体成员必须具备与其承担工作内容相应的资质。</w:t>
            </w:r>
          </w:p>
        </w:tc>
      </w:tr>
      <w:tr w14:paraId="7A5C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D4A20B7">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1.4.3</w:t>
            </w:r>
          </w:p>
        </w:tc>
        <w:tc>
          <w:tcPr>
            <w:tcW w:w="1608" w:type="dxa"/>
            <w:vAlign w:val="center"/>
          </w:tcPr>
          <w:p w14:paraId="6FD5B491">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投标人不得存在的其他关联情形</w:t>
            </w:r>
          </w:p>
        </w:tc>
        <w:tc>
          <w:tcPr>
            <w:tcW w:w="7146" w:type="dxa"/>
            <w:vAlign w:val="center"/>
          </w:tcPr>
          <w:p w14:paraId="747CFF55">
            <w:pPr>
              <w:adjustRightInd w:val="0"/>
              <w:snapToGrid w:val="0"/>
              <w:spacing w:line="340" w:lineRule="exact"/>
              <w:rPr>
                <w:rFonts w:hint="eastAsia" w:ascii="宋体" w:hAnsi="宋体"/>
                <w:kern w:val="0"/>
                <w:szCs w:val="21"/>
                <w:highlight w:val="none"/>
              </w:rPr>
            </w:pPr>
            <w:r>
              <w:rPr>
                <w:rFonts w:hint="eastAsia" w:ascii="宋体" w:hAnsi="宋体"/>
                <w:kern w:val="0"/>
                <w:szCs w:val="21"/>
                <w:highlight w:val="none"/>
              </w:rPr>
              <w:t>/</w:t>
            </w:r>
          </w:p>
        </w:tc>
      </w:tr>
      <w:tr w14:paraId="2475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0F68462">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1.4.4</w:t>
            </w:r>
          </w:p>
        </w:tc>
        <w:tc>
          <w:tcPr>
            <w:tcW w:w="1608" w:type="dxa"/>
            <w:vAlign w:val="center"/>
          </w:tcPr>
          <w:p w14:paraId="4C416C5B">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投标人不得存在的其他不良状况或不良信用记录</w:t>
            </w:r>
          </w:p>
        </w:tc>
        <w:tc>
          <w:tcPr>
            <w:tcW w:w="7146" w:type="dxa"/>
            <w:vAlign w:val="center"/>
          </w:tcPr>
          <w:p w14:paraId="0858685A">
            <w:pPr>
              <w:autoSpaceDE w:val="0"/>
              <w:autoSpaceDN w:val="0"/>
              <w:adjustRightInd w:val="0"/>
              <w:spacing w:line="340" w:lineRule="exact"/>
              <w:rPr>
                <w:rFonts w:hint="eastAsia" w:ascii="宋体" w:hAnsi="宋体"/>
                <w:szCs w:val="21"/>
                <w:highlight w:val="none"/>
              </w:rPr>
            </w:pPr>
            <w:bookmarkStart w:id="16" w:name="_Hlk191489967"/>
            <w:r>
              <w:rPr>
                <w:rFonts w:hint="eastAsia" w:ascii="宋体" w:hAnsi="宋体"/>
                <w:szCs w:val="21"/>
                <w:highlight w:val="none"/>
              </w:rPr>
              <w:t>本项第（6）目内容修改为：</w:t>
            </w:r>
          </w:p>
          <w:p w14:paraId="04E6C736">
            <w:pPr>
              <w:adjustRightInd w:val="0"/>
              <w:snapToGrid w:val="0"/>
              <w:spacing w:line="340" w:lineRule="exact"/>
              <w:rPr>
                <w:rFonts w:hint="eastAsia" w:ascii="宋体" w:hAnsi="宋体"/>
                <w:kern w:val="0"/>
                <w:szCs w:val="21"/>
                <w:highlight w:val="none"/>
              </w:rPr>
            </w:pPr>
            <w:r>
              <w:rPr>
                <w:rFonts w:hint="eastAsia" w:ascii="宋体" w:hAnsi="宋体"/>
                <w:szCs w:val="21"/>
                <w:highlight w:val="none"/>
              </w:rPr>
              <w:t>（6）投标人或其法定代表人、拟委任的项目负责人在近三年内有行贿犯罪行为的；</w:t>
            </w:r>
            <w:bookmarkEnd w:id="16"/>
          </w:p>
        </w:tc>
      </w:tr>
      <w:tr w14:paraId="5060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A0F6C36">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szCs w:val="21"/>
                <w:highlight w:val="none"/>
              </w:rPr>
              <w:t>1.4.5</w:t>
            </w:r>
          </w:p>
        </w:tc>
        <w:tc>
          <w:tcPr>
            <w:tcW w:w="1608" w:type="dxa"/>
            <w:vAlign w:val="center"/>
          </w:tcPr>
          <w:p w14:paraId="4CB72956">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资质企业名录</w:t>
            </w:r>
          </w:p>
        </w:tc>
        <w:tc>
          <w:tcPr>
            <w:tcW w:w="7146" w:type="dxa"/>
            <w:vAlign w:val="center"/>
          </w:tcPr>
          <w:p w14:paraId="6082B401">
            <w:pPr>
              <w:autoSpaceDE w:val="0"/>
              <w:autoSpaceDN w:val="0"/>
              <w:adjustRightInd w:val="0"/>
              <w:spacing w:line="340" w:lineRule="exact"/>
              <w:rPr>
                <w:rFonts w:hint="eastAsia" w:ascii="宋体" w:hAnsi="宋体"/>
                <w:szCs w:val="21"/>
                <w:highlight w:val="none"/>
              </w:rPr>
            </w:pPr>
            <w:r>
              <w:rPr>
                <w:rFonts w:hint="eastAsia" w:ascii="宋体" w:hAnsi="宋体"/>
                <w:szCs w:val="21"/>
                <w:highlight w:val="none"/>
              </w:rPr>
              <w:t>本项细化为：</w:t>
            </w:r>
          </w:p>
          <w:p w14:paraId="29B99A4A">
            <w:pPr>
              <w:autoSpaceDE w:val="0"/>
              <w:autoSpaceDN w:val="0"/>
              <w:adjustRightInd w:val="0"/>
              <w:spacing w:line="340" w:lineRule="exact"/>
              <w:rPr>
                <w:rFonts w:hint="eastAsia" w:ascii="宋体" w:hAnsi="宋体"/>
                <w:szCs w:val="21"/>
                <w:highlight w:val="none"/>
              </w:rPr>
            </w:pPr>
            <w:r>
              <w:rPr>
                <w:rFonts w:hint="eastAsia" w:ascii="宋体" w:hAnsi="宋体"/>
                <w:szCs w:val="21"/>
                <w:highlight w:val="none"/>
              </w:rPr>
              <w:t>1.4.5 由交通运输部审核、审批资质的投标人（如以联合体形式投标的，指联合体各成员）应进入交通运输部“全国公路建设市场监督管理系统”中的公路工程设计资质企业名录，且投标人名称和资质与该名录中的相应企业名称和资质完全一致。</w:t>
            </w:r>
          </w:p>
        </w:tc>
      </w:tr>
      <w:tr w14:paraId="6D5D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Merge w:val="restart"/>
            <w:vAlign w:val="center"/>
          </w:tcPr>
          <w:p w14:paraId="3DA08894">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1.10.2</w:t>
            </w:r>
          </w:p>
        </w:tc>
        <w:tc>
          <w:tcPr>
            <w:tcW w:w="1608" w:type="dxa"/>
            <w:vMerge w:val="restart"/>
            <w:vAlign w:val="center"/>
          </w:tcPr>
          <w:p w14:paraId="52A45ED2">
            <w:pPr>
              <w:adjustRightInd w:val="0"/>
              <w:snapToGrid w:val="0"/>
              <w:spacing w:line="340" w:lineRule="exact"/>
              <w:jc w:val="center"/>
              <w:rPr>
                <w:rFonts w:hint="eastAsia" w:ascii="宋体" w:hAnsi="宋体"/>
                <w:szCs w:val="21"/>
                <w:highlight w:val="none"/>
              </w:rPr>
            </w:pPr>
            <w:r>
              <w:rPr>
                <w:rFonts w:ascii="宋体" w:hAnsi="宋体"/>
                <w:szCs w:val="21"/>
                <w:highlight w:val="none"/>
              </w:rPr>
              <w:t>投标人在投标预备会</w:t>
            </w:r>
            <w:r>
              <w:rPr>
                <w:rFonts w:hint="eastAsia" w:ascii="宋体" w:hAnsi="宋体"/>
                <w:szCs w:val="21"/>
                <w:highlight w:val="none"/>
              </w:rPr>
              <w:br w:type="textWrapping"/>
            </w:r>
            <w:r>
              <w:rPr>
                <w:rFonts w:ascii="宋体" w:hAnsi="宋体"/>
                <w:szCs w:val="21"/>
                <w:highlight w:val="none"/>
              </w:rPr>
              <w:t>前提出问</w:t>
            </w:r>
            <w:r>
              <w:rPr>
                <w:rFonts w:hint="eastAsia" w:ascii="宋体" w:hAnsi="宋体"/>
                <w:szCs w:val="21"/>
                <w:highlight w:val="none"/>
              </w:rPr>
              <w:t>题</w:t>
            </w:r>
          </w:p>
        </w:tc>
        <w:tc>
          <w:tcPr>
            <w:tcW w:w="7146" w:type="dxa"/>
            <w:vAlign w:val="center"/>
          </w:tcPr>
          <w:p w14:paraId="06D67BF4">
            <w:pPr>
              <w:adjustRightInd w:val="0"/>
              <w:snapToGrid w:val="0"/>
              <w:spacing w:line="340" w:lineRule="exact"/>
              <w:rPr>
                <w:rFonts w:hint="eastAsia" w:ascii="宋体" w:hAnsi="宋体"/>
                <w:szCs w:val="21"/>
                <w:highlight w:val="none"/>
              </w:rPr>
            </w:pPr>
            <w:r>
              <w:rPr>
                <w:rFonts w:ascii="宋体" w:hAnsi="宋体"/>
                <w:szCs w:val="21"/>
                <w:highlight w:val="none"/>
              </w:rPr>
              <w:t>时间：</w:t>
            </w:r>
            <w:r>
              <w:rPr>
                <w:rFonts w:hint="eastAsia" w:ascii="宋体" w:hAnsi="宋体"/>
                <w:szCs w:val="21"/>
                <w:highlight w:val="none"/>
              </w:rPr>
              <w:t>/</w:t>
            </w:r>
          </w:p>
        </w:tc>
      </w:tr>
      <w:tr w14:paraId="25EE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Merge w:val="continue"/>
            <w:vAlign w:val="center"/>
          </w:tcPr>
          <w:p w14:paraId="488F5435">
            <w:pPr>
              <w:tabs>
                <w:tab w:val="left" w:pos="1470"/>
              </w:tabs>
              <w:adjustRightInd w:val="0"/>
              <w:snapToGrid w:val="0"/>
              <w:spacing w:line="340" w:lineRule="exact"/>
              <w:jc w:val="center"/>
              <w:rPr>
                <w:rFonts w:hint="eastAsia" w:ascii="宋体" w:hAnsi="宋体"/>
                <w:highlight w:val="none"/>
                <w:u w:val="single" w:color="FFFFFF"/>
              </w:rPr>
            </w:pPr>
          </w:p>
        </w:tc>
        <w:tc>
          <w:tcPr>
            <w:tcW w:w="1608" w:type="dxa"/>
            <w:vMerge w:val="continue"/>
            <w:vAlign w:val="center"/>
          </w:tcPr>
          <w:p w14:paraId="3D9E5696">
            <w:pPr>
              <w:adjustRightInd w:val="0"/>
              <w:snapToGrid w:val="0"/>
              <w:spacing w:line="340" w:lineRule="exact"/>
              <w:jc w:val="center"/>
              <w:rPr>
                <w:rFonts w:hint="eastAsia" w:ascii="宋体" w:hAnsi="宋体"/>
                <w:szCs w:val="21"/>
                <w:highlight w:val="none"/>
              </w:rPr>
            </w:pPr>
          </w:p>
        </w:tc>
        <w:tc>
          <w:tcPr>
            <w:tcW w:w="7146" w:type="dxa"/>
            <w:vAlign w:val="center"/>
          </w:tcPr>
          <w:p w14:paraId="7E6C9074">
            <w:pPr>
              <w:adjustRightInd w:val="0"/>
              <w:snapToGrid w:val="0"/>
              <w:spacing w:line="340" w:lineRule="exact"/>
              <w:rPr>
                <w:rFonts w:hint="eastAsia" w:ascii="宋体" w:hAnsi="宋体"/>
                <w:szCs w:val="21"/>
                <w:highlight w:val="none"/>
              </w:rPr>
            </w:pPr>
            <w:r>
              <w:rPr>
                <w:rFonts w:ascii="宋体" w:hAnsi="宋体"/>
                <w:szCs w:val="21"/>
                <w:highlight w:val="none"/>
              </w:rPr>
              <w:t>形式：</w:t>
            </w:r>
            <w:r>
              <w:rPr>
                <w:rFonts w:hint="eastAsia" w:ascii="宋体" w:hAnsi="宋体"/>
                <w:szCs w:val="21"/>
                <w:highlight w:val="none"/>
              </w:rPr>
              <w:t>/</w:t>
            </w:r>
          </w:p>
        </w:tc>
      </w:tr>
      <w:tr w14:paraId="1F6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52A6DB6B">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rPr>
              <w:t>1.1</w:t>
            </w:r>
            <w:r>
              <w:rPr>
                <w:rFonts w:hint="eastAsia" w:ascii="宋体" w:hAnsi="宋体"/>
                <w:highlight w:val="none"/>
                <w:u w:val="single" w:color="FFFFFF"/>
              </w:rPr>
              <w:t>1.11</w:t>
            </w:r>
          </w:p>
        </w:tc>
        <w:tc>
          <w:tcPr>
            <w:tcW w:w="1608" w:type="dxa"/>
            <w:vAlign w:val="center"/>
          </w:tcPr>
          <w:p w14:paraId="663C8A0F">
            <w:pPr>
              <w:adjustRightInd w:val="0"/>
              <w:snapToGrid w:val="0"/>
              <w:spacing w:line="340" w:lineRule="exact"/>
              <w:jc w:val="center"/>
              <w:rPr>
                <w:rFonts w:hint="eastAsia" w:ascii="宋体" w:hAnsi="宋体"/>
                <w:szCs w:val="21"/>
                <w:highlight w:val="none"/>
              </w:rPr>
            </w:pPr>
            <w:r>
              <w:rPr>
                <w:rFonts w:ascii="宋体" w:hAnsi="宋体"/>
                <w:szCs w:val="21"/>
                <w:highlight w:val="none"/>
              </w:rPr>
              <w:t>分包</w:t>
            </w:r>
          </w:p>
        </w:tc>
        <w:tc>
          <w:tcPr>
            <w:tcW w:w="7146" w:type="dxa"/>
            <w:vAlign w:val="center"/>
          </w:tcPr>
          <w:p w14:paraId="1E871075">
            <w:pPr>
              <w:autoSpaceDE w:val="0"/>
              <w:autoSpaceDN w:val="0"/>
              <w:adjustRightInd w:val="0"/>
              <w:snapToGrid w:val="0"/>
              <w:spacing w:line="340" w:lineRule="exact"/>
              <w:rPr>
                <w:rFonts w:hint="eastAsia" w:ascii="宋体" w:hAnsi="宋体" w:cs="宋体"/>
                <w:kern w:val="0"/>
                <w:highlight w:val="none"/>
                <w:lang w:val="zh-CN"/>
              </w:rPr>
            </w:pPr>
            <w:r>
              <w:rPr>
                <w:rFonts w:hint="eastAsia" w:ascii="宋体" w:hAnsi="宋体" w:cs="宋体"/>
                <w:kern w:val="0"/>
                <w:highlight w:val="none"/>
                <w:lang w:val="zh-CN"/>
              </w:rPr>
              <w:t>允许。</w:t>
            </w:r>
          </w:p>
          <w:p w14:paraId="7C12ECC1">
            <w:pPr>
              <w:autoSpaceDE w:val="0"/>
              <w:autoSpaceDN w:val="0"/>
              <w:adjustRightInd w:val="0"/>
              <w:snapToGrid w:val="0"/>
              <w:spacing w:line="340" w:lineRule="exact"/>
              <w:rPr>
                <w:rFonts w:hint="eastAsia" w:ascii="宋体" w:hAnsi="宋体" w:cs="宋体"/>
                <w:kern w:val="0"/>
                <w:highlight w:val="none"/>
                <w:lang w:val="zh-CN"/>
              </w:rPr>
            </w:pPr>
            <w:r>
              <w:rPr>
                <w:rFonts w:hint="eastAsia" w:ascii="宋体" w:hAnsi="宋体" w:cs="宋体"/>
                <w:kern w:val="0"/>
                <w:highlight w:val="none"/>
                <w:lang w:val="zh-CN"/>
              </w:rPr>
              <w:t>允许分包的工程：允许跨专业或有特殊要求的勘察、设计工作进行分包。</w:t>
            </w:r>
          </w:p>
          <w:p w14:paraId="3B895AC2">
            <w:pPr>
              <w:autoSpaceDE w:val="0"/>
              <w:autoSpaceDN w:val="0"/>
              <w:adjustRightInd w:val="0"/>
              <w:snapToGrid w:val="0"/>
              <w:spacing w:line="340" w:lineRule="exact"/>
              <w:rPr>
                <w:rFonts w:hint="eastAsia" w:ascii="宋体" w:hAnsi="宋体" w:cs="宋体"/>
                <w:kern w:val="0"/>
                <w:szCs w:val="21"/>
                <w:highlight w:val="none"/>
                <w:lang w:val="zh-CN"/>
              </w:rPr>
            </w:pPr>
            <w:r>
              <w:rPr>
                <w:rFonts w:hint="eastAsia" w:ascii="宋体" w:hAnsi="宋体" w:cs="宋体"/>
                <w:kern w:val="0"/>
                <w:highlight w:val="none"/>
                <w:lang w:val="zh-CN"/>
              </w:rPr>
              <w:t>对分包人的资格要求：具有与拟承担勘察、设计工作相应的资质。</w:t>
            </w:r>
          </w:p>
        </w:tc>
      </w:tr>
      <w:tr w14:paraId="2FE6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014" w:type="dxa"/>
            <w:vAlign w:val="center"/>
          </w:tcPr>
          <w:p w14:paraId="7F15760D">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2.1</w:t>
            </w:r>
          </w:p>
        </w:tc>
        <w:tc>
          <w:tcPr>
            <w:tcW w:w="1608" w:type="dxa"/>
            <w:vAlign w:val="center"/>
          </w:tcPr>
          <w:p w14:paraId="5059D317">
            <w:pPr>
              <w:adjustRightInd w:val="0"/>
              <w:snapToGrid w:val="0"/>
              <w:spacing w:line="340" w:lineRule="exact"/>
              <w:jc w:val="center"/>
              <w:rPr>
                <w:rFonts w:hint="eastAsia" w:ascii="宋体" w:hAnsi="宋体"/>
                <w:szCs w:val="21"/>
                <w:highlight w:val="none"/>
              </w:rPr>
            </w:pPr>
            <w:r>
              <w:rPr>
                <w:rFonts w:ascii="宋体" w:hAnsi="宋体"/>
                <w:szCs w:val="21"/>
                <w:highlight w:val="none"/>
              </w:rPr>
              <w:t>构成招标文件的其他</w:t>
            </w:r>
            <w:r>
              <w:rPr>
                <w:rFonts w:hint="eastAsia" w:ascii="宋体" w:hAnsi="宋体"/>
                <w:szCs w:val="21"/>
                <w:highlight w:val="none"/>
              </w:rPr>
              <w:t>资</w:t>
            </w:r>
            <w:r>
              <w:rPr>
                <w:rFonts w:ascii="宋体" w:hAnsi="宋体"/>
                <w:szCs w:val="21"/>
                <w:highlight w:val="none"/>
              </w:rPr>
              <w:t>料</w:t>
            </w:r>
          </w:p>
        </w:tc>
        <w:tc>
          <w:tcPr>
            <w:tcW w:w="7146" w:type="dxa"/>
            <w:vAlign w:val="center"/>
          </w:tcPr>
          <w:p w14:paraId="25140D92">
            <w:pPr>
              <w:spacing w:line="340" w:lineRule="exact"/>
              <w:ind w:right="113"/>
              <w:rPr>
                <w:rFonts w:hint="eastAsia" w:ascii="宋体" w:hAnsi="宋体"/>
                <w:szCs w:val="21"/>
                <w:highlight w:val="none"/>
              </w:rPr>
            </w:pPr>
            <w:r>
              <w:rPr>
                <w:rFonts w:hint="eastAsia" w:ascii="宋体" w:hAnsi="宋体"/>
                <w:szCs w:val="21"/>
                <w:highlight w:val="none"/>
              </w:rPr>
              <w:t>本项目的工程可行性研究报告电子文件发布在百度网盘，由投标人自行下载：</w:t>
            </w:r>
          </w:p>
          <w:p w14:paraId="529F0885">
            <w:pPr>
              <w:autoSpaceDE w:val="0"/>
              <w:autoSpaceDN w:val="0"/>
              <w:adjustRightInd w:val="0"/>
              <w:snapToGrid w:val="0"/>
              <w:spacing w:line="340" w:lineRule="exact"/>
              <w:rPr>
                <w:rFonts w:hint="eastAsia" w:ascii="宋体" w:hAnsi="宋体"/>
                <w:szCs w:val="21"/>
                <w:highlight w:val="none"/>
              </w:rPr>
            </w:pPr>
            <w:r>
              <w:rPr>
                <w:rFonts w:hint="eastAsia" w:ascii="黑体" w:hAnsi="黑体" w:eastAsia="黑体"/>
                <w:highlight w:val="none"/>
              </w:rPr>
              <w:t>链接:</w:t>
            </w:r>
            <w:r>
              <w:rPr>
                <w:rFonts w:hint="eastAsia" w:ascii="黑体" w:hAnsi="黑体" w:eastAsia="黑体"/>
                <w:szCs w:val="21"/>
                <w:highlight w:val="none"/>
              </w:rPr>
              <w:t xml:space="preserve"> https://pan.baidu.com/s/1NbfFqsIyPSFC7vEdNGolhQ </w:t>
            </w:r>
          </w:p>
          <w:p w14:paraId="2103F54B">
            <w:pPr>
              <w:autoSpaceDE w:val="0"/>
              <w:autoSpaceDN w:val="0"/>
              <w:adjustRightInd w:val="0"/>
              <w:snapToGrid w:val="0"/>
              <w:spacing w:line="340" w:lineRule="exact"/>
              <w:rPr>
                <w:rFonts w:hint="eastAsia" w:ascii="宋体" w:hAnsi="宋体" w:cs="宋体"/>
                <w:bCs/>
                <w:kern w:val="0"/>
                <w:szCs w:val="21"/>
                <w:highlight w:val="none"/>
                <w:bdr w:val="single" w:color="auto" w:sz="4" w:space="0"/>
              </w:rPr>
            </w:pPr>
            <w:r>
              <w:rPr>
                <w:rFonts w:hint="eastAsia" w:ascii="宋体" w:hAnsi="宋体"/>
                <w:szCs w:val="21"/>
                <w:highlight w:val="none"/>
              </w:rPr>
              <w:t xml:space="preserve">提取码: </w:t>
            </w:r>
            <w:r>
              <w:rPr>
                <w:rFonts w:hint="eastAsia" w:ascii="黑体" w:hAnsi="黑体" w:eastAsia="黑体"/>
                <w:szCs w:val="21"/>
                <w:highlight w:val="none"/>
              </w:rPr>
              <w:t>jlwb</w:t>
            </w:r>
          </w:p>
        </w:tc>
      </w:tr>
      <w:tr w14:paraId="3DC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14" w:type="dxa"/>
            <w:vMerge w:val="restart"/>
            <w:vAlign w:val="center"/>
          </w:tcPr>
          <w:p w14:paraId="287BFE12">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2.2.1</w:t>
            </w:r>
          </w:p>
        </w:tc>
        <w:tc>
          <w:tcPr>
            <w:tcW w:w="1608" w:type="dxa"/>
            <w:vMerge w:val="restart"/>
            <w:vAlign w:val="center"/>
          </w:tcPr>
          <w:p w14:paraId="37CED141">
            <w:pPr>
              <w:adjustRightInd w:val="0"/>
              <w:snapToGrid w:val="0"/>
              <w:spacing w:line="340" w:lineRule="exact"/>
              <w:jc w:val="center"/>
              <w:rPr>
                <w:rFonts w:hint="eastAsia" w:ascii="宋体" w:hAnsi="宋体"/>
                <w:szCs w:val="21"/>
                <w:highlight w:val="none"/>
              </w:rPr>
            </w:pPr>
            <w:r>
              <w:rPr>
                <w:rFonts w:ascii="宋体" w:hAnsi="宋体"/>
                <w:szCs w:val="21"/>
                <w:highlight w:val="none"/>
              </w:rPr>
              <w:t>投标人要求澄清招标文件</w:t>
            </w:r>
          </w:p>
        </w:tc>
        <w:tc>
          <w:tcPr>
            <w:tcW w:w="7146" w:type="dxa"/>
            <w:vAlign w:val="center"/>
          </w:tcPr>
          <w:p w14:paraId="143E86DA">
            <w:pPr>
              <w:adjustRightInd w:val="0"/>
              <w:snapToGrid w:val="0"/>
              <w:spacing w:line="340" w:lineRule="exact"/>
              <w:rPr>
                <w:rFonts w:hint="eastAsia" w:ascii="宋体" w:hAnsi="宋体"/>
                <w:szCs w:val="21"/>
                <w:highlight w:val="none"/>
                <w:u w:val="single"/>
              </w:rPr>
            </w:pPr>
            <w:r>
              <w:rPr>
                <w:rFonts w:hint="eastAsia" w:ascii="宋体" w:hAnsi="宋体"/>
                <w:szCs w:val="21"/>
                <w:highlight w:val="none"/>
              </w:rPr>
              <w:t>时间：投标截止时间10天前</w:t>
            </w:r>
          </w:p>
        </w:tc>
      </w:tr>
      <w:tr w14:paraId="0C22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014" w:type="dxa"/>
            <w:vMerge w:val="continue"/>
            <w:vAlign w:val="center"/>
          </w:tcPr>
          <w:p w14:paraId="420D6C74">
            <w:pPr>
              <w:tabs>
                <w:tab w:val="left" w:pos="1470"/>
              </w:tabs>
              <w:adjustRightInd w:val="0"/>
              <w:snapToGrid w:val="0"/>
              <w:spacing w:line="340" w:lineRule="exact"/>
              <w:jc w:val="center"/>
              <w:rPr>
                <w:rFonts w:hint="eastAsia" w:ascii="宋体" w:hAnsi="宋体"/>
                <w:highlight w:val="none"/>
                <w:u w:val="single" w:color="FFFFFF"/>
              </w:rPr>
            </w:pPr>
          </w:p>
        </w:tc>
        <w:tc>
          <w:tcPr>
            <w:tcW w:w="1608" w:type="dxa"/>
            <w:vMerge w:val="continue"/>
            <w:vAlign w:val="center"/>
          </w:tcPr>
          <w:p w14:paraId="1806785B">
            <w:pPr>
              <w:adjustRightInd w:val="0"/>
              <w:snapToGrid w:val="0"/>
              <w:spacing w:line="340" w:lineRule="exact"/>
              <w:jc w:val="center"/>
              <w:rPr>
                <w:rFonts w:hint="eastAsia" w:ascii="宋体" w:hAnsi="宋体"/>
                <w:szCs w:val="21"/>
                <w:highlight w:val="none"/>
              </w:rPr>
            </w:pPr>
          </w:p>
        </w:tc>
        <w:tc>
          <w:tcPr>
            <w:tcW w:w="7146" w:type="dxa"/>
            <w:vAlign w:val="center"/>
          </w:tcPr>
          <w:p w14:paraId="4B440935">
            <w:pPr>
              <w:adjustRightInd w:val="0"/>
              <w:snapToGrid w:val="0"/>
              <w:spacing w:line="340" w:lineRule="exact"/>
              <w:rPr>
                <w:rFonts w:hint="eastAsia" w:ascii="宋体" w:hAnsi="宋体"/>
                <w:szCs w:val="21"/>
                <w:highlight w:val="none"/>
              </w:rPr>
            </w:pPr>
            <w:r>
              <w:rPr>
                <w:rFonts w:ascii="宋体" w:hAnsi="宋体"/>
                <w:szCs w:val="21"/>
                <w:highlight w:val="none"/>
              </w:rPr>
              <w:t>形式：</w:t>
            </w:r>
            <w:r>
              <w:rPr>
                <w:rFonts w:hint="eastAsia" w:ascii="宋体" w:hAnsi="宋体"/>
                <w:szCs w:val="21"/>
                <w:highlight w:val="none"/>
              </w:rPr>
              <w:t>使用CA数字证书登录“电子交易平台”，在“投标答疑”菜单以书面形式将提出的问题送达招标人</w:t>
            </w:r>
          </w:p>
        </w:tc>
      </w:tr>
      <w:tr w14:paraId="06BF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4683C85">
            <w:pPr>
              <w:adjustRightInd w:val="0"/>
              <w:snapToGrid w:val="0"/>
              <w:spacing w:line="340" w:lineRule="exact"/>
              <w:jc w:val="center"/>
              <w:rPr>
                <w:rFonts w:hint="eastAsia" w:ascii="宋体" w:hAnsi="宋体"/>
                <w:szCs w:val="21"/>
                <w:highlight w:val="none"/>
              </w:rPr>
            </w:pPr>
            <w:r>
              <w:rPr>
                <w:rFonts w:ascii="宋体" w:hAnsi="宋体"/>
                <w:szCs w:val="21"/>
                <w:highlight w:val="none"/>
              </w:rPr>
              <w:t>2.2.2</w:t>
            </w:r>
          </w:p>
        </w:tc>
        <w:tc>
          <w:tcPr>
            <w:tcW w:w="1608" w:type="dxa"/>
            <w:vAlign w:val="center"/>
          </w:tcPr>
          <w:p w14:paraId="7DE67475">
            <w:pPr>
              <w:adjustRightInd w:val="0"/>
              <w:snapToGrid w:val="0"/>
              <w:spacing w:line="340" w:lineRule="exact"/>
              <w:jc w:val="center"/>
              <w:rPr>
                <w:rFonts w:hint="eastAsia" w:ascii="宋体" w:hAnsi="宋体"/>
                <w:szCs w:val="21"/>
                <w:highlight w:val="none"/>
              </w:rPr>
            </w:pPr>
            <w:r>
              <w:rPr>
                <w:rFonts w:ascii="宋体" w:hAnsi="宋体"/>
                <w:szCs w:val="21"/>
                <w:highlight w:val="none"/>
              </w:rPr>
              <w:t>招标文件澄清</w:t>
            </w:r>
            <w:r>
              <w:rPr>
                <w:rFonts w:hint="eastAsia" w:ascii="宋体" w:hAnsi="宋体"/>
                <w:szCs w:val="21"/>
                <w:highlight w:val="none"/>
              </w:rPr>
              <w:br w:type="textWrapping"/>
            </w:r>
            <w:r>
              <w:rPr>
                <w:rFonts w:ascii="宋体" w:hAnsi="宋体"/>
                <w:szCs w:val="21"/>
                <w:highlight w:val="none"/>
              </w:rPr>
              <w:t>发出的形式</w:t>
            </w:r>
          </w:p>
        </w:tc>
        <w:tc>
          <w:tcPr>
            <w:tcW w:w="7146" w:type="dxa"/>
            <w:vAlign w:val="center"/>
          </w:tcPr>
          <w:p w14:paraId="0D0EAAE9">
            <w:pPr>
              <w:adjustRightInd w:val="0"/>
              <w:snapToGrid w:val="0"/>
              <w:spacing w:line="340" w:lineRule="exact"/>
              <w:jc w:val="left"/>
              <w:rPr>
                <w:rFonts w:hint="eastAsia" w:ascii="宋体" w:hAnsi="宋体"/>
                <w:szCs w:val="21"/>
                <w:highlight w:val="none"/>
              </w:rPr>
            </w:pPr>
            <w:r>
              <w:rPr>
                <w:rFonts w:hint="eastAsia" w:ascii="宋体" w:hAnsi="宋体"/>
                <w:szCs w:val="21"/>
                <w:highlight w:val="none"/>
              </w:rPr>
              <w:t>通过“电子交易平台”发出招标文件澄清</w:t>
            </w:r>
          </w:p>
        </w:tc>
      </w:tr>
      <w:tr w14:paraId="4FDA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14" w:type="dxa"/>
            <w:vAlign w:val="center"/>
          </w:tcPr>
          <w:p w14:paraId="794FBA7B">
            <w:pPr>
              <w:adjustRightInd w:val="0"/>
              <w:snapToGrid w:val="0"/>
              <w:spacing w:line="340" w:lineRule="exact"/>
              <w:jc w:val="center"/>
              <w:rPr>
                <w:rFonts w:hint="eastAsia" w:ascii="宋体" w:hAnsi="宋体"/>
                <w:szCs w:val="21"/>
                <w:highlight w:val="none"/>
              </w:rPr>
            </w:pPr>
            <w:r>
              <w:rPr>
                <w:rFonts w:ascii="宋体" w:hAnsi="宋体"/>
                <w:szCs w:val="21"/>
                <w:highlight w:val="none"/>
              </w:rPr>
              <w:t>2.2.3</w:t>
            </w:r>
          </w:p>
        </w:tc>
        <w:tc>
          <w:tcPr>
            <w:tcW w:w="1608" w:type="dxa"/>
            <w:vAlign w:val="center"/>
          </w:tcPr>
          <w:p w14:paraId="02B1E82A">
            <w:pPr>
              <w:adjustRightInd w:val="0"/>
              <w:snapToGrid w:val="0"/>
              <w:spacing w:line="340" w:lineRule="exact"/>
              <w:jc w:val="center"/>
              <w:rPr>
                <w:rFonts w:hint="eastAsia" w:ascii="宋体" w:hAnsi="宋体"/>
                <w:szCs w:val="21"/>
                <w:highlight w:val="none"/>
              </w:rPr>
            </w:pPr>
            <w:r>
              <w:rPr>
                <w:rFonts w:ascii="宋体" w:hAnsi="宋体"/>
                <w:szCs w:val="21"/>
                <w:highlight w:val="none"/>
              </w:rPr>
              <w:t>投标人确认收到招标文件澄清</w:t>
            </w:r>
          </w:p>
        </w:tc>
        <w:tc>
          <w:tcPr>
            <w:tcW w:w="7146" w:type="dxa"/>
            <w:vAlign w:val="center"/>
          </w:tcPr>
          <w:p w14:paraId="7E2440E3">
            <w:pPr>
              <w:adjustRightInd w:val="0"/>
              <w:snapToGrid w:val="0"/>
              <w:spacing w:line="340" w:lineRule="exact"/>
              <w:rPr>
                <w:rFonts w:hint="eastAsia" w:ascii="宋体" w:hAnsi="宋体"/>
                <w:szCs w:val="21"/>
                <w:highlight w:val="none"/>
              </w:rPr>
            </w:pPr>
            <w:r>
              <w:rPr>
                <w:rFonts w:hint="eastAsia" w:ascii="宋体" w:hAnsi="宋体"/>
                <w:szCs w:val="21"/>
                <w:highlight w:val="none"/>
              </w:rPr>
              <w:t>投标人打开澄清通知时系统自动确认</w:t>
            </w:r>
          </w:p>
        </w:tc>
      </w:tr>
      <w:tr w14:paraId="0153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158B618">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2.3.1</w:t>
            </w:r>
          </w:p>
        </w:tc>
        <w:tc>
          <w:tcPr>
            <w:tcW w:w="1608" w:type="dxa"/>
            <w:vAlign w:val="center"/>
          </w:tcPr>
          <w:p w14:paraId="434E65A0">
            <w:pPr>
              <w:adjustRightInd w:val="0"/>
              <w:snapToGrid w:val="0"/>
              <w:spacing w:line="340" w:lineRule="exact"/>
              <w:jc w:val="center"/>
              <w:rPr>
                <w:rFonts w:hint="eastAsia" w:ascii="宋体" w:hAnsi="宋体"/>
                <w:szCs w:val="21"/>
                <w:highlight w:val="none"/>
              </w:rPr>
            </w:pPr>
            <w:r>
              <w:rPr>
                <w:rFonts w:ascii="宋体" w:hAnsi="宋体"/>
                <w:szCs w:val="21"/>
                <w:highlight w:val="none"/>
              </w:rPr>
              <w:t>招标文件修改</w:t>
            </w:r>
            <w:r>
              <w:rPr>
                <w:rFonts w:hint="eastAsia" w:ascii="宋体" w:hAnsi="宋体"/>
                <w:szCs w:val="21"/>
                <w:highlight w:val="none"/>
              </w:rPr>
              <w:br w:type="textWrapping"/>
            </w:r>
            <w:r>
              <w:rPr>
                <w:rFonts w:ascii="宋体" w:hAnsi="宋体"/>
                <w:szCs w:val="21"/>
                <w:highlight w:val="none"/>
              </w:rPr>
              <w:t>发出的形式</w:t>
            </w:r>
          </w:p>
        </w:tc>
        <w:tc>
          <w:tcPr>
            <w:tcW w:w="7146" w:type="dxa"/>
            <w:vAlign w:val="center"/>
          </w:tcPr>
          <w:p w14:paraId="319D79BA">
            <w:pPr>
              <w:adjustRightInd w:val="0"/>
              <w:snapToGrid w:val="0"/>
              <w:spacing w:line="340" w:lineRule="exact"/>
              <w:jc w:val="left"/>
              <w:rPr>
                <w:rFonts w:hint="eastAsia" w:ascii="宋体" w:hAnsi="宋体"/>
                <w:szCs w:val="21"/>
                <w:highlight w:val="none"/>
              </w:rPr>
            </w:pPr>
            <w:r>
              <w:rPr>
                <w:rFonts w:hint="eastAsia" w:ascii="宋体" w:hAnsi="宋体"/>
                <w:szCs w:val="21"/>
                <w:highlight w:val="none"/>
              </w:rPr>
              <w:t>通过“电子交易平台”发出招标文件修改</w:t>
            </w:r>
          </w:p>
        </w:tc>
      </w:tr>
      <w:tr w14:paraId="1CA6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14" w:type="dxa"/>
            <w:vAlign w:val="center"/>
          </w:tcPr>
          <w:p w14:paraId="016B0E6D">
            <w:pPr>
              <w:adjustRightInd w:val="0"/>
              <w:snapToGrid w:val="0"/>
              <w:spacing w:line="340" w:lineRule="exact"/>
              <w:jc w:val="center"/>
              <w:rPr>
                <w:rFonts w:hint="eastAsia" w:ascii="宋体" w:hAnsi="宋体"/>
                <w:szCs w:val="21"/>
                <w:highlight w:val="none"/>
              </w:rPr>
            </w:pPr>
            <w:r>
              <w:rPr>
                <w:rFonts w:ascii="宋体" w:hAnsi="宋体"/>
                <w:szCs w:val="21"/>
                <w:highlight w:val="none"/>
              </w:rPr>
              <w:t>2.3.2</w:t>
            </w:r>
          </w:p>
        </w:tc>
        <w:tc>
          <w:tcPr>
            <w:tcW w:w="1608" w:type="dxa"/>
            <w:vAlign w:val="center"/>
          </w:tcPr>
          <w:p w14:paraId="03151749">
            <w:pPr>
              <w:adjustRightInd w:val="0"/>
              <w:snapToGrid w:val="0"/>
              <w:spacing w:line="340" w:lineRule="exact"/>
              <w:jc w:val="center"/>
              <w:rPr>
                <w:rFonts w:hint="eastAsia" w:ascii="宋体" w:hAnsi="宋体"/>
                <w:szCs w:val="21"/>
                <w:highlight w:val="none"/>
              </w:rPr>
            </w:pPr>
            <w:r>
              <w:rPr>
                <w:rFonts w:ascii="宋体" w:hAnsi="宋体"/>
                <w:szCs w:val="21"/>
                <w:highlight w:val="none"/>
              </w:rPr>
              <w:t>投标人确认收到招标文件修改</w:t>
            </w:r>
          </w:p>
        </w:tc>
        <w:tc>
          <w:tcPr>
            <w:tcW w:w="7146" w:type="dxa"/>
            <w:vAlign w:val="center"/>
          </w:tcPr>
          <w:p w14:paraId="5B2B0686">
            <w:pPr>
              <w:adjustRightInd w:val="0"/>
              <w:snapToGrid w:val="0"/>
              <w:spacing w:line="340" w:lineRule="exact"/>
              <w:rPr>
                <w:rFonts w:hint="eastAsia" w:ascii="宋体" w:hAnsi="宋体"/>
                <w:szCs w:val="21"/>
                <w:highlight w:val="none"/>
              </w:rPr>
            </w:pPr>
            <w:r>
              <w:rPr>
                <w:rFonts w:hint="eastAsia" w:ascii="宋体" w:hAnsi="宋体"/>
                <w:szCs w:val="21"/>
                <w:highlight w:val="none"/>
              </w:rPr>
              <w:t>投标人打开修改通知时系统自动确认</w:t>
            </w:r>
          </w:p>
        </w:tc>
      </w:tr>
      <w:tr w14:paraId="716C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2B4C7BC8">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3.1.1</w:t>
            </w:r>
          </w:p>
        </w:tc>
        <w:tc>
          <w:tcPr>
            <w:tcW w:w="1608" w:type="dxa"/>
            <w:vAlign w:val="center"/>
          </w:tcPr>
          <w:p w14:paraId="30355FC7">
            <w:pPr>
              <w:adjustRightInd w:val="0"/>
              <w:snapToGrid w:val="0"/>
              <w:spacing w:line="340" w:lineRule="exact"/>
              <w:jc w:val="center"/>
              <w:rPr>
                <w:rFonts w:hint="eastAsia" w:ascii="宋体" w:hAnsi="宋体"/>
                <w:szCs w:val="21"/>
                <w:highlight w:val="none"/>
              </w:rPr>
            </w:pPr>
            <w:r>
              <w:rPr>
                <w:rFonts w:ascii="宋体" w:hAnsi="宋体"/>
                <w:szCs w:val="21"/>
                <w:highlight w:val="none"/>
              </w:rPr>
              <w:t>构成投标文件的其他资料</w:t>
            </w:r>
          </w:p>
        </w:tc>
        <w:tc>
          <w:tcPr>
            <w:tcW w:w="7146" w:type="dxa"/>
            <w:vAlign w:val="center"/>
          </w:tcPr>
          <w:p w14:paraId="0AA83102">
            <w:pPr>
              <w:adjustRightInd w:val="0"/>
              <w:snapToGrid w:val="0"/>
              <w:spacing w:line="340" w:lineRule="exact"/>
              <w:rPr>
                <w:rFonts w:hint="eastAsia" w:ascii="宋体" w:hAnsi="宋体"/>
                <w:szCs w:val="21"/>
                <w:highlight w:val="none"/>
              </w:rPr>
            </w:pPr>
            <w:r>
              <w:rPr>
                <w:rFonts w:hint="eastAsia" w:ascii="宋体" w:hAnsi="宋体"/>
                <w:color w:val="000000" w:themeColor="text1"/>
                <w:szCs w:val="21"/>
                <w:highlight w:val="none"/>
                <w14:textFill>
                  <w14:solidFill>
                    <w14:schemeClr w14:val="tx1"/>
                  </w14:solidFill>
                </w14:textFill>
              </w:rPr>
              <w:t>/</w:t>
            </w:r>
          </w:p>
        </w:tc>
      </w:tr>
      <w:tr w14:paraId="575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77EBFFD5">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3.2.1</w:t>
            </w:r>
          </w:p>
        </w:tc>
        <w:tc>
          <w:tcPr>
            <w:tcW w:w="1608" w:type="dxa"/>
            <w:vAlign w:val="center"/>
          </w:tcPr>
          <w:p w14:paraId="33C28C7C">
            <w:pPr>
              <w:adjustRightInd w:val="0"/>
              <w:snapToGrid w:val="0"/>
              <w:spacing w:line="340" w:lineRule="exact"/>
              <w:jc w:val="center"/>
              <w:rPr>
                <w:rFonts w:hint="eastAsia" w:ascii="宋体" w:hAnsi="宋体"/>
                <w:szCs w:val="21"/>
                <w:highlight w:val="none"/>
              </w:rPr>
            </w:pPr>
            <w:r>
              <w:rPr>
                <w:rFonts w:ascii="宋体" w:hAnsi="宋体"/>
                <w:szCs w:val="21"/>
                <w:highlight w:val="none"/>
              </w:rPr>
              <w:t>增值税税金的</w:t>
            </w:r>
            <w:r>
              <w:rPr>
                <w:rFonts w:hint="eastAsia" w:ascii="宋体" w:hAnsi="宋体"/>
                <w:szCs w:val="21"/>
                <w:highlight w:val="none"/>
              </w:rPr>
              <w:br w:type="textWrapping"/>
            </w:r>
            <w:r>
              <w:rPr>
                <w:rFonts w:ascii="宋体" w:hAnsi="宋体"/>
                <w:szCs w:val="21"/>
                <w:highlight w:val="none"/>
              </w:rPr>
              <w:t>计算方法</w:t>
            </w:r>
          </w:p>
        </w:tc>
        <w:tc>
          <w:tcPr>
            <w:tcW w:w="7146" w:type="dxa"/>
            <w:vAlign w:val="center"/>
          </w:tcPr>
          <w:p w14:paraId="49943F7F">
            <w:pPr>
              <w:adjustRightInd w:val="0"/>
              <w:snapToGrid w:val="0"/>
              <w:spacing w:line="340" w:lineRule="exact"/>
              <w:rPr>
                <w:rFonts w:hint="eastAsia" w:ascii="宋体" w:hAnsi="宋体"/>
                <w:szCs w:val="21"/>
                <w:highlight w:val="none"/>
              </w:rPr>
            </w:pPr>
            <w:r>
              <w:rPr>
                <w:rFonts w:hint="eastAsia" w:ascii="宋体" w:hAnsi="宋体"/>
                <w:szCs w:val="21"/>
                <w:highlight w:val="none"/>
              </w:rPr>
              <w:t>/</w:t>
            </w:r>
          </w:p>
        </w:tc>
      </w:tr>
      <w:tr w14:paraId="6F36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B1B10B9">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3.2.3</w:t>
            </w:r>
          </w:p>
        </w:tc>
        <w:tc>
          <w:tcPr>
            <w:tcW w:w="1608" w:type="dxa"/>
            <w:vAlign w:val="center"/>
          </w:tcPr>
          <w:p w14:paraId="085D6B38">
            <w:pPr>
              <w:adjustRightInd w:val="0"/>
              <w:snapToGrid w:val="0"/>
              <w:spacing w:line="340" w:lineRule="exact"/>
              <w:jc w:val="center"/>
              <w:rPr>
                <w:rFonts w:hint="eastAsia" w:ascii="宋体" w:hAnsi="宋体"/>
                <w:szCs w:val="21"/>
                <w:highlight w:val="none"/>
              </w:rPr>
            </w:pPr>
            <w:r>
              <w:rPr>
                <w:rFonts w:ascii="宋体" w:hAnsi="宋体"/>
                <w:szCs w:val="21"/>
                <w:highlight w:val="none"/>
              </w:rPr>
              <w:t>报价方式</w:t>
            </w:r>
            <w:r>
              <w:rPr>
                <w:rFonts w:hint="eastAsia" w:ascii="宋体" w:hAnsi="宋体"/>
                <w:szCs w:val="21"/>
                <w:highlight w:val="none"/>
              </w:rPr>
              <w:t xml:space="preserve"> </w:t>
            </w:r>
          </w:p>
        </w:tc>
        <w:tc>
          <w:tcPr>
            <w:tcW w:w="7146" w:type="dxa"/>
            <w:vAlign w:val="center"/>
          </w:tcPr>
          <w:p w14:paraId="02E6E6F0">
            <w:pPr>
              <w:adjustRightInd w:val="0"/>
              <w:snapToGrid w:val="0"/>
              <w:spacing w:line="340" w:lineRule="exact"/>
              <w:rPr>
                <w:rFonts w:hint="eastAsia" w:ascii="黑体" w:hAnsi="黑体" w:eastAsia="黑体"/>
                <w:szCs w:val="21"/>
                <w:highlight w:val="none"/>
              </w:rPr>
            </w:pPr>
            <w:r>
              <w:rPr>
                <w:rFonts w:hint="eastAsia" w:ascii="黑体" w:hAnsi="黑体" w:eastAsia="黑体"/>
                <w:kern w:val="0"/>
                <w:szCs w:val="21"/>
                <w:highlight w:val="none"/>
              </w:rPr>
              <w:t>总价</w:t>
            </w:r>
          </w:p>
        </w:tc>
      </w:tr>
      <w:tr w14:paraId="08EE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FC3B0F1">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3.2.4</w:t>
            </w:r>
          </w:p>
        </w:tc>
        <w:tc>
          <w:tcPr>
            <w:tcW w:w="1608" w:type="dxa"/>
            <w:vAlign w:val="center"/>
          </w:tcPr>
          <w:p w14:paraId="6167C9B7">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最高投标限价</w:t>
            </w:r>
          </w:p>
        </w:tc>
        <w:tc>
          <w:tcPr>
            <w:tcW w:w="7146" w:type="dxa"/>
            <w:vAlign w:val="center"/>
          </w:tcPr>
          <w:p w14:paraId="13D99415">
            <w:pPr>
              <w:spacing w:line="3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无</w:t>
            </w:r>
          </w:p>
          <w:p w14:paraId="65B26C36">
            <w:pPr>
              <w:autoSpaceDE w:val="0"/>
              <w:autoSpaceDN w:val="0"/>
              <w:adjustRightInd w:val="0"/>
              <w:snapToGrid w:val="0"/>
              <w:spacing w:line="340" w:lineRule="exact"/>
              <w:rPr>
                <w:rFonts w:hint="eastAsia" w:ascii="黑体" w:hAnsi="黑体" w:eastAsia="黑体" w:cs="宋体"/>
                <w:kern w:val="0"/>
                <w:szCs w:val="21"/>
                <w:highlight w:val="none"/>
                <w:u w:val="single"/>
                <w:bdr w:val="single" w:color="auto" w:sz="4" w:space="0"/>
                <w:lang w:val="zh-CN"/>
              </w:rPr>
            </w:pPr>
            <w:r>
              <w:rPr>
                <w:rFonts w:ascii="黑体" w:hAnsi="黑体" w:eastAsia="黑体"/>
                <w:color w:val="000000" w:themeColor="text1"/>
                <w:szCs w:val="21"/>
                <w:highlight w:val="none"/>
                <w14:textFill>
                  <w14:solidFill>
                    <w14:schemeClr w14:val="tx1"/>
                  </w14:solidFill>
                </w14:textFill>
              </w:rPr>
              <w:fldChar w:fldCharType="begin"/>
            </w:r>
            <w:r>
              <w:rPr>
                <w:rFonts w:hint="eastAsia" w:ascii="黑体" w:hAnsi="黑体" w:eastAsia="黑体"/>
                <w:color w:val="000000" w:themeColor="text1"/>
                <w:szCs w:val="21"/>
                <w:highlight w:val="none"/>
                <w14:textFill>
                  <w14:solidFill>
                    <w14:schemeClr w14:val="tx1"/>
                  </w14:solidFill>
                </w14:textFill>
              </w:rPr>
              <w:instrText xml:space="preserve">eq \o\ac(□,√)</w:instrText>
            </w:r>
            <w:r>
              <w:rPr>
                <w:rFonts w:ascii="黑体" w:hAnsi="黑体" w:eastAsia="黑体"/>
                <w:color w:val="000000" w:themeColor="text1"/>
                <w:szCs w:val="21"/>
                <w:highlight w:val="none"/>
                <w14:textFill>
                  <w14:solidFill>
                    <w14:schemeClr w14:val="tx1"/>
                  </w14:solidFill>
                </w14:textFill>
              </w:rPr>
              <w:fldChar w:fldCharType="end"/>
            </w:r>
            <w:r>
              <w:rPr>
                <w:rFonts w:hint="eastAsia" w:ascii="黑体" w:hAnsi="黑体" w:eastAsia="黑体"/>
                <w:color w:val="000000" w:themeColor="text1"/>
                <w:szCs w:val="21"/>
                <w:highlight w:val="none"/>
                <w14:textFill>
                  <w14:solidFill>
                    <w14:schemeClr w14:val="tx1"/>
                  </w14:solidFill>
                </w14:textFill>
              </w:rPr>
              <w:t>有，最高投标限价：3,760,000元（不设暂列金额）</w:t>
            </w:r>
            <w:r>
              <w:rPr>
                <w:rFonts w:hint="eastAsia" w:ascii="黑体" w:hAnsi="黑体" w:eastAsia="黑体" w:cs="宋体"/>
                <w:color w:val="000000" w:themeColor="text1"/>
                <w:szCs w:val="21"/>
                <w:highlight w:val="none"/>
                <w14:textFill>
                  <w14:solidFill>
                    <w14:schemeClr w14:val="tx1"/>
                  </w14:solidFill>
                </w14:textFill>
              </w:rPr>
              <w:t>。</w:t>
            </w:r>
          </w:p>
        </w:tc>
      </w:tr>
      <w:tr w14:paraId="1DD4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375AD042">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3.2.5</w:t>
            </w:r>
          </w:p>
        </w:tc>
        <w:tc>
          <w:tcPr>
            <w:tcW w:w="1608" w:type="dxa"/>
            <w:vAlign w:val="center"/>
          </w:tcPr>
          <w:p w14:paraId="31F44D38">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投标报价的其他要求</w:t>
            </w:r>
          </w:p>
        </w:tc>
        <w:tc>
          <w:tcPr>
            <w:tcW w:w="7146" w:type="dxa"/>
            <w:vAlign w:val="center"/>
          </w:tcPr>
          <w:p w14:paraId="04431DA3">
            <w:pPr>
              <w:autoSpaceDE w:val="0"/>
              <w:autoSpaceDN w:val="0"/>
              <w:adjustRightInd w:val="0"/>
              <w:snapToGrid w:val="0"/>
              <w:spacing w:line="340" w:lineRule="exact"/>
              <w:rPr>
                <w:rFonts w:hint="eastAsia" w:ascii="宋体" w:hAnsi="宋体"/>
                <w:kern w:val="0"/>
                <w:szCs w:val="21"/>
                <w:highlight w:val="none"/>
              </w:rPr>
            </w:pPr>
            <w:r>
              <w:rPr>
                <w:rFonts w:hint="eastAsia" w:ascii="宋体" w:hAnsi="宋体"/>
                <w:color w:val="000000" w:themeColor="text1"/>
                <w:szCs w:val="21"/>
                <w:highlight w:val="none"/>
                <w14:textFill>
                  <w14:solidFill>
                    <w14:schemeClr w14:val="tx1"/>
                  </w14:solidFill>
                </w14:textFill>
              </w:rPr>
              <w:t>/</w:t>
            </w:r>
          </w:p>
        </w:tc>
      </w:tr>
      <w:tr w14:paraId="4A10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19E8710">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3.4.1</w:t>
            </w:r>
          </w:p>
        </w:tc>
        <w:tc>
          <w:tcPr>
            <w:tcW w:w="1608" w:type="dxa"/>
            <w:vAlign w:val="center"/>
          </w:tcPr>
          <w:p w14:paraId="39B03260">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投标保证金</w:t>
            </w:r>
          </w:p>
        </w:tc>
        <w:tc>
          <w:tcPr>
            <w:tcW w:w="7146" w:type="dxa"/>
            <w:vAlign w:val="center"/>
          </w:tcPr>
          <w:p w14:paraId="3789643E">
            <w:pPr>
              <w:spacing w:line="340" w:lineRule="exact"/>
              <w:rPr>
                <w:rFonts w:hint="eastAsia" w:ascii="宋体" w:hAnsi="宋体"/>
                <w:szCs w:val="21"/>
                <w:highlight w:val="none"/>
              </w:rPr>
            </w:pPr>
            <w:r>
              <w:rPr>
                <w:rFonts w:hint="eastAsia" w:ascii="宋体" w:hAnsi="宋体"/>
                <w:kern w:val="0"/>
                <w:szCs w:val="18"/>
                <w:highlight w:val="none"/>
                <w:lang w:val="zh-CN"/>
              </w:rPr>
              <w:t>投标保证金的金额</w:t>
            </w:r>
            <w:r>
              <w:rPr>
                <w:rFonts w:hint="eastAsia" w:ascii="宋体" w:hAnsi="宋体"/>
                <w:szCs w:val="21"/>
                <w:highlight w:val="none"/>
              </w:rPr>
              <w:t>：3万元</w:t>
            </w:r>
          </w:p>
          <w:p w14:paraId="422A6C2E">
            <w:pPr>
              <w:adjustRightInd w:val="0"/>
              <w:snapToGrid w:val="0"/>
              <w:spacing w:line="340" w:lineRule="exact"/>
              <w:ind w:left="21"/>
              <w:jc w:val="left"/>
              <w:rPr>
                <w:rFonts w:hint="eastAsia" w:ascii="宋体" w:hAnsi="宋体"/>
                <w:szCs w:val="21"/>
                <w:highlight w:val="none"/>
              </w:rPr>
            </w:pPr>
            <w:bookmarkStart w:id="17" w:name="OLE_LINK30"/>
            <w:r>
              <w:rPr>
                <w:rFonts w:hint="eastAsia" w:ascii="宋体" w:hAnsi="宋体"/>
                <w:szCs w:val="21"/>
                <w:highlight w:val="none"/>
              </w:rPr>
              <w:t>投标保证金的形式：现金、支票或在吉林省公共资源交易一体化平台开展电子保函担保业务的第三方服务机构提供的电子保函。</w:t>
            </w:r>
          </w:p>
          <w:bookmarkEnd w:id="17"/>
          <w:p w14:paraId="7085057D">
            <w:pPr>
              <w:adjustRightInd w:val="0"/>
              <w:snapToGrid w:val="0"/>
              <w:spacing w:line="340" w:lineRule="exact"/>
              <w:ind w:left="21"/>
              <w:jc w:val="left"/>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1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①</w:t>
            </w:r>
            <w:r>
              <w:rPr>
                <w:rFonts w:ascii="宋体" w:hAnsi="宋体"/>
                <w:szCs w:val="21"/>
                <w:highlight w:val="none"/>
              </w:rPr>
              <w:fldChar w:fldCharType="end"/>
            </w:r>
            <w:r>
              <w:rPr>
                <w:rFonts w:hint="eastAsia" w:ascii="宋体" w:hAnsi="宋体"/>
                <w:szCs w:val="21"/>
                <w:highlight w:val="none"/>
              </w:rPr>
              <w:t>采用现金或支票形式的：应由投标人的基本账户一次性汇入招标人指定账户。投标人</w:t>
            </w:r>
            <w:r>
              <w:rPr>
                <w:rFonts w:ascii="宋体" w:hAnsi="宋体"/>
                <w:szCs w:val="21"/>
                <w:highlight w:val="none"/>
              </w:rPr>
              <w:t>应保证</w:t>
            </w:r>
            <w:r>
              <w:rPr>
                <w:rFonts w:hint="eastAsia" w:ascii="宋体" w:hAnsi="宋体"/>
                <w:szCs w:val="21"/>
                <w:highlight w:val="none"/>
              </w:rPr>
              <w:t>上述款项</w:t>
            </w:r>
            <w:r>
              <w:rPr>
                <w:rFonts w:ascii="宋体" w:hAnsi="宋体"/>
                <w:szCs w:val="21"/>
                <w:highlight w:val="none"/>
              </w:rPr>
              <w:t>在</w:t>
            </w:r>
            <w:r>
              <w:rPr>
                <w:rFonts w:hint="eastAsia" w:ascii="宋体" w:hAnsi="宋体"/>
                <w:szCs w:val="21"/>
                <w:highlight w:val="none"/>
              </w:rPr>
              <w:t>投标截止时间前</w:t>
            </w:r>
            <w:r>
              <w:rPr>
                <w:rFonts w:ascii="宋体" w:hAnsi="宋体"/>
                <w:szCs w:val="21"/>
                <w:highlight w:val="none"/>
              </w:rPr>
              <w:t>到达</w:t>
            </w:r>
            <w:r>
              <w:rPr>
                <w:rFonts w:hint="eastAsia" w:ascii="宋体" w:hAnsi="宋体"/>
                <w:szCs w:val="21"/>
                <w:highlight w:val="none"/>
              </w:rPr>
              <w:t>招</w:t>
            </w:r>
            <w:r>
              <w:rPr>
                <w:rFonts w:ascii="宋体" w:hAnsi="宋体"/>
                <w:szCs w:val="21"/>
                <w:highlight w:val="none"/>
              </w:rPr>
              <w:t>标人指定账户，否则视为</w:t>
            </w:r>
            <w:r>
              <w:rPr>
                <w:rFonts w:hint="eastAsia" w:ascii="宋体" w:hAnsi="宋体"/>
                <w:szCs w:val="21"/>
                <w:highlight w:val="none"/>
              </w:rPr>
              <w:t>投</w:t>
            </w:r>
            <w:r>
              <w:rPr>
                <w:rFonts w:ascii="宋体" w:hAnsi="宋体"/>
                <w:szCs w:val="21"/>
                <w:highlight w:val="none"/>
              </w:rPr>
              <w:t>标保证金无效。</w:t>
            </w:r>
          </w:p>
          <w:p w14:paraId="3A307203">
            <w:pPr>
              <w:spacing w:line="340" w:lineRule="exact"/>
              <w:ind w:left="21"/>
              <w:jc w:val="left"/>
              <w:rPr>
                <w:rFonts w:hint="eastAsia" w:ascii="宋体" w:hAnsi="宋体"/>
                <w:szCs w:val="21"/>
                <w:highlight w:val="none"/>
              </w:rPr>
            </w:pPr>
            <w:r>
              <w:rPr>
                <w:rFonts w:hint="eastAsia" w:ascii="宋体" w:hAnsi="宋体"/>
                <w:szCs w:val="21"/>
                <w:highlight w:val="none"/>
              </w:rPr>
              <w:t>招标人指定的银行及账号如下：</w:t>
            </w:r>
          </w:p>
          <w:p w14:paraId="6F92C29D">
            <w:pPr>
              <w:spacing w:line="340" w:lineRule="exact"/>
              <w:ind w:left="21" w:firstLine="420" w:firstLineChars="200"/>
              <w:jc w:val="left"/>
              <w:rPr>
                <w:rFonts w:hint="eastAsia" w:ascii="黑体" w:hAnsi="黑体" w:eastAsia="黑体"/>
                <w:szCs w:val="21"/>
                <w:highlight w:val="none"/>
              </w:rPr>
            </w:pPr>
            <w:r>
              <w:rPr>
                <w:rFonts w:hint="eastAsia" w:ascii="黑体" w:hAnsi="黑体" w:eastAsia="黑体"/>
                <w:szCs w:val="21"/>
                <w:highlight w:val="none"/>
              </w:rPr>
              <w:t xml:space="preserve">开户名称：吉林省伟邦公路技术有限公司 </w:t>
            </w:r>
          </w:p>
          <w:p w14:paraId="6C4105F5">
            <w:pPr>
              <w:spacing w:line="340" w:lineRule="exact"/>
              <w:ind w:left="21" w:firstLine="420" w:firstLineChars="200"/>
              <w:jc w:val="left"/>
              <w:rPr>
                <w:rFonts w:hint="eastAsia" w:ascii="黑体" w:hAnsi="黑体" w:eastAsia="黑体"/>
                <w:szCs w:val="21"/>
                <w:highlight w:val="none"/>
              </w:rPr>
            </w:pPr>
            <w:r>
              <w:rPr>
                <w:rFonts w:hint="eastAsia" w:ascii="黑体" w:hAnsi="黑体" w:eastAsia="黑体"/>
                <w:szCs w:val="21"/>
                <w:highlight w:val="none"/>
              </w:rPr>
              <w:t xml:space="preserve">开户银行：建设银行九台支行 </w:t>
            </w:r>
          </w:p>
          <w:p w14:paraId="158E6AD6">
            <w:pPr>
              <w:spacing w:line="340" w:lineRule="exact"/>
              <w:ind w:left="441"/>
              <w:jc w:val="left"/>
              <w:rPr>
                <w:rFonts w:hint="eastAsia" w:ascii="宋体" w:hAnsi="宋体"/>
                <w:szCs w:val="21"/>
                <w:highlight w:val="none"/>
              </w:rPr>
            </w:pPr>
            <w:r>
              <w:rPr>
                <w:rFonts w:hint="eastAsia" w:ascii="黑体" w:hAnsi="黑体" w:eastAsia="黑体"/>
                <w:szCs w:val="21"/>
                <w:highlight w:val="none"/>
              </w:rPr>
              <w:t>银行账号：22001390100055001391</w:t>
            </w:r>
            <w:r>
              <w:rPr>
                <w:rFonts w:ascii="黑体" w:hAnsi="黑体" w:eastAsia="黑体"/>
                <w:szCs w:val="21"/>
                <w:highlight w:val="none"/>
              </w:rPr>
              <w:cr/>
            </w:r>
            <w:r>
              <w:rPr>
                <w:rFonts w:hint="eastAsia" w:ascii="宋体" w:hAnsi="宋体"/>
                <w:szCs w:val="21"/>
                <w:highlight w:val="none"/>
              </w:rPr>
              <w:t>银行转账业务备注栏填写：</w:t>
            </w:r>
            <w:r>
              <w:rPr>
                <w:rFonts w:hint="eastAsia" w:ascii="黑体" w:hAnsi="黑体" w:eastAsia="黑体"/>
                <w:szCs w:val="21"/>
                <w:highlight w:val="none"/>
              </w:rPr>
              <w:t>“漫临线勘察设计投标保证金”</w:t>
            </w:r>
            <w:r>
              <w:rPr>
                <w:rFonts w:hint="eastAsia" w:ascii="宋体" w:hAnsi="宋体"/>
                <w:szCs w:val="21"/>
                <w:highlight w:val="none"/>
              </w:rPr>
              <w:t>。</w:t>
            </w:r>
          </w:p>
          <w:p w14:paraId="5439D793">
            <w:pPr>
              <w:adjustRightInd w:val="0"/>
              <w:snapToGrid w:val="0"/>
              <w:spacing w:line="340" w:lineRule="exact"/>
              <w:rPr>
                <w:rFonts w:hint="eastAsia" w:ascii="宋体" w:hAnsi="宋体"/>
                <w:kern w:val="0"/>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 2 \* GB3</w:instrText>
            </w:r>
            <w:r>
              <w:rPr>
                <w:rFonts w:ascii="宋体" w:hAnsi="宋体"/>
                <w:szCs w:val="21"/>
                <w:highlight w:val="none"/>
              </w:rPr>
              <w:instrText xml:space="preserve"> </w:instrText>
            </w:r>
            <w:r>
              <w:rPr>
                <w:rFonts w:ascii="宋体" w:hAnsi="宋体"/>
                <w:szCs w:val="21"/>
                <w:highlight w:val="none"/>
              </w:rPr>
              <w:fldChar w:fldCharType="separate"/>
            </w:r>
            <w:r>
              <w:rPr>
                <w:rFonts w:hint="eastAsia" w:ascii="宋体" w:hAnsi="宋体"/>
                <w:szCs w:val="21"/>
                <w:highlight w:val="none"/>
              </w:rPr>
              <w:t>②</w:t>
            </w:r>
            <w:r>
              <w:rPr>
                <w:rFonts w:ascii="宋体" w:hAnsi="宋体"/>
                <w:szCs w:val="21"/>
                <w:highlight w:val="none"/>
              </w:rPr>
              <w:fldChar w:fldCharType="end"/>
            </w:r>
            <w:r>
              <w:rPr>
                <w:rFonts w:hint="eastAsia" w:ascii="宋体" w:hAnsi="宋体"/>
                <w:szCs w:val="21"/>
                <w:highlight w:val="none"/>
              </w:rPr>
              <w:t>采用电子保函形式的，应采用在吉林省公共资源交易一体化平台开展电子保函担保业务的第三方服务机构提供的电子保函。</w:t>
            </w:r>
          </w:p>
        </w:tc>
      </w:tr>
      <w:tr w14:paraId="31F1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46ECF9F">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3.4.3</w:t>
            </w:r>
          </w:p>
        </w:tc>
        <w:tc>
          <w:tcPr>
            <w:tcW w:w="1608" w:type="dxa"/>
            <w:vAlign w:val="center"/>
          </w:tcPr>
          <w:p w14:paraId="0A1FF6C8">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投标保证金的</w:t>
            </w:r>
            <w:r>
              <w:rPr>
                <w:rFonts w:ascii="宋体" w:hAnsi="宋体"/>
                <w:szCs w:val="21"/>
                <w:highlight w:val="none"/>
              </w:rPr>
              <w:br w:type="textWrapping"/>
            </w:r>
            <w:r>
              <w:rPr>
                <w:rFonts w:hint="eastAsia" w:ascii="宋体" w:hAnsi="宋体"/>
                <w:szCs w:val="21"/>
                <w:highlight w:val="none"/>
              </w:rPr>
              <w:t>利息计算原则</w:t>
            </w:r>
          </w:p>
        </w:tc>
        <w:tc>
          <w:tcPr>
            <w:tcW w:w="7146" w:type="dxa"/>
            <w:vAlign w:val="center"/>
          </w:tcPr>
          <w:p w14:paraId="074B1F57">
            <w:pPr>
              <w:pStyle w:val="15"/>
              <w:pBdr>
                <w:bottom w:val="none" w:color="auto" w:sz="0" w:space="0"/>
              </w:pBdr>
              <w:tabs>
                <w:tab w:val="clear" w:pos="4153"/>
                <w:tab w:val="clear" w:pos="8306"/>
              </w:tabs>
              <w:autoSpaceDE w:val="0"/>
              <w:autoSpaceDN w:val="0"/>
              <w:adjustRightInd w:val="0"/>
              <w:spacing w:line="340" w:lineRule="exact"/>
              <w:jc w:val="both"/>
              <w:rPr>
                <w:rFonts w:hint="eastAsia" w:ascii="宋体" w:hAnsi="宋体"/>
                <w:sz w:val="21"/>
                <w:szCs w:val="21"/>
                <w:highlight w:val="none"/>
              </w:rPr>
            </w:pPr>
            <w:r>
              <w:rPr>
                <w:rFonts w:hint="eastAsia" w:ascii="宋体" w:hAnsi="宋体"/>
                <w:sz w:val="21"/>
                <w:szCs w:val="21"/>
                <w:highlight w:val="none"/>
              </w:rPr>
              <w:t>（1）计算利息的起始日期为投标截止当日，终止日期为招标人退还投标保证金日期的前一日；</w:t>
            </w:r>
          </w:p>
          <w:p w14:paraId="67FE076C">
            <w:pPr>
              <w:pStyle w:val="15"/>
              <w:pBdr>
                <w:bottom w:val="none" w:color="auto" w:sz="0" w:space="0"/>
              </w:pBdr>
              <w:tabs>
                <w:tab w:val="clear" w:pos="4153"/>
                <w:tab w:val="clear" w:pos="8306"/>
              </w:tabs>
              <w:autoSpaceDE w:val="0"/>
              <w:autoSpaceDN w:val="0"/>
              <w:adjustRightInd w:val="0"/>
              <w:spacing w:line="340" w:lineRule="exact"/>
              <w:jc w:val="both"/>
              <w:rPr>
                <w:rFonts w:hint="eastAsia" w:ascii="宋体" w:hAnsi="宋体"/>
                <w:sz w:val="21"/>
                <w:szCs w:val="21"/>
                <w:highlight w:val="none"/>
              </w:rPr>
            </w:pPr>
            <w:r>
              <w:rPr>
                <w:rFonts w:hint="eastAsia" w:ascii="宋体" w:hAnsi="宋体"/>
                <w:sz w:val="21"/>
                <w:szCs w:val="21"/>
                <w:highlight w:val="none"/>
              </w:rPr>
              <w:t>（2）投标保证金的利息按照第（1）款所述计息时间段内招标人指定汇入银行公告的活期存款利率计付，并扣除招标人汇款手续费；</w:t>
            </w:r>
          </w:p>
          <w:p w14:paraId="176FAAA1">
            <w:pPr>
              <w:pStyle w:val="15"/>
              <w:pBdr>
                <w:bottom w:val="none" w:color="auto" w:sz="0" w:space="0"/>
              </w:pBdr>
              <w:tabs>
                <w:tab w:val="clear" w:pos="4153"/>
                <w:tab w:val="clear" w:pos="8306"/>
              </w:tabs>
              <w:autoSpaceDE w:val="0"/>
              <w:autoSpaceDN w:val="0"/>
              <w:adjustRightInd w:val="0"/>
              <w:spacing w:line="340" w:lineRule="exact"/>
              <w:jc w:val="both"/>
              <w:rPr>
                <w:rFonts w:hint="eastAsia" w:ascii="宋体" w:hAnsi="宋体"/>
                <w:sz w:val="21"/>
                <w:szCs w:val="21"/>
                <w:highlight w:val="none"/>
              </w:rPr>
            </w:pPr>
            <w:r>
              <w:rPr>
                <w:rFonts w:hint="eastAsia" w:ascii="宋体" w:hAnsi="宋体"/>
                <w:sz w:val="21"/>
                <w:szCs w:val="21"/>
                <w:highlight w:val="none"/>
              </w:rPr>
              <w:t>（3）利息金额计算至分位，分以下尾数四舍五入。</w:t>
            </w:r>
          </w:p>
        </w:tc>
      </w:tr>
      <w:tr w14:paraId="188C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EB957E2">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3.4.4</w:t>
            </w:r>
          </w:p>
        </w:tc>
        <w:tc>
          <w:tcPr>
            <w:tcW w:w="1608" w:type="dxa"/>
            <w:vAlign w:val="center"/>
          </w:tcPr>
          <w:p w14:paraId="476D4501">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其他可以不予退还投标保证金的情形</w:t>
            </w:r>
          </w:p>
        </w:tc>
        <w:tc>
          <w:tcPr>
            <w:tcW w:w="7146" w:type="dxa"/>
            <w:vAlign w:val="center"/>
          </w:tcPr>
          <w:p w14:paraId="45FD1147">
            <w:pPr>
              <w:adjustRightInd w:val="0"/>
              <w:snapToGrid w:val="0"/>
              <w:spacing w:line="340" w:lineRule="exact"/>
              <w:rPr>
                <w:rFonts w:hint="eastAsia" w:ascii="黑体" w:hAnsi="宋体" w:eastAsia="黑体"/>
                <w:sz w:val="24"/>
                <w:highlight w:val="none"/>
              </w:rPr>
            </w:pPr>
            <w:r>
              <w:rPr>
                <w:rFonts w:hint="eastAsia" w:ascii="黑体" w:hAnsi="宋体" w:eastAsia="黑体"/>
                <w:sz w:val="24"/>
                <w:highlight w:val="none"/>
              </w:rPr>
              <w:t>/</w:t>
            </w:r>
          </w:p>
        </w:tc>
      </w:tr>
      <w:tr w14:paraId="2F05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74CDC97">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3.5</w:t>
            </w:r>
          </w:p>
        </w:tc>
        <w:tc>
          <w:tcPr>
            <w:tcW w:w="1608" w:type="dxa"/>
            <w:vAlign w:val="center"/>
          </w:tcPr>
          <w:p w14:paraId="0AB781D2">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资格审查资料的特殊要求</w:t>
            </w:r>
          </w:p>
        </w:tc>
        <w:tc>
          <w:tcPr>
            <w:tcW w:w="7146" w:type="dxa"/>
            <w:vAlign w:val="center"/>
          </w:tcPr>
          <w:p w14:paraId="0F2EE65D">
            <w:pPr>
              <w:adjustRightInd w:val="0"/>
              <w:snapToGrid w:val="0"/>
              <w:spacing w:line="340" w:lineRule="exact"/>
              <w:rPr>
                <w:rFonts w:hint="eastAsia" w:ascii="宋体" w:hAnsi="宋体"/>
                <w:szCs w:val="21"/>
                <w:highlight w:val="none"/>
              </w:rPr>
            </w:pPr>
            <w:r>
              <w:rPr>
                <w:rFonts w:hint="eastAsia" w:ascii="宋体" w:hAnsi="宋体"/>
                <w:szCs w:val="21"/>
                <w:highlight w:val="none"/>
              </w:rPr>
              <w:t>投标人应按下列规定提供资格审查资料：</w:t>
            </w:r>
          </w:p>
          <w:p w14:paraId="15484066">
            <w:pPr>
              <w:autoSpaceDE w:val="0"/>
              <w:autoSpaceDN w:val="0"/>
              <w:adjustRightInd w:val="0"/>
              <w:snapToGrid w:val="0"/>
              <w:spacing w:line="340" w:lineRule="exact"/>
              <w:ind w:firstLine="420" w:firstLineChars="200"/>
              <w:rPr>
                <w:rFonts w:hint="eastAsia" w:ascii="宋体" w:hAnsi="宋体"/>
                <w:szCs w:val="21"/>
                <w:highlight w:val="none"/>
              </w:rPr>
            </w:pPr>
            <w:r>
              <w:rPr>
                <w:rFonts w:hint="eastAsia" w:ascii="黑体" w:hAnsi="黑体" w:eastAsia="黑体"/>
                <w:szCs w:val="21"/>
                <w:highlight w:val="none"/>
              </w:rPr>
              <w:t>1．“投标人基本情况表”</w:t>
            </w:r>
            <w:r>
              <w:rPr>
                <w:rFonts w:hint="eastAsia" w:ascii="宋体" w:hAnsi="宋体"/>
                <w:szCs w:val="21"/>
                <w:highlight w:val="none"/>
              </w:rPr>
              <w:t>应附：企业法人营业执照（或事业单位法人证书）副本或电子证照、勘察资质证书副本或电子证照、设计资质证书副本或电子证照、基本账户证明材料的复印件；投标人在交通运输部“全国公路建设市场监督管理系统”公路工程设计资质企业名录中的网页截图复印件，以及投标人在国家企业信用信息公示系统中基础信息（体现股东及出资详细信息）的网页截图复印件（事业单位法人不需要提供在国家企业信用信息公示系统中的网页截图复印件）。</w:t>
            </w:r>
          </w:p>
          <w:p w14:paraId="0FDB4EE4">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企业法人营业执照（或事业单位法人证书）副本、勘察资质证书副本、设计资质证书副本、基本账户证明材料的复印件应提供全本（证书封面、封底、空白页除外），应包括投标人名称、投标人其他相关信息、颁发机构名称、投标人信息变更情况等关键页在内，并逐页加盖投标人单位章。</w:t>
            </w:r>
          </w:p>
          <w:p w14:paraId="6B6E3F64">
            <w:pPr>
              <w:adjustRightInd w:val="0"/>
              <w:snapToGrid w:val="0"/>
              <w:spacing w:line="340" w:lineRule="exact"/>
              <w:ind w:firstLine="420" w:firstLineChars="200"/>
              <w:rPr>
                <w:rFonts w:hint="eastAsia" w:ascii="黑体" w:hAnsi="黑体" w:eastAsia="黑体"/>
                <w:szCs w:val="21"/>
                <w:highlight w:val="none"/>
              </w:rPr>
            </w:pPr>
            <w:r>
              <w:rPr>
                <w:rFonts w:hint="eastAsia" w:ascii="黑体" w:hAnsi="黑体" w:eastAsia="黑体"/>
                <w:szCs w:val="21"/>
                <w:highlight w:val="none"/>
              </w:rPr>
              <w:t>以联合体形式参与投标的，联合体各成员应分别填写。</w:t>
            </w:r>
          </w:p>
          <w:p w14:paraId="0F3BA423">
            <w:pPr>
              <w:autoSpaceDE w:val="0"/>
              <w:autoSpaceDN w:val="0"/>
              <w:adjustRightInd w:val="0"/>
              <w:snapToGrid w:val="0"/>
              <w:spacing w:before="156" w:beforeLines="50" w:line="3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黑体" w:hAnsi="黑体" w:eastAsia="黑体"/>
                <w:szCs w:val="21"/>
                <w:highlight w:val="none"/>
              </w:rPr>
              <w:t>2．“近年完成的类似项目”</w:t>
            </w:r>
            <w:r>
              <w:rPr>
                <w:rFonts w:hint="eastAsia" w:ascii="宋体" w:hAnsi="宋体"/>
                <w:szCs w:val="21"/>
                <w:highlight w:val="none"/>
              </w:rPr>
              <w:t>应是</w:t>
            </w:r>
            <w:r>
              <w:rPr>
                <w:rFonts w:hint="eastAsia" w:ascii="宋体" w:hAnsi="宋体"/>
                <w:color w:val="000000" w:themeColor="text1"/>
                <w:szCs w:val="21"/>
                <w:highlight w:val="none"/>
                <w14:textFill>
                  <w14:solidFill>
                    <w14:schemeClr w14:val="tx1"/>
                  </w14:solidFill>
                </w14:textFill>
              </w:rPr>
              <w:t>已列入交通运输部“全国公路建设市场监督管理系统”或省级交通运输主管部门“公路建设市场信用信息管理系统”并公开的</w:t>
            </w:r>
            <w:r>
              <w:rPr>
                <w:rFonts w:hint="eastAsia" w:ascii="宋体" w:hAnsi="宋体"/>
                <w:szCs w:val="21"/>
                <w:highlight w:val="none"/>
              </w:rPr>
              <w:t>主包或分包业绩，具体时间要求</w:t>
            </w:r>
            <w:r>
              <w:rPr>
                <w:rFonts w:hint="eastAsia" w:ascii="黑体" w:hAnsi="黑体" w:eastAsia="黑体"/>
                <w:szCs w:val="21"/>
                <w:highlight w:val="none"/>
              </w:rPr>
              <w:t>为</w:t>
            </w:r>
            <w:r>
              <w:rPr>
                <w:rFonts w:hint="eastAsia" w:ascii="黑体" w:hAnsi="黑体" w:eastAsia="黑体"/>
                <w:color w:val="000000" w:themeColor="text1"/>
                <w:highlight w:val="none"/>
                <w14:textFill>
                  <w14:solidFill>
                    <w14:schemeClr w14:val="tx1"/>
                  </w14:solidFill>
                </w14:textFill>
              </w:rPr>
              <w:t>2021年1月1日至投标截止时间</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以相应的批复时间为准）。</w:t>
            </w:r>
          </w:p>
          <w:p w14:paraId="58E06C15">
            <w:pPr>
              <w:autoSpaceDE w:val="0"/>
              <w:autoSpaceDN w:val="0"/>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近年完成的类似项目情况表”应附：在交通运输部“全国公路建设市场监督管理系统”中查询到的企业“业绩信息”相关项目网页截图复印件，即包括“工程名称”“项目类型”“合同价”“技术等级”“主要设计内容”“人员履约信息”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w:t>
            </w:r>
            <w:r>
              <w:rPr>
                <w:rFonts w:hint="eastAsia" w:ascii="黑体" w:hAnsi="黑体" w:eastAsia="黑体"/>
                <w:szCs w:val="21"/>
                <w:highlight w:val="none"/>
              </w:rPr>
              <w:t>如网页截图不能体现招标文件规定的评标办法企业业绩要求时，投标人还须提供其它业绩补充证明材料（如合同协议书、设计批复文件或发包人出具的其他业绩证明的复印件）。</w:t>
            </w:r>
          </w:p>
          <w:p w14:paraId="198D5D98">
            <w:pPr>
              <w:adjustRightInd w:val="0"/>
              <w:snapToGrid w:val="0"/>
              <w:spacing w:line="340" w:lineRule="exact"/>
              <w:ind w:firstLine="420" w:firstLineChars="200"/>
              <w:rPr>
                <w:rFonts w:hint="eastAsia" w:ascii="楷体" w:hAnsi="楷体" w:eastAsia="楷体"/>
                <w:color w:val="000000" w:themeColor="text1"/>
                <w:szCs w:val="21"/>
                <w:highlight w:val="none"/>
                <w14:textFill>
                  <w14:solidFill>
                    <w14:schemeClr w14:val="tx1"/>
                  </w14:solidFill>
                </w14:textFill>
              </w:rPr>
            </w:pPr>
            <w:r>
              <w:rPr>
                <w:rFonts w:hint="eastAsia" w:ascii="宋体" w:hAnsi="宋体"/>
                <w:szCs w:val="21"/>
                <w:highlight w:val="none"/>
              </w:rPr>
              <w:t>如投标人未提供相关项目网页截图复印件或以上证明材料无法证实投标人满足招标文件评标办法的相关要求时，则该项目业绩不予认定。</w:t>
            </w:r>
          </w:p>
          <w:p w14:paraId="12821CB4">
            <w:pPr>
              <w:autoSpaceDE w:val="0"/>
              <w:autoSpaceDN w:val="0"/>
              <w:adjustRightInd w:val="0"/>
              <w:snapToGrid w:val="0"/>
              <w:spacing w:before="156" w:beforeLines="50" w:line="340" w:lineRule="exact"/>
              <w:ind w:firstLine="420" w:firstLineChars="200"/>
              <w:rPr>
                <w:rFonts w:hint="eastAsia" w:ascii="黑体" w:hAnsi="黑体" w:eastAsia="黑体"/>
                <w:szCs w:val="21"/>
                <w:highlight w:val="none"/>
              </w:rPr>
            </w:pPr>
            <w:r>
              <w:rPr>
                <w:rFonts w:hint="eastAsia" w:ascii="黑体" w:hAnsi="黑体" w:eastAsia="黑体"/>
                <w:szCs w:val="21"/>
                <w:highlight w:val="none"/>
              </w:rPr>
              <w:t>3．“投标人的信誉情况表”</w:t>
            </w:r>
            <w:r>
              <w:rPr>
                <w:rFonts w:hint="eastAsia" w:ascii="宋体" w:hAnsi="宋体"/>
                <w:szCs w:val="21"/>
                <w:highlight w:val="none"/>
              </w:rPr>
              <w:t>应附：投标人在国家企业信用信息公示系统中未被列入严重违法失信企业名单、在“信用中国”网站或“中国执行信息公开网”中未被列入失信被执行人名单的网页截图复印件，以及由投标人出具的近三年内投标人及其法定代表人、拟委任的项目负责人均无行贿犯罪行为的承诺函</w:t>
            </w:r>
            <w:r>
              <w:rPr>
                <w:rFonts w:hint="eastAsia" w:ascii="黑体" w:hAnsi="黑体" w:eastAsia="黑体"/>
                <w:szCs w:val="21"/>
                <w:highlight w:val="none"/>
              </w:rPr>
              <w:t>（</w:t>
            </w:r>
            <w:r>
              <w:rPr>
                <w:rFonts w:hint="eastAsia" w:ascii="楷体" w:hAnsi="楷体" w:eastAsia="楷体"/>
                <w:szCs w:val="21"/>
                <w:highlight w:val="none"/>
              </w:rPr>
              <w:t>格式自拟,由联合体牵头人对拟委任的项目负责人无行贿犯罪行为进行承诺）</w:t>
            </w:r>
            <w:r>
              <w:rPr>
                <w:rFonts w:hint="eastAsia" w:ascii="黑体" w:hAnsi="黑体" w:eastAsia="黑体"/>
                <w:szCs w:val="21"/>
                <w:highlight w:val="none"/>
              </w:rPr>
              <w:t>。</w:t>
            </w:r>
          </w:p>
          <w:p w14:paraId="412899AA">
            <w:pPr>
              <w:autoSpaceDE w:val="0"/>
              <w:autoSpaceDN w:val="0"/>
              <w:adjustRightInd w:val="0"/>
              <w:snapToGrid w:val="0"/>
              <w:spacing w:line="340" w:lineRule="exact"/>
              <w:ind w:firstLine="420" w:firstLineChars="200"/>
              <w:rPr>
                <w:rFonts w:hint="eastAsia" w:ascii="宋体" w:hAnsi="宋体"/>
                <w:szCs w:val="21"/>
                <w:highlight w:val="none"/>
              </w:rPr>
            </w:pPr>
            <w:r>
              <w:rPr>
                <w:rFonts w:hint="eastAsia" w:ascii="黑体" w:hAnsi="黑体" w:eastAsia="黑体"/>
                <w:szCs w:val="21"/>
                <w:highlight w:val="none"/>
              </w:rPr>
              <w:t>以联合体形式参与投标的，联合体各成员应分别填写</w:t>
            </w:r>
            <w:r>
              <w:rPr>
                <w:rFonts w:hint="eastAsia" w:ascii="宋体" w:hAnsi="宋体"/>
                <w:szCs w:val="21"/>
                <w:highlight w:val="none"/>
              </w:rPr>
              <w:t>。</w:t>
            </w:r>
          </w:p>
          <w:p w14:paraId="30DB486F">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投标人（以联合体形式参与投标的，指联合体各成员）有第三章“评标办法前附表”第2.2.4（4）目所述的信用评价结果，应附相应网页截图或证明材料复印件；</w:t>
            </w:r>
            <w:r>
              <w:rPr>
                <w:rFonts w:hint="eastAsia" w:ascii="黑体" w:hAnsi="黑体" w:eastAsia="黑体"/>
                <w:szCs w:val="21"/>
                <w:highlight w:val="none"/>
              </w:rPr>
              <w:t>如投标人（以联合体形式参与投标的，指联合体各成员）无第三章“评标办法前附表”第2.2.</w:t>
            </w:r>
            <w:r>
              <w:rPr>
                <w:rFonts w:ascii="黑体" w:hAnsi="黑体" w:eastAsia="黑体"/>
                <w:szCs w:val="21"/>
                <w:highlight w:val="none"/>
              </w:rPr>
              <w:t>4</w:t>
            </w:r>
            <w:r>
              <w:rPr>
                <w:rFonts w:hint="eastAsia" w:ascii="黑体" w:hAnsi="黑体" w:eastAsia="黑体"/>
                <w:szCs w:val="21"/>
                <w:highlight w:val="none"/>
              </w:rPr>
              <w:t>（4）目要求的信用评价结果，应附信誉声明函</w:t>
            </w:r>
            <w:r>
              <w:rPr>
                <w:rFonts w:hint="eastAsia" w:ascii="宋体" w:hAnsi="宋体"/>
                <w:szCs w:val="21"/>
                <w:highlight w:val="none"/>
              </w:rPr>
              <w:t>（格式自拟，可使用CA数字证书加盖声明单位电子印章或上传盖有声明单位公章的声明函原件扫描件，</w:t>
            </w:r>
            <w:r>
              <w:rPr>
                <w:rFonts w:hint="eastAsia" w:ascii="黑体" w:hAnsi="黑体" w:eastAsia="黑体"/>
                <w:szCs w:val="21"/>
                <w:highlight w:val="none"/>
              </w:rPr>
              <w:t>同时须明确在“全国公路建设市场监督管理系统--不良行为记录”是否有在投标截止时间仍处于处罚期内的不良信用记录</w:t>
            </w:r>
            <w:r>
              <w:rPr>
                <w:rFonts w:hint="eastAsia" w:ascii="宋体" w:hAnsi="宋体"/>
                <w:szCs w:val="21"/>
                <w:highlight w:val="none"/>
              </w:rPr>
              <w:t>）。</w:t>
            </w:r>
          </w:p>
          <w:p w14:paraId="5FFABA92">
            <w:pPr>
              <w:adjustRightInd w:val="0"/>
              <w:snapToGrid w:val="0"/>
              <w:spacing w:before="156" w:beforeLines="50" w:line="340" w:lineRule="exact"/>
              <w:ind w:firstLine="420" w:firstLineChars="200"/>
              <w:rPr>
                <w:rFonts w:hint="eastAsia" w:ascii="宋体" w:hAnsi="宋体"/>
                <w:szCs w:val="21"/>
                <w:highlight w:val="none"/>
              </w:rPr>
            </w:pPr>
            <w:r>
              <w:rPr>
                <w:rFonts w:hint="eastAsia" w:ascii="黑体" w:hAnsi="黑体" w:eastAsia="黑体"/>
                <w:szCs w:val="21"/>
                <w:highlight w:val="none"/>
              </w:rPr>
              <w:t>4．“拟委任的项目负责人资历表”</w:t>
            </w:r>
            <w:r>
              <w:rPr>
                <w:rFonts w:hint="eastAsia" w:ascii="宋体" w:hAnsi="宋体"/>
                <w:szCs w:val="21"/>
                <w:highlight w:val="none"/>
              </w:rPr>
              <w:t>应附：项目负责人的身份证、职称资格证书（如职称资格证书中无专业，还应附毕业证复印件）和资格审查条件所要求的其他相关证书的复印件，以及投标人在社保系统打印的本单位人员（拟委任的项目负责人）缴费明细（如为退休人员，须提供已退休的相关证明材料复印件和与投标人签订的聘用合同复印件）。</w:t>
            </w:r>
          </w:p>
          <w:p w14:paraId="30D44B28">
            <w:pPr>
              <w:autoSpaceDE w:val="0"/>
              <w:autoSpaceDN w:val="0"/>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“拟委任的项目负责人资历表”还应附交通运输部 “全国公路建设市场监督管理系统”中载明的、能够证明项目负责人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w:t>
            </w:r>
            <w:r>
              <w:rPr>
                <w:rFonts w:hint="eastAsia" w:ascii="黑体" w:hAnsi="黑体" w:eastAsia="黑体"/>
                <w:szCs w:val="21"/>
                <w:highlight w:val="none"/>
              </w:rPr>
              <w:t>如网页截图不能体现招标文件规定的评标办法任职业绩加分的要求时，投标人还须提供其它业绩补充证明材料</w:t>
            </w:r>
            <w:r>
              <w:rPr>
                <w:rFonts w:hint="eastAsia" w:ascii="宋体" w:hAnsi="宋体"/>
                <w:szCs w:val="21"/>
                <w:highlight w:val="none"/>
              </w:rPr>
              <w:t>（如合同协议书、设计批复文件或发包人出具的其他业绩证明的复印件）。</w:t>
            </w:r>
          </w:p>
          <w:p w14:paraId="5B540862">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如投标人未提供相关业绩网页截图复印件或以上证明材料中的信息无法证实投标人满足招标文件规定的评标办法任职业绩加分的要求，则该业绩不予认定。</w:t>
            </w:r>
          </w:p>
          <w:p w14:paraId="3CFC1D85">
            <w:pPr>
              <w:adjustRightInd w:val="0"/>
              <w:snapToGrid w:val="0"/>
              <w:spacing w:line="340" w:lineRule="exact"/>
              <w:ind w:firstLine="420" w:firstLineChars="200"/>
              <w:rPr>
                <w:rFonts w:hint="eastAsia" w:ascii="宋体" w:hAnsi="宋体"/>
                <w:sz w:val="24"/>
                <w:highlight w:val="none"/>
              </w:rPr>
            </w:pPr>
            <w:r>
              <w:rPr>
                <w:rFonts w:hint="eastAsia" w:ascii="宋体" w:hAnsi="宋体"/>
                <w:szCs w:val="21"/>
                <w:highlight w:val="none"/>
              </w:rPr>
              <w:t>5．以上证明材料如无法附入投标文件（商务文件）“六、资格审查资料”的相应表格后面时，可附在投标文件（商务文件）“七、其他资料”中。</w:t>
            </w:r>
          </w:p>
        </w:tc>
      </w:tr>
      <w:tr w14:paraId="354F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11D7810">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3.6.1</w:t>
            </w:r>
          </w:p>
        </w:tc>
        <w:tc>
          <w:tcPr>
            <w:tcW w:w="1608" w:type="dxa"/>
            <w:vAlign w:val="center"/>
          </w:tcPr>
          <w:p w14:paraId="2293CD77">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是否允许递交</w:t>
            </w:r>
            <w:r>
              <w:rPr>
                <w:rFonts w:ascii="宋体" w:hAnsi="宋体"/>
                <w:szCs w:val="21"/>
                <w:highlight w:val="none"/>
              </w:rPr>
              <w:br w:type="textWrapping"/>
            </w:r>
            <w:r>
              <w:rPr>
                <w:rFonts w:hint="eastAsia" w:ascii="宋体" w:hAnsi="宋体"/>
                <w:szCs w:val="21"/>
                <w:highlight w:val="none"/>
              </w:rPr>
              <w:t>备选投标方案</w:t>
            </w:r>
          </w:p>
        </w:tc>
        <w:tc>
          <w:tcPr>
            <w:tcW w:w="7146" w:type="dxa"/>
            <w:vAlign w:val="center"/>
          </w:tcPr>
          <w:p w14:paraId="1B3E04EE">
            <w:pPr>
              <w:autoSpaceDE w:val="0"/>
              <w:autoSpaceDN w:val="0"/>
              <w:adjustRightInd w:val="0"/>
              <w:snapToGrid w:val="0"/>
              <w:spacing w:line="340" w:lineRule="exact"/>
              <w:rPr>
                <w:rFonts w:hint="eastAsia" w:ascii="宋体" w:hAnsi="宋体"/>
                <w:szCs w:val="21"/>
                <w:highlight w:val="none"/>
                <w:u w:val="single"/>
              </w:rPr>
            </w:pPr>
            <w:r>
              <w:rPr>
                <w:rFonts w:hint="eastAsia" w:hAnsi="宋体"/>
                <w:color w:val="000000" w:themeColor="text1"/>
                <w:kern w:val="0"/>
                <w:szCs w:val="21"/>
                <w:highlight w:val="none"/>
                <w:lang w:val="zh-CN"/>
                <w14:textFill>
                  <w14:solidFill>
                    <w14:schemeClr w14:val="tx1"/>
                  </w14:solidFill>
                </w14:textFill>
              </w:rPr>
              <w:t>不允许</w:t>
            </w:r>
          </w:p>
        </w:tc>
      </w:tr>
      <w:tr w14:paraId="5BED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7CF4FA3">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3.7.3</w:t>
            </w:r>
          </w:p>
        </w:tc>
        <w:tc>
          <w:tcPr>
            <w:tcW w:w="1608" w:type="dxa"/>
            <w:vAlign w:val="center"/>
          </w:tcPr>
          <w:p w14:paraId="072EE1DB">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投标文件的制作应满足规定</w:t>
            </w:r>
          </w:p>
        </w:tc>
        <w:tc>
          <w:tcPr>
            <w:tcW w:w="7146" w:type="dxa"/>
            <w:vAlign w:val="center"/>
          </w:tcPr>
          <w:p w14:paraId="27DF10B3">
            <w:pPr>
              <w:adjustRightInd w:val="0"/>
              <w:snapToGrid w:val="0"/>
              <w:spacing w:line="340" w:lineRule="exact"/>
              <w:rPr>
                <w:rFonts w:hint="eastAsia" w:ascii="宋体" w:hAnsi="宋体"/>
                <w:szCs w:val="21"/>
                <w:highlight w:val="none"/>
              </w:rPr>
            </w:pPr>
            <w:r>
              <w:rPr>
                <w:rFonts w:hint="eastAsia" w:ascii="宋体" w:hAnsi="宋体"/>
                <w:szCs w:val="21"/>
                <w:highlight w:val="none"/>
              </w:rPr>
              <w:t>本项第（3）目修改为：</w:t>
            </w:r>
          </w:p>
          <w:p w14:paraId="3390784C">
            <w:pPr>
              <w:adjustRightInd w:val="0"/>
              <w:snapToGrid w:val="0"/>
              <w:spacing w:line="340" w:lineRule="exact"/>
              <w:rPr>
                <w:rFonts w:hint="eastAsia" w:ascii="宋体" w:hAnsi="宋体"/>
                <w:szCs w:val="21"/>
                <w:highlight w:val="none"/>
              </w:rPr>
            </w:pPr>
            <w:r>
              <w:rPr>
                <w:rFonts w:hint="eastAsia" w:ascii="宋体" w:hAnsi="宋体"/>
                <w:szCs w:val="21"/>
                <w:highlight w:val="none"/>
              </w:rPr>
              <w:t>（3）投标文件中证明资料的“复印件”均为“原件的扫描件”。</w:t>
            </w:r>
          </w:p>
          <w:p w14:paraId="4863CA35">
            <w:pPr>
              <w:adjustRightInd w:val="0"/>
              <w:snapToGrid w:val="0"/>
              <w:spacing w:line="340" w:lineRule="exact"/>
              <w:rPr>
                <w:rFonts w:hint="eastAsia" w:ascii="宋体" w:hAnsi="宋体"/>
                <w:szCs w:val="21"/>
                <w:highlight w:val="none"/>
              </w:rPr>
            </w:pPr>
            <w:r>
              <w:rPr>
                <w:rFonts w:hint="eastAsia" w:ascii="宋体" w:hAnsi="宋体"/>
                <w:szCs w:val="21"/>
                <w:highlight w:val="none"/>
              </w:rPr>
              <w:t>本项第（5）目修改为：</w:t>
            </w:r>
          </w:p>
          <w:p w14:paraId="375141D9">
            <w:pPr>
              <w:adjustRightInd w:val="0"/>
              <w:snapToGrid w:val="0"/>
              <w:spacing w:line="340" w:lineRule="exact"/>
              <w:rPr>
                <w:rFonts w:hint="eastAsia" w:ascii="宋体" w:hAnsi="宋体"/>
                <w:szCs w:val="21"/>
                <w:highlight w:val="none"/>
              </w:rPr>
            </w:pPr>
            <w:r>
              <w:rPr>
                <w:rFonts w:hint="eastAsia" w:ascii="宋体" w:hAnsi="宋体"/>
                <w:szCs w:val="21"/>
                <w:highlight w:val="none"/>
              </w:rPr>
              <w:t>（5）除有特殊说明外</w:t>
            </w:r>
            <w:r>
              <w:rPr>
                <w:rFonts w:hint="eastAsia" w:ascii="楷体" w:hAnsi="楷体" w:eastAsia="楷体"/>
                <w:szCs w:val="21"/>
                <w:highlight w:val="none"/>
              </w:rPr>
              <w:t>（如联合体协议书、授权委托书）</w:t>
            </w:r>
            <w:r>
              <w:rPr>
                <w:rFonts w:hint="eastAsia" w:ascii="宋体" w:hAnsi="宋体"/>
                <w:szCs w:val="21"/>
                <w:highlight w:val="none"/>
              </w:rPr>
              <w:t>，第六章“投标文件格式”中要求盖单位章和（或）签字的地方，投标人均应使用CA数字证书加盖投标人的单位电子印章和（或）法定代表人的个人电子印章或电子签名章（投标人仅须在投标函上加盖投标人的单位电子印章，或加盖法定代表人的个人电子印章或电子签名章）。联合体投标的，由联合体牵头人按上述规定加盖联合体牵头人单位电子印章和（或）法定代表人的个人电子印章或电子签名章。</w:t>
            </w:r>
          </w:p>
          <w:p w14:paraId="6C0CF59E">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第六章</w:t>
            </w:r>
            <w:r>
              <w:rPr>
                <w:rFonts w:hint="eastAsia" w:ascii="楷体" w:hAnsi="楷体" w:eastAsia="楷体"/>
                <w:bCs/>
                <w:color w:val="000000"/>
                <w:szCs w:val="21"/>
                <w:highlight w:val="none"/>
              </w:rPr>
              <w:t xml:space="preserve"> “投标文件格式”</w:t>
            </w:r>
            <w:r>
              <w:rPr>
                <w:rFonts w:hint="eastAsia" w:ascii="宋体" w:hAnsi="宋体"/>
                <w:szCs w:val="21"/>
                <w:highlight w:val="none"/>
              </w:rPr>
              <w:t>中授权委托书要求委托代理人签字的地方，投标人可使用CA数字证书加盖委托代理人的个人电子印章或电子签名章；或者按</w:t>
            </w:r>
            <w:r>
              <w:rPr>
                <w:rFonts w:hint="eastAsia" w:ascii="楷体" w:hAnsi="楷体" w:eastAsia="楷体"/>
                <w:bCs/>
                <w:color w:val="000000"/>
                <w:szCs w:val="21"/>
                <w:highlight w:val="none"/>
              </w:rPr>
              <w:t>授权委托书要求盖单位章和签字的地方，均加盖投标人单位章和由相关人员亲笔签字后，上传原件的彩色扫描件。</w:t>
            </w:r>
          </w:p>
          <w:p w14:paraId="2C9B4688">
            <w:pPr>
              <w:pStyle w:val="15"/>
              <w:pBdr>
                <w:bottom w:val="none" w:color="auto" w:sz="0" w:space="0"/>
              </w:pBdr>
              <w:tabs>
                <w:tab w:val="clear" w:pos="4153"/>
                <w:tab w:val="clear" w:pos="8306"/>
              </w:tabs>
              <w:autoSpaceDE w:val="0"/>
              <w:autoSpaceDN w:val="0"/>
              <w:adjustRightInd w:val="0"/>
              <w:spacing w:line="340" w:lineRule="exact"/>
              <w:ind w:firstLine="420" w:firstLineChars="200"/>
              <w:jc w:val="both"/>
              <w:rPr>
                <w:rFonts w:hint="eastAsia" w:ascii="宋体" w:hAnsi="宋体" w:cs="宋体"/>
                <w:sz w:val="21"/>
                <w:szCs w:val="21"/>
                <w:highlight w:val="none"/>
                <w:lang w:bidi="ar"/>
              </w:rPr>
            </w:pPr>
            <w:r>
              <w:rPr>
                <w:rFonts w:hint="eastAsia" w:ascii="宋体" w:hAnsi="宋体"/>
                <w:sz w:val="21"/>
                <w:szCs w:val="21"/>
                <w:highlight w:val="none"/>
              </w:rPr>
              <w:t>第六章“投标文件格式”中联合体协议书要求盖单位章和签字的地方，联合体各成员可使用CA数字证书加盖联合体各成员的单位电子印章和（或）法定代表人的个人电子印章或电子签名章，或者按联合体协议书要求盖单位章和签字的地方，均加盖相关单位章和由相关人员亲笔签字后，在投标文件中提供原件的彩色扫描件。</w:t>
            </w:r>
          </w:p>
        </w:tc>
      </w:tr>
      <w:tr w14:paraId="6637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55A54E49">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3.7.5</w:t>
            </w:r>
          </w:p>
        </w:tc>
        <w:tc>
          <w:tcPr>
            <w:tcW w:w="1608" w:type="dxa"/>
            <w:vAlign w:val="center"/>
          </w:tcPr>
          <w:p w14:paraId="41B924DB">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投标文件副本份数及其他要求</w:t>
            </w:r>
          </w:p>
        </w:tc>
        <w:tc>
          <w:tcPr>
            <w:tcW w:w="7146" w:type="dxa"/>
            <w:vAlign w:val="center"/>
          </w:tcPr>
          <w:p w14:paraId="76C7B355">
            <w:pPr>
              <w:pStyle w:val="15"/>
              <w:pBdr>
                <w:bottom w:val="none" w:color="auto" w:sz="0" w:space="0"/>
              </w:pBdr>
              <w:tabs>
                <w:tab w:val="clear" w:pos="4153"/>
                <w:tab w:val="clear" w:pos="8306"/>
              </w:tabs>
              <w:autoSpaceDE w:val="0"/>
              <w:autoSpaceDN w:val="0"/>
              <w:adjustRightInd w:val="0"/>
              <w:spacing w:line="340" w:lineRule="exact"/>
              <w:jc w:val="both"/>
              <w:rPr>
                <w:rFonts w:hint="eastAsia" w:ascii="宋体" w:hAnsi="宋体"/>
                <w:sz w:val="21"/>
                <w:szCs w:val="21"/>
                <w:highlight w:val="none"/>
              </w:rPr>
            </w:pPr>
            <w:r>
              <w:rPr>
                <w:rFonts w:hint="eastAsia" w:ascii="宋体" w:hAnsi="宋体" w:cs="宋体"/>
                <w:sz w:val="21"/>
                <w:szCs w:val="21"/>
                <w:highlight w:val="none"/>
                <w:lang w:bidi="ar"/>
              </w:rPr>
              <w:t>投标阶段仅提交电子投标文件（格式为**.***)，如中标再提供纸质投标文件正本一份，副本一份；中标人提供的纸质投标文件需与投标时提供的电子投标文件保持一致，如有不一致，以电子投标文件为准。中标人递交的纸质投标文件应是电子投标文件的打印件，正本应按招标文件要求加盖投标人单位公章，纸质投标文件应标注页码，且不得采用活页夹装订。</w:t>
            </w:r>
          </w:p>
        </w:tc>
      </w:tr>
      <w:tr w14:paraId="7D27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1C989A4">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4.2.3</w:t>
            </w:r>
          </w:p>
        </w:tc>
        <w:tc>
          <w:tcPr>
            <w:tcW w:w="1608" w:type="dxa"/>
            <w:vAlign w:val="center"/>
          </w:tcPr>
          <w:p w14:paraId="2BB217D2">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延后投标截止时间</w:t>
            </w:r>
          </w:p>
        </w:tc>
        <w:tc>
          <w:tcPr>
            <w:tcW w:w="7146" w:type="dxa"/>
            <w:vAlign w:val="center"/>
          </w:tcPr>
          <w:p w14:paraId="6A489274">
            <w:pPr>
              <w:autoSpaceDE w:val="0"/>
              <w:autoSpaceDN w:val="0"/>
              <w:adjustRightInd w:val="0"/>
              <w:snapToGrid w:val="0"/>
              <w:spacing w:line="340" w:lineRule="exact"/>
              <w:rPr>
                <w:rFonts w:hint="eastAsia" w:ascii="宋体" w:hAnsi="宋体"/>
                <w:szCs w:val="21"/>
                <w:highlight w:val="none"/>
              </w:rPr>
            </w:pPr>
            <w:r>
              <w:rPr>
                <w:rFonts w:hint="eastAsia" w:ascii="宋体" w:hAnsi="宋体"/>
                <w:szCs w:val="21"/>
                <w:highlight w:val="none"/>
              </w:rPr>
              <w:t>在特殊情况下，招标人如果决定延后投标截止时间，应在原定投标截止时间3天前，在电子交易系统以书面形式通知所有投标人延后投标截止时间。在此情况下，招标人和投标人的权利和义务相应延后至新的投标截止时间。</w:t>
            </w:r>
          </w:p>
        </w:tc>
      </w:tr>
      <w:tr w14:paraId="5622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ADC1001">
            <w:pPr>
              <w:tabs>
                <w:tab w:val="left" w:pos="1470"/>
              </w:tabs>
              <w:adjustRightInd w:val="0"/>
              <w:snapToGrid w:val="0"/>
              <w:spacing w:line="340" w:lineRule="exact"/>
              <w:jc w:val="center"/>
              <w:rPr>
                <w:rFonts w:hint="eastAsia" w:ascii="宋体" w:hAnsi="宋体"/>
                <w:szCs w:val="21"/>
                <w:highlight w:val="none"/>
                <w:u w:val="single" w:color="FFFFFF"/>
              </w:rPr>
            </w:pPr>
            <w:r>
              <w:rPr>
                <w:rFonts w:hint="eastAsia" w:ascii="宋体" w:hAnsi="宋体"/>
                <w:szCs w:val="21"/>
                <w:highlight w:val="none"/>
                <w:u w:val="single" w:color="FFFFFF"/>
              </w:rPr>
              <w:t>5.1</w:t>
            </w:r>
          </w:p>
        </w:tc>
        <w:tc>
          <w:tcPr>
            <w:tcW w:w="1608" w:type="dxa"/>
            <w:vAlign w:val="center"/>
          </w:tcPr>
          <w:p w14:paraId="175ED97F">
            <w:pPr>
              <w:adjustRightInd w:val="0"/>
              <w:snapToGrid w:val="0"/>
              <w:spacing w:line="340" w:lineRule="exact"/>
              <w:jc w:val="center"/>
              <w:rPr>
                <w:rFonts w:hint="eastAsia" w:ascii="宋体" w:hAnsi="宋体"/>
                <w:szCs w:val="21"/>
                <w:highlight w:val="none"/>
              </w:rPr>
            </w:pPr>
            <w:r>
              <w:rPr>
                <w:rFonts w:ascii="宋体" w:hAnsi="宋体"/>
                <w:szCs w:val="21"/>
                <w:highlight w:val="none"/>
              </w:rPr>
              <w:t>开标时间和地点</w:t>
            </w:r>
          </w:p>
        </w:tc>
        <w:tc>
          <w:tcPr>
            <w:tcW w:w="7146" w:type="dxa"/>
            <w:vAlign w:val="center"/>
          </w:tcPr>
          <w:p w14:paraId="4D214889">
            <w:pPr>
              <w:adjustRightInd w:val="0"/>
              <w:snapToGrid w:val="0"/>
              <w:spacing w:line="340" w:lineRule="exact"/>
              <w:rPr>
                <w:rFonts w:hint="eastAsia" w:ascii="宋体" w:hAnsi="宋体"/>
                <w:szCs w:val="21"/>
                <w:highlight w:val="none"/>
              </w:rPr>
            </w:pPr>
            <w:r>
              <w:rPr>
                <w:rFonts w:hint="eastAsia" w:ascii="宋体" w:hAnsi="宋体"/>
                <w:szCs w:val="21"/>
                <w:highlight w:val="none"/>
              </w:rPr>
              <w:t>投标文件第一个信封（商务及技术文件）开标</w:t>
            </w:r>
            <w:r>
              <w:rPr>
                <w:rFonts w:ascii="宋体" w:hAnsi="宋体"/>
                <w:szCs w:val="21"/>
                <w:highlight w:val="none"/>
              </w:rPr>
              <w:t>时间：同投标截止时间</w:t>
            </w:r>
          </w:p>
          <w:p w14:paraId="148B6305">
            <w:pPr>
              <w:adjustRightInd w:val="0"/>
              <w:snapToGrid w:val="0"/>
              <w:spacing w:line="340" w:lineRule="exact"/>
              <w:rPr>
                <w:rFonts w:hint="eastAsia" w:ascii="宋体" w:hAnsi="宋体"/>
                <w:szCs w:val="21"/>
                <w:highlight w:val="none"/>
              </w:rPr>
            </w:pPr>
            <w:r>
              <w:rPr>
                <w:rFonts w:hint="eastAsia" w:ascii="宋体" w:hAnsi="宋体"/>
                <w:szCs w:val="21"/>
                <w:highlight w:val="none"/>
              </w:rPr>
              <w:t>投标文件第一个信封（商务及技术文件）开标地点：同递交投标文件地点</w:t>
            </w:r>
          </w:p>
          <w:p w14:paraId="7118F857">
            <w:pPr>
              <w:adjustRightInd w:val="0"/>
              <w:snapToGrid w:val="0"/>
              <w:spacing w:line="340" w:lineRule="exact"/>
              <w:rPr>
                <w:rFonts w:hint="eastAsia" w:ascii="宋体" w:hAnsi="宋体"/>
                <w:szCs w:val="21"/>
                <w:highlight w:val="none"/>
              </w:rPr>
            </w:pPr>
            <w:r>
              <w:rPr>
                <w:rFonts w:hint="eastAsia" w:ascii="宋体" w:hAnsi="宋体"/>
                <w:szCs w:val="21"/>
                <w:highlight w:val="none"/>
              </w:rPr>
              <w:t>投标文件第二个信封（报价文件）开标</w:t>
            </w:r>
            <w:r>
              <w:rPr>
                <w:rFonts w:ascii="宋体" w:hAnsi="宋体"/>
                <w:szCs w:val="21"/>
                <w:highlight w:val="none"/>
              </w:rPr>
              <w:t>时间：</w:t>
            </w:r>
            <w:r>
              <w:rPr>
                <w:rFonts w:hint="eastAsia" w:ascii="宋体" w:hAnsi="宋体"/>
                <w:szCs w:val="21"/>
                <w:highlight w:val="none"/>
              </w:rPr>
              <w:t>见第一章“招标公告”</w:t>
            </w:r>
          </w:p>
          <w:p w14:paraId="7067B8A0">
            <w:pPr>
              <w:adjustRightInd w:val="0"/>
              <w:snapToGrid w:val="0"/>
              <w:spacing w:line="340" w:lineRule="exact"/>
              <w:rPr>
                <w:rFonts w:hint="eastAsia" w:ascii="宋体" w:hAnsi="宋体"/>
                <w:spacing w:val="-4"/>
                <w:szCs w:val="21"/>
                <w:highlight w:val="none"/>
              </w:rPr>
            </w:pPr>
            <w:r>
              <w:rPr>
                <w:rFonts w:hint="eastAsia" w:ascii="宋体" w:hAnsi="宋体"/>
                <w:szCs w:val="21"/>
                <w:highlight w:val="none"/>
              </w:rPr>
              <w:t>投标文件第二个信封（报价文件）开标地点：见第一章“招标公告”</w:t>
            </w:r>
          </w:p>
        </w:tc>
      </w:tr>
      <w:tr w14:paraId="0D6C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F846282">
            <w:pPr>
              <w:tabs>
                <w:tab w:val="left" w:pos="1470"/>
              </w:tabs>
              <w:adjustRightInd w:val="0"/>
              <w:snapToGrid w:val="0"/>
              <w:spacing w:line="340" w:lineRule="exact"/>
              <w:jc w:val="center"/>
              <w:rPr>
                <w:rFonts w:hint="eastAsia" w:ascii="宋体" w:hAnsi="宋体"/>
                <w:szCs w:val="21"/>
                <w:highlight w:val="none"/>
                <w:u w:val="single" w:color="FFFFFF"/>
              </w:rPr>
            </w:pPr>
            <w:r>
              <w:rPr>
                <w:rFonts w:hint="eastAsia" w:ascii="宋体" w:hAnsi="宋体"/>
                <w:szCs w:val="21"/>
                <w:highlight w:val="none"/>
                <w:u w:val="single" w:color="FFFFFF"/>
              </w:rPr>
              <w:t>5.2.1</w:t>
            </w:r>
          </w:p>
        </w:tc>
        <w:tc>
          <w:tcPr>
            <w:tcW w:w="1608" w:type="dxa"/>
            <w:vAlign w:val="center"/>
          </w:tcPr>
          <w:p w14:paraId="64C3C03C">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第一个信封</w:t>
            </w:r>
          </w:p>
          <w:p w14:paraId="13F1488F">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（商务及技术文件）开标程序</w:t>
            </w:r>
          </w:p>
        </w:tc>
        <w:tc>
          <w:tcPr>
            <w:tcW w:w="7146" w:type="dxa"/>
            <w:vAlign w:val="center"/>
          </w:tcPr>
          <w:p w14:paraId="2A796034">
            <w:pPr>
              <w:adjustRightInd w:val="0"/>
              <w:snapToGrid w:val="0"/>
              <w:spacing w:line="340" w:lineRule="exact"/>
              <w:rPr>
                <w:rFonts w:hint="eastAsia" w:ascii="楷体" w:hAnsi="楷体" w:eastAsia="楷体"/>
                <w:szCs w:val="21"/>
                <w:highlight w:val="none"/>
              </w:rPr>
            </w:pPr>
            <w:r>
              <w:rPr>
                <w:rFonts w:hint="eastAsia" w:ascii="宋体" w:hAnsi="宋体"/>
                <w:szCs w:val="21"/>
                <w:highlight w:val="none"/>
              </w:rPr>
              <w:t>（8）开标顺序：按电子开标系统显示的从上至下顺序；</w:t>
            </w:r>
          </w:p>
        </w:tc>
      </w:tr>
      <w:tr w14:paraId="501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7356B38">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5.2.3</w:t>
            </w:r>
          </w:p>
        </w:tc>
        <w:tc>
          <w:tcPr>
            <w:tcW w:w="1608" w:type="dxa"/>
            <w:vAlign w:val="center"/>
          </w:tcPr>
          <w:p w14:paraId="775F105E">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第二个信封</w:t>
            </w:r>
            <w:r>
              <w:rPr>
                <w:rFonts w:ascii="宋体" w:hAnsi="宋体"/>
                <w:szCs w:val="21"/>
                <w:highlight w:val="none"/>
              </w:rPr>
              <w:br w:type="textWrapping"/>
            </w:r>
            <w:r>
              <w:rPr>
                <w:rFonts w:hint="eastAsia" w:ascii="宋体" w:hAnsi="宋体"/>
                <w:szCs w:val="21"/>
                <w:highlight w:val="none"/>
              </w:rPr>
              <w:t>（报价文件）</w:t>
            </w:r>
            <w:r>
              <w:rPr>
                <w:rFonts w:ascii="宋体" w:hAnsi="宋体"/>
                <w:szCs w:val="21"/>
                <w:highlight w:val="none"/>
              </w:rPr>
              <w:br w:type="textWrapping"/>
            </w:r>
            <w:r>
              <w:rPr>
                <w:rFonts w:hint="eastAsia" w:ascii="宋体" w:hAnsi="宋体"/>
                <w:szCs w:val="21"/>
                <w:highlight w:val="none"/>
              </w:rPr>
              <w:t>开标程序</w:t>
            </w:r>
          </w:p>
        </w:tc>
        <w:tc>
          <w:tcPr>
            <w:tcW w:w="7146" w:type="dxa"/>
            <w:vAlign w:val="center"/>
          </w:tcPr>
          <w:p w14:paraId="1503DBDD">
            <w:pPr>
              <w:adjustRightInd w:val="0"/>
              <w:snapToGrid w:val="0"/>
              <w:spacing w:line="340" w:lineRule="exact"/>
              <w:rPr>
                <w:rFonts w:hint="eastAsia" w:ascii="宋体" w:hAnsi="宋体"/>
                <w:szCs w:val="21"/>
                <w:highlight w:val="none"/>
              </w:rPr>
            </w:pPr>
            <w:r>
              <w:rPr>
                <w:rFonts w:hint="eastAsia" w:ascii="宋体" w:hAnsi="宋体"/>
                <w:szCs w:val="21"/>
                <w:highlight w:val="none"/>
              </w:rPr>
              <w:t>（5）开标顺序：按电子开标系统显示的从上至下顺序；</w:t>
            </w:r>
            <w:r>
              <w:rPr>
                <w:rFonts w:ascii="宋体" w:hAnsi="宋体"/>
                <w:szCs w:val="21"/>
                <w:highlight w:val="none"/>
              </w:rPr>
              <w:t xml:space="preserve"> </w:t>
            </w:r>
          </w:p>
        </w:tc>
      </w:tr>
      <w:tr w14:paraId="422C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079BD2B8">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6.1.1</w:t>
            </w:r>
          </w:p>
        </w:tc>
        <w:tc>
          <w:tcPr>
            <w:tcW w:w="1608" w:type="dxa"/>
            <w:vAlign w:val="center"/>
          </w:tcPr>
          <w:p w14:paraId="7FEF98DC">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评标委员会的组建</w:t>
            </w:r>
          </w:p>
        </w:tc>
        <w:tc>
          <w:tcPr>
            <w:tcW w:w="7146" w:type="dxa"/>
            <w:vAlign w:val="center"/>
          </w:tcPr>
          <w:p w14:paraId="25C81CB8">
            <w:pPr>
              <w:adjustRightInd w:val="0"/>
              <w:snapToGrid w:val="0"/>
              <w:spacing w:line="340" w:lineRule="exact"/>
              <w:rPr>
                <w:rFonts w:hint="eastAsia" w:ascii="宋体" w:hAnsi="宋体"/>
                <w:szCs w:val="21"/>
                <w:highlight w:val="none"/>
              </w:rPr>
            </w:pPr>
            <w:r>
              <w:rPr>
                <w:rFonts w:ascii="宋体" w:hAnsi="宋体"/>
                <w:szCs w:val="21"/>
                <w:highlight w:val="none"/>
              </w:rPr>
              <w:t>评标委员会构成：</w:t>
            </w:r>
            <w:r>
              <w:rPr>
                <w:rFonts w:hint="eastAsia" w:ascii="宋体" w:hAnsi="宋体"/>
                <w:szCs w:val="21"/>
                <w:highlight w:val="none"/>
                <w:u w:val="single"/>
              </w:rPr>
              <w:t>9</w:t>
            </w:r>
            <w:r>
              <w:rPr>
                <w:rFonts w:hint="eastAsia" w:ascii="宋体" w:hAnsi="宋体"/>
                <w:szCs w:val="21"/>
                <w:highlight w:val="none"/>
              </w:rPr>
              <w:t>人，其中招标人代表</w:t>
            </w:r>
            <w:r>
              <w:rPr>
                <w:rFonts w:hint="eastAsia" w:ascii="宋体" w:hAnsi="宋体"/>
                <w:szCs w:val="21"/>
                <w:highlight w:val="none"/>
                <w:u w:val="single"/>
              </w:rPr>
              <w:t>3</w:t>
            </w:r>
            <w:r>
              <w:rPr>
                <w:rFonts w:hint="eastAsia" w:ascii="宋体" w:hAnsi="宋体"/>
                <w:szCs w:val="21"/>
                <w:highlight w:val="none"/>
              </w:rPr>
              <w:t>人，专家</w:t>
            </w:r>
            <w:r>
              <w:rPr>
                <w:rFonts w:hint="eastAsia" w:ascii="宋体" w:hAnsi="宋体"/>
                <w:szCs w:val="21"/>
                <w:highlight w:val="none"/>
                <w:u w:val="single"/>
              </w:rPr>
              <w:t>6</w:t>
            </w:r>
            <w:r>
              <w:rPr>
                <w:rFonts w:hint="eastAsia" w:ascii="宋体" w:hAnsi="宋体"/>
                <w:szCs w:val="21"/>
                <w:highlight w:val="none"/>
              </w:rPr>
              <w:t>人</w:t>
            </w:r>
            <w:r>
              <w:rPr>
                <w:rFonts w:ascii="宋体" w:hAnsi="宋体"/>
                <w:i/>
                <w:szCs w:val="21"/>
                <w:highlight w:val="none"/>
              </w:rPr>
              <w:t>；</w:t>
            </w:r>
          </w:p>
          <w:p w14:paraId="09028ECC">
            <w:pPr>
              <w:adjustRightInd w:val="0"/>
              <w:snapToGrid w:val="0"/>
              <w:spacing w:line="340" w:lineRule="exact"/>
              <w:rPr>
                <w:rFonts w:hint="eastAsia" w:ascii="宋体" w:hAnsi="宋体"/>
                <w:szCs w:val="21"/>
                <w:highlight w:val="none"/>
              </w:rPr>
            </w:pPr>
            <w:r>
              <w:rPr>
                <w:rFonts w:ascii="宋体" w:hAnsi="宋体"/>
                <w:szCs w:val="21"/>
                <w:highlight w:val="none"/>
              </w:rPr>
              <w:t xml:space="preserve">评标专家确定方式：依法从相应评标专家库中随机抽取 </w:t>
            </w:r>
          </w:p>
        </w:tc>
      </w:tr>
      <w:tr w14:paraId="7E1B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CDA07B5">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6.3.2</w:t>
            </w:r>
          </w:p>
        </w:tc>
        <w:tc>
          <w:tcPr>
            <w:tcW w:w="1608" w:type="dxa"/>
            <w:vAlign w:val="center"/>
          </w:tcPr>
          <w:p w14:paraId="63669440">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评标委员会推荐中标候选人的人数</w:t>
            </w:r>
          </w:p>
        </w:tc>
        <w:tc>
          <w:tcPr>
            <w:tcW w:w="7146" w:type="dxa"/>
            <w:vAlign w:val="center"/>
          </w:tcPr>
          <w:p w14:paraId="715251DC">
            <w:pPr>
              <w:adjustRightInd w:val="0"/>
              <w:snapToGrid w:val="0"/>
              <w:spacing w:line="340" w:lineRule="exact"/>
              <w:rPr>
                <w:rFonts w:hint="eastAsia" w:ascii="宋体" w:hAnsi="宋体"/>
                <w:szCs w:val="21"/>
                <w:highlight w:val="none"/>
              </w:rPr>
            </w:pPr>
            <w:r>
              <w:rPr>
                <w:rFonts w:hint="eastAsia" w:ascii="宋体" w:hAnsi="宋体"/>
                <w:szCs w:val="21"/>
                <w:highlight w:val="none"/>
              </w:rPr>
              <w:t>1名</w:t>
            </w:r>
          </w:p>
        </w:tc>
      </w:tr>
      <w:tr w14:paraId="70CD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795A0D18">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7.1</w:t>
            </w:r>
          </w:p>
        </w:tc>
        <w:tc>
          <w:tcPr>
            <w:tcW w:w="1608" w:type="dxa"/>
            <w:vAlign w:val="center"/>
          </w:tcPr>
          <w:p w14:paraId="0EB54ABB">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中标候选人</w:t>
            </w:r>
            <w:r>
              <w:rPr>
                <w:rFonts w:ascii="宋体" w:hAnsi="宋体"/>
                <w:szCs w:val="21"/>
                <w:highlight w:val="none"/>
              </w:rPr>
              <w:br w:type="textWrapping"/>
            </w:r>
            <w:r>
              <w:rPr>
                <w:rFonts w:hint="eastAsia" w:ascii="宋体" w:hAnsi="宋体"/>
                <w:szCs w:val="21"/>
                <w:highlight w:val="none"/>
              </w:rPr>
              <w:t>公示媒介及期限</w:t>
            </w:r>
          </w:p>
        </w:tc>
        <w:tc>
          <w:tcPr>
            <w:tcW w:w="7146" w:type="dxa"/>
            <w:vAlign w:val="center"/>
          </w:tcPr>
          <w:p w14:paraId="5C00A8E5">
            <w:pPr>
              <w:adjustRightInd w:val="0"/>
              <w:snapToGrid w:val="0"/>
              <w:spacing w:line="340" w:lineRule="exact"/>
              <w:rPr>
                <w:rFonts w:hint="eastAsia" w:ascii="宋体" w:hAnsi="宋体"/>
                <w:szCs w:val="21"/>
                <w:highlight w:val="none"/>
              </w:rPr>
            </w:pPr>
            <w:r>
              <w:rPr>
                <w:rFonts w:ascii="宋体" w:hAnsi="宋体"/>
                <w:szCs w:val="21"/>
                <w:highlight w:val="none"/>
              </w:rPr>
              <w:t>公示媒介：</w:t>
            </w:r>
            <w:r>
              <w:rPr>
                <w:rFonts w:hint="eastAsia" w:ascii="宋体" w:hAnsi="宋体"/>
                <w:szCs w:val="21"/>
                <w:highlight w:val="none"/>
              </w:rPr>
              <w:t>中国招标投标公共服务平台、吉林省公共资源交易中心网（同步推送到吉林省公共资源交易公共服务平台）、吉林省交通运输厅网站、白山市政府信息公开专栏</w:t>
            </w:r>
          </w:p>
          <w:p w14:paraId="205C458A">
            <w:pPr>
              <w:adjustRightInd w:val="0"/>
              <w:snapToGrid w:val="0"/>
              <w:spacing w:line="340" w:lineRule="exact"/>
              <w:rPr>
                <w:rFonts w:hint="eastAsia" w:ascii="宋体" w:hAnsi="宋体"/>
                <w:szCs w:val="21"/>
                <w:highlight w:val="none"/>
              </w:rPr>
            </w:pPr>
            <w:r>
              <w:rPr>
                <w:rFonts w:hint="eastAsia" w:ascii="宋体" w:hAnsi="宋体"/>
                <w:szCs w:val="21"/>
                <w:highlight w:val="none"/>
              </w:rPr>
              <w:t>公示期限：不少于</w:t>
            </w:r>
            <w:r>
              <w:rPr>
                <w:rFonts w:hint="eastAsia" w:ascii="宋体" w:hAnsi="宋体"/>
                <w:szCs w:val="21"/>
                <w:highlight w:val="none"/>
                <w:u w:val="single"/>
              </w:rPr>
              <w:t>3</w:t>
            </w:r>
            <w:r>
              <w:rPr>
                <w:rFonts w:hint="eastAsia" w:ascii="宋体" w:hAnsi="宋体"/>
                <w:szCs w:val="21"/>
                <w:highlight w:val="none"/>
              </w:rPr>
              <w:t>日</w:t>
            </w:r>
          </w:p>
          <w:p w14:paraId="0EE48BA3">
            <w:pPr>
              <w:adjustRightInd w:val="0"/>
              <w:snapToGrid w:val="0"/>
              <w:spacing w:line="340" w:lineRule="exact"/>
              <w:rPr>
                <w:rFonts w:hint="eastAsia" w:ascii="宋体" w:hAnsi="宋体"/>
                <w:szCs w:val="21"/>
                <w:highlight w:val="none"/>
                <w:u w:val="single"/>
              </w:rPr>
            </w:pPr>
            <w:r>
              <w:rPr>
                <w:rFonts w:hint="eastAsia" w:ascii="宋体" w:hAnsi="宋体"/>
                <w:szCs w:val="21"/>
                <w:highlight w:val="none"/>
              </w:rPr>
              <w:t>公示的其他内容：《投标文件关键内容摘录表》中公示的其他内容。</w:t>
            </w:r>
          </w:p>
        </w:tc>
      </w:tr>
      <w:tr w14:paraId="50BE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1E11DCD8">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7.4</w:t>
            </w:r>
          </w:p>
        </w:tc>
        <w:tc>
          <w:tcPr>
            <w:tcW w:w="1608" w:type="dxa"/>
            <w:vAlign w:val="center"/>
          </w:tcPr>
          <w:p w14:paraId="2E51FC73">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是否授权评标委员会</w:t>
            </w:r>
            <w:r>
              <w:rPr>
                <w:rFonts w:ascii="宋体" w:hAnsi="宋体"/>
                <w:szCs w:val="21"/>
                <w:highlight w:val="none"/>
              </w:rPr>
              <w:br w:type="textWrapping"/>
            </w:r>
            <w:r>
              <w:rPr>
                <w:rFonts w:hint="eastAsia" w:ascii="宋体" w:hAnsi="宋体"/>
                <w:szCs w:val="21"/>
                <w:highlight w:val="none"/>
              </w:rPr>
              <w:t>确定中标人</w:t>
            </w:r>
          </w:p>
        </w:tc>
        <w:tc>
          <w:tcPr>
            <w:tcW w:w="7146" w:type="dxa"/>
            <w:vAlign w:val="center"/>
          </w:tcPr>
          <w:p w14:paraId="1A4E812D">
            <w:pPr>
              <w:autoSpaceDE w:val="0"/>
              <w:autoSpaceDN w:val="0"/>
              <w:adjustRightInd w:val="0"/>
              <w:snapToGrid w:val="0"/>
              <w:spacing w:line="340" w:lineRule="exact"/>
              <w:rPr>
                <w:rFonts w:hint="eastAsia" w:ascii="宋体" w:hAnsi="宋体"/>
                <w:kern w:val="0"/>
                <w:szCs w:val="21"/>
                <w:highlight w:val="none"/>
              </w:rPr>
            </w:pPr>
            <w:r>
              <w:rPr>
                <w:rFonts w:hint="eastAsia" w:ascii="宋体" w:hAnsi="宋体"/>
                <w:kern w:val="0"/>
                <w:szCs w:val="21"/>
                <w:highlight w:val="none"/>
              </w:rPr>
              <w:t>否</w:t>
            </w:r>
          </w:p>
        </w:tc>
      </w:tr>
      <w:tr w14:paraId="240D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7E1CD432">
            <w:pPr>
              <w:tabs>
                <w:tab w:val="left" w:pos="1470"/>
              </w:tabs>
              <w:adjustRightInd w:val="0"/>
              <w:snapToGrid w:val="0"/>
              <w:spacing w:line="340" w:lineRule="exact"/>
              <w:jc w:val="center"/>
              <w:rPr>
                <w:rFonts w:hint="eastAsia" w:ascii="宋体" w:hAnsi="宋体"/>
                <w:highlight w:val="none"/>
                <w:u w:val="single" w:color="FFFFFF"/>
              </w:rPr>
            </w:pPr>
            <w:r>
              <w:rPr>
                <w:rFonts w:ascii="宋体" w:hAnsi="宋体"/>
                <w:highlight w:val="none"/>
                <w:u w:val="single" w:color="FFFFFF"/>
              </w:rPr>
              <w:t>7.5</w:t>
            </w:r>
          </w:p>
        </w:tc>
        <w:tc>
          <w:tcPr>
            <w:tcW w:w="1608" w:type="dxa"/>
            <w:vAlign w:val="center"/>
          </w:tcPr>
          <w:p w14:paraId="330589DC">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中标通知书和中标结果通知发出的形式</w:t>
            </w:r>
          </w:p>
        </w:tc>
        <w:tc>
          <w:tcPr>
            <w:tcW w:w="7146" w:type="dxa"/>
            <w:vAlign w:val="center"/>
          </w:tcPr>
          <w:p w14:paraId="768694F6">
            <w:pPr>
              <w:adjustRightInd w:val="0"/>
              <w:snapToGrid w:val="0"/>
              <w:spacing w:line="340" w:lineRule="exact"/>
              <w:rPr>
                <w:rFonts w:hint="eastAsia" w:ascii="宋体" w:hAnsi="宋体"/>
                <w:szCs w:val="21"/>
                <w:highlight w:val="none"/>
              </w:rPr>
            </w:pPr>
            <w:r>
              <w:rPr>
                <w:rFonts w:hint="eastAsia" w:ascii="宋体" w:hAnsi="宋体"/>
                <w:szCs w:val="21"/>
                <w:highlight w:val="none"/>
              </w:rPr>
              <w:t>招标人以书面形式向中标人发出中标通知书，同时将以中标结果公告发布到本章7.6 款所列媒介的形式通知未中标的投标人。</w:t>
            </w:r>
          </w:p>
        </w:tc>
      </w:tr>
      <w:tr w14:paraId="51CE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30ABFD46">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7.6</w:t>
            </w:r>
          </w:p>
        </w:tc>
        <w:tc>
          <w:tcPr>
            <w:tcW w:w="1608" w:type="dxa"/>
            <w:vAlign w:val="center"/>
          </w:tcPr>
          <w:p w14:paraId="51202BE3">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中标结果公告媒介</w:t>
            </w:r>
            <w:r>
              <w:rPr>
                <w:rFonts w:ascii="宋体" w:hAnsi="宋体"/>
                <w:szCs w:val="21"/>
                <w:highlight w:val="none"/>
              </w:rPr>
              <w:br w:type="textWrapping"/>
            </w:r>
            <w:r>
              <w:rPr>
                <w:rFonts w:hint="eastAsia" w:ascii="宋体" w:hAnsi="宋体"/>
                <w:szCs w:val="21"/>
                <w:highlight w:val="none"/>
              </w:rPr>
              <w:t>及期限</w:t>
            </w:r>
          </w:p>
        </w:tc>
        <w:tc>
          <w:tcPr>
            <w:tcW w:w="7146" w:type="dxa"/>
            <w:vAlign w:val="center"/>
          </w:tcPr>
          <w:p w14:paraId="5A408BEA">
            <w:pPr>
              <w:adjustRightInd w:val="0"/>
              <w:snapToGrid w:val="0"/>
              <w:spacing w:line="340" w:lineRule="exact"/>
              <w:rPr>
                <w:rFonts w:hint="eastAsia" w:ascii="宋体" w:hAnsi="宋体"/>
                <w:szCs w:val="21"/>
                <w:highlight w:val="none"/>
              </w:rPr>
            </w:pPr>
            <w:r>
              <w:rPr>
                <w:rFonts w:ascii="宋体" w:hAnsi="宋体"/>
                <w:szCs w:val="21"/>
                <w:highlight w:val="none"/>
              </w:rPr>
              <w:t>公告媒介：</w:t>
            </w:r>
            <w:r>
              <w:rPr>
                <w:rFonts w:hint="eastAsia" w:ascii="宋体" w:hAnsi="宋体"/>
                <w:szCs w:val="21"/>
                <w:highlight w:val="none"/>
              </w:rPr>
              <w:t>中国招标投标公共服务平台、吉林省公共资源交易中心网（同步推送到吉林省公共资源交易公共服务平台）、吉林省交通运输厅网站、白山市政府信息公开专栏</w:t>
            </w:r>
          </w:p>
          <w:p w14:paraId="794471C9">
            <w:pPr>
              <w:adjustRightInd w:val="0"/>
              <w:snapToGrid w:val="0"/>
              <w:spacing w:line="340" w:lineRule="exact"/>
              <w:rPr>
                <w:rFonts w:hint="eastAsia" w:ascii="宋体" w:hAnsi="宋体"/>
                <w:kern w:val="0"/>
                <w:szCs w:val="21"/>
                <w:highlight w:val="none"/>
              </w:rPr>
            </w:pPr>
            <w:r>
              <w:rPr>
                <w:rFonts w:hint="eastAsia" w:ascii="宋体" w:hAnsi="宋体"/>
                <w:szCs w:val="21"/>
                <w:highlight w:val="none"/>
              </w:rPr>
              <w:t>公告期限：不少于</w:t>
            </w:r>
            <w:r>
              <w:rPr>
                <w:rFonts w:hint="eastAsia" w:ascii="宋体" w:hAnsi="宋体"/>
                <w:szCs w:val="21"/>
                <w:highlight w:val="none"/>
                <w:u w:val="single"/>
              </w:rPr>
              <w:t>3</w:t>
            </w:r>
            <w:r>
              <w:rPr>
                <w:rFonts w:hint="eastAsia" w:ascii="宋体" w:hAnsi="宋体"/>
                <w:szCs w:val="21"/>
                <w:highlight w:val="none"/>
              </w:rPr>
              <w:t>日</w:t>
            </w:r>
          </w:p>
        </w:tc>
      </w:tr>
      <w:tr w14:paraId="6448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6DBFB5A9">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7.7</w:t>
            </w:r>
          </w:p>
        </w:tc>
        <w:tc>
          <w:tcPr>
            <w:tcW w:w="1608" w:type="dxa"/>
            <w:vAlign w:val="center"/>
          </w:tcPr>
          <w:p w14:paraId="6EA90A54">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技术成果经济补偿</w:t>
            </w:r>
          </w:p>
        </w:tc>
        <w:tc>
          <w:tcPr>
            <w:tcW w:w="7146" w:type="dxa"/>
            <w:vAlign w:val="center"/>
          </w:tcPr>
          <w:p w14:paraId="65FE351F">
            <w:pPr>
              <w:adjustRightInd w:val="0"/>
              <w:snapToGrid w:val="0"/>
              <w:spacing w:line="340" w:lineRule="exact"/>
              <w:rPr>
                <w:rFonts w:hint="eastAsia" w:ascii="宋体" w:hAnsi="宋体"/>
                <w:szCs w:val="21"/>
                <w:highlight w:val="none"/>
              </w:rPr>
            </w:pPr>
            <w:r>
              <w:rPr>
                <w:rFonts w:hint="eastAsia" w:ascii="宋体" w:hAnsi="宋体"/>
                <w:kern w:val="0"/>
                <w:szCs w:val="21"/>
                <w:highlight w:val="none"/>
              </w:rPr>
              <w:t>不补偿</w:t>
            </w:r>
          </w:p>
        </w:tc>
      </w:tr>
      <w:tr w14:paraId="676F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5665F276">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7.8.1</w:t>
            </w:r>
          </w:p>
        </w:tc>
        <w:tc>
          <w:tcPr>
            <w:tcW w:w="1608" w:type="dxa"/>
            <w:vAlign w:val="center"/>
          </w:tcPr>
          <w:p w14:paraId="2013775B">
            <w:pPr>
              <w:adjustRightInd w:val="0"/>
              <w:snapToGrid w:val="0"/>
              <w:spacing w:line="340" w:lineRule="exact"/>
              <w:jc w:val="center"/>
              <w:rPr>
                <w:rFonts w:hint="eastAsia" w:ascii="宋体" w:hAnsi="宋体"/>
                <w:szCs w:val="21"/>
                <w:highlight w:val="none"/>
              </w:rPr>
            </w:pPr>
            <w:r>
              <w:rPr>
                <w:rFonts w:ascii="宋体" w:hAnsi="宋体"/>
                <w:szCs w:val="21"/>
                <w:highlight w:val="none"/>
              </w:rPr>
              <w:t>履约保证金</w:t>
            </w:r>
          </w:p>
        </w:tc>
        <w:tc>
          <w:tcPr>
            <w:tcW w:w="7146" w:type="dxa"/>
            <w:vAlign w:val="center"/>
          </w:tcPr>
          <w:p w14:paraId="0F7BA756">
            <w:pPr>
              <w:adjustRightInd w:val="0"/>
              <w:snapToGrid w:val="0"/>
              <w:spacing w:line="340" w:lineRule="exact"/>
              <w:jc w:val="left"/>
              <w:rPr>
                <w:rFonts w:hint="eastAsia" w:ascii="宋体" w:hAnsi="宋体"/>
                <w:szCs w:val="21"/>
                <w:highlight w:val="none"/>
              </w:rPr>
            </w:pPr>
            <w:r>
              <w:rPr>
                <w:rFonts w:hint="eastAsia" w:ascii="宋体" w:hAnsi="宋体"/>
                <w:szCs w:val="21"/>
                <w:highlight w:val="none"/>
              </w:rPr>
              <w:t>履约保证金形式：现金、支票、银行保函、担保机构保函或招标人认可的其他法定形式。</w:t>
            </w:r>
          </w:p>
          <w:p w14:paraId="15CF41DF">
            <w:pPr>
              <w:adjustRightInd w:val="0"/>
              <w:snapToGrid w:val="0"/>
              <w:spacing w:line="340" w:lineRule="exact"/>
              <w:jc w:val="left"/>
              <w:rPr>
                <w:rFonts w:hint="eastAsia" w:ascii="宋体" w:hAnsi="宋体"/>
                <w:szCs w:val="21"/>
                <w:highlight w:val="none"/>
              </w:rPr>
            </w:pPr>
            <w:r>
              <w:rPr>
                <w:rFonts w:hint="eastAsia" w:ascii="宋体" w:hAnsi="宋体"/>
                <w:szCs w:val="21"/>
                <w:highlight w:val="none"/>
              </w:rPr>
              <w:t>履约保证金金额：</w:t>
            </w:r>
            <w:r>
              <w:rPr>
                <w:rFonts w:ascii="黑体" w:hAnsi="黑体" w:eastAsia="黑体"/>
                <w:szCs w:val="21"/>
                <w:highlight w:val="none"/>
              </w:rPr>
              <w:t>10</w:t>
            </w:r>
            <w:r>
              <w:rPr>
                <w:rFonts w:hint="eastAsia" w:ascii="黑体" w:hAnsi="黑体" w:eastAsia="黑体"/>
                <w:szCs w:val="21"/>
                <w:highlight w:val="none"/>
              </w:rPr>
              <w:t>%签约合同价</w:t>
            </w:r>
            <w:r>
              <w:rPr>
                <w:rFonts w:hint="eastAsia" w:ascii="宋体" w:hAnsi="宋体"/>
                <w:szCs w:val="21"/>
                <w:highlight w:val="none"/>
              </w:rPr>
              <w:t>。</w:t>
            </w:r>
          </w:p>
          <w:p w14:paraId="4B1EC142">
            <w:pPr>
              <w:adjustRightInd w:val="0"/>
              <w:snapToGrid w:val="0"/>
              <w:spacing w:line="340" w:lineRule="exact"/>
              <w:jc w:val="left"/>
              <w:rPr>
                <w:rFonts w:hint="eastAsia" w:ascii="宋体" w:hAnsi="宋体"/>
                <w:szCs w:val="21"/>
                <w:highlight w:val="none"/>
              </w:rPr>
            </w:pPr>
            <w:r>
              <w:rPr>
                <w:rFonts w:hint="eastAsia" w:ascii="宋体" w:hAnsi="宋体"/>
                <w:szCs w:val="21"/>
                <w:highlight w:val="none"/>
              </w:rPr>
              <w:t>注：</w:t>
            </w:r>
          </w:p>
          <w:p w14:paraId="75E8D21F">
            <w:pPr>
              <w:adjustRightInd w:val="0"/>
              <w:snapToGrid w:val="0"/>
              <w:spacing w:line="340" w:lineRule="exact"/>
              <w:jc w:val="left"/>
              <w:rPr>
                <w:rFonts w:hint="eastAsia" w:ascii="宋体" w:hAnsi="宋体"/>
                <w:szCs w:val="21"/>
                <w:highlight w:val="none"/>
              </w:rPr>
            </w:pPr>
            <w:r>
              <w:rPr>
                <w:rFonts w:hint="eastAsia" w:ascii="宋体" w:hAnsi="宋体"/>
                <w:szCs w:val="21"/>
                <w:highlight w:val="none"/>
              </w:rPr>
              <w:t>（1）采用现金或支票形式时，应由中标人的基本账户转入发包人指定账户。</w:t>
            </w:r>
          </w:p>
          <w:p w14:paraId="7BD64DB4">
            <w:pPr>
              <w:adjustRightInd w:val="0"/>
              <w:snapToGrid w:val="0"/>
              <w:spacing w:line="340" w:lineRule="exact"/>
              <w:rPr>
                <w:rFonts w:hint="eastAsia" w:ascii="宋体" w:hAnsi="宋体"/>
                <w:szCs w:val="21"/>
                <w:highlight w:val="none"/>
              </w:rPr>
            </w:pPr>
            <w:r>
              <w:rPr>
                <w:rFonts w:hint="eastAsia" w:ascii="宋体" w:hAnsi="宋体"/>
                <w:szCs w:val="21"/>
                <w:highlight w:val="none"/>
              </w:rPr>
              <w:t>（2）采用保函时，出具保函的机构须具有相应担保能力，</w:t>
            </w:r>
            <w:r>
              <w:rPr>
                <w:rFonts w:hint="eastAsia" w:ascii="宋体" w:hAnsi="宋体" w:cs="Calibri"/>
                <w:szCs w:val="21"/>
                <w:highlight w:val="none"/>
              </w:rPr>
              <w:t>所需费用由中标人承担。</w:t>
            </w:r>
          </w:p>
        </w:tc>
      </w:tr>
      <w:tr w14:paraId="25BF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4" w:type="dxa"/>
            <w:vAlign w:val="center"/>
          </w:tcPr>
          <w:p w14:paraId="4C6446D8">
            <w:pPr>
              <w:tabs>
                <w:tab w:val="left" w:pos="1470"/>
              </w:tabs>
              <w:adjustRightInd w:val="0"/>
              <w:snapToGrid w:val="0"/>
              <w:spacing w:line="340" w:lineRule="exact"/>
              <w:jc w:val="center"/>
              <w:rPr>
                <w:rFonts w:hint="eastAsia" w:ascii="宋体" w:hAnsi="宋体"/>
                <w:highlight w:val="none"/>
                <w:u w:val="single" w:color="FFFFFF"/>
              </w:rPr>
            </w:pPr>
            <w:r>
              <w:rPr>
                <w:rFonts w:hint="eastAsia" w:ascii="宋体" w:hAnsi="宋体"/>
                <w:highlight w:val="none"/>
                <w:u w:val="single" w:color="FFFFFF"/>
              </w:rPr>
              <w:t>8.5.1</w:t>
            </w:r>
          </w:p>
        </w:tc>
        <w:tc>
          <w:tcPr>
            <w:tcW w:w="1608" w:type="dxa"/>
            <w:vAlign w:val="center"/>
          </w:tcPr>
          <w:p w14:paraId="3DFEB55E">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监督部门</w:t>
            </w:r>
          </w:p>
        </w:tc>
        <w:tc>
          <w:tcPr>
            <w:tcW w:w="7146" w:type="dxa"/>
            <w:vAlign w:val="center"/>
          </w:tcPr>
          <w:p w14:paraId="6F80BC60">
            <w:pPr>
              <w:adjustRightInd w:val="0"/>
              <w:snapToGrid w:val="0"/>
              <w:spacing w:line="340" w:lineRule="exact"/>
              <w:rPr>
                <w:rFonts w:hint="eastAsia" w:ascii="宋体" w:hAnsi="宋体"/>
                <w:szCs w:val="21"/>
                <w:highlight w:val="none"/>
              </w:rPr>
            </w:pPr>
            <w:r>
              <w:rPr>
                <w:rFonts w:hint="eastAsia" w:ascii="宋体" w:hAnsi="宋体"/>
                <w:szCs w:val="21"/>
                <w:highlight w:val="none"/>
              </w:rPr>
              <w:t>监督部门：白山市交通运输局</w:t>
            </w:r>
          </w:p>
          <w:p w14:paraId="38C797ED">
            <w:pPr>
              <w:adjustRightInd w:val="0"/>
              <w:snapToGrid w:val="0"/>
              <w:spacing w:line="340" w:lineRule="exact"/>
              <w:rPr>
                <w:rFonts w:hint="eastAsia" w:ascii="宋体" w:hAnsi="宋体"/>
                <w:szCs w:val="21"/>
                <w:highlight w:val="none"/>
              </w:rPr>
            </w:pPr>
            <w:r>
              <w:rPr>
                <w:rFonts w:hint="eastAsia" w:ascii="宋体" w:hAnsi="宋体"/>
                <w:szCs w:val="21"/>
                <w:highlight w:val="none"/>
              </w:rPr>
              <w:t>地　　址：吉林省白山市浑江区滨江南街636号</w:t>
            </w:r>
          </w:p>
          <w:p w14:paraId="5C1C2C0C">
            <w:pPr>
              <w:adjustRightInd w:val="0"/>
              <w:snapToGrid w:val="0"/>
              <w:spacing w:line="340" w:lineRule="exact"/>
              <w:rPr>
                <w:rFonts w:hint="eastAsia" w:ascii="宋体" w:hAnsi="宋体"/>
                <w:szCs w:val="21"/>
                <w:highlight w:val="none"/>
              </w:rPr>
            </w:pPr>
            <w:r>
              <w:rPr>
                <w:rFonts w:hint="eastAsia" w:ascii="宋体" w:hAnsi="宋体"/>
                <w:szCs w:val="21"/>
                <w:highlight w:val="none"/>
              </w:rPr>
              <w:t>电　　话：</w:t>
            </w:r>
            <w:r>
              <w:rPr>
                <w:rFonts w:ascii="宋体" w:hAnsi="宋体"/>
                <w:szCs w:val="21"/>
                <w:highlight w:val="none"/>
              </w:rPr>
              <w:t>0439-5117005</w:t>
            </w:r>
          </w:p>
          <w:p w14:paraId="3FD2B71B">
            <w:pPr>
              <w:adjustRightInd w:val="0"/>
              <w:snapToGrid w:val="0"/>
              <w:spacing w:line="340" w:lineRule="exact"/>
              <w:rPr>
                <w:rFonts w:hint="eastAsia" w:ascii="宋体" w:hAnsi="宋体"/>
                <w:szCs w:val="21"/>
                <w:highlight w:val="none"/>
              </w:rPr>
            </w:pPr>
            <w:r>
              <w:rPr>
                <w:rFonts w:hint="eastAsia" w:ascii="宋体" w:hAnsi="宋体"/>
                <w:szCs w:val="21"/>
                <w:highlight w:val="none"/>
              </w:rPr>
              <w:t>传　　真：043</w:t>
            </w:r>
            <w:r>
              <w:rPr>
                <w:rFonts w:ascii="宋体" w:hAnsi="宋体"/>
                <w:szCs w:val="21"/>
                <w:highlight w:val="none"/>
              </w:rPr>
              <w:t>9</w:t>
            </w:r>
            <w:r>
              <w:rPr>
                <w:rFonts w:hint="eastAsia" w:ascii="宋体" w:hAnsi="宋体"/>
                <w:szCs w:val="21"/>
                <w:highlight w:val="none"/>
              </w:rPr>
              <w:t>-</w:t>
            </w:r>
            <w:r>
              <w:rPr>
                <w:rFonts w:ascii="宋体" w:hAnsi="宋体"/>
                <w:szCs w:val="21"/>
                <w:highlight w:val="none"/>
              </w:rPr>
              <w:t>5117005</w:t>
            </w:r>
          </w:p>
          <w:p w14:paraId="11C74C1F">
            <w:pPr>
              <w:adjustRightInd w:val="0"/>
              <w:snapToGrid w:val="0"/>
              <w:spacing w:line="340" w:lineRule="exact"/>
              <w:rPr>
                <w:rFonts w:hint="eastAsia" w:ascii="宋体" w:hAnsi="宋体"/>
                <w:szCs w:val="21"/>
                <w:highlight w:val="none"/>
              </w:rPr>
            </w:pPr>
            <w:r>
              <w:rPr>
                <w:rFonts w:hint="eastAsia" w:ascii="宋体" w:hAnsi="宋体"/>
                <w:szCs w:val="21"/>
                <w:highlight w:val="none"/>
              </w:rPr>
              <w:t>邮　　编：</w:t>
            </w:r>
            <w:r>
              <w:rPr>
                <w:rFonts w:ascii="宋体" w:hAnsi="宋体"/>
                <w:szCs w:val="21"/>
                <w:highlight w:val="none"/>
              </w:rPr>
              <w:t>134300</w:t>
            </w:r>
          </w:p>
        </w:tc>
      </w:tr>
      <w:tr w14:paraId="5BB7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68" w:type="dxa"/>
            <w:gridSpan w:val="3"/>
            <w:vAlign w:val="center"/>
          </w:tcPr>
          <w:p w14:paraId="5036A72B">
            <w:pPr>
              <w:adjustRightInd w:val="0"/>
              <w:snapToGrid w:val="0"/>
              <w:spacing w:line="340" w:lineRule="exact"/>
              <w:rPr>
                <w:rFonts w:hint="eastAsia" w:ascii="宋体" w:hAnsi="宋体"/>
                <w:highlight w:val="none"/>
              </w:rPr>
            </w:pPr>
            <w:r>
              <w:rPr>
                <w:rFonts w:hint="eastAsia" w:ascii="宋体" w:hAnsi="宋体"/>
                <w:szCs w:val="21"/>
                <w:highlight w:val="none"/>
              </w:rPr>
              <w:t>需要补充的其他内容</w:t>
            </w:r>
          </w:p>
        </w:tc>
      </w:tr>
      <w:tr w14:paraId="763C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68" w:type="dxa"/>
            <w:gridSpan w:val="3"/>
            <w:vAlign w:val="center"/>
          </w:tcPr>
          <w:p w14:paraId="2B8D0CBF">
            <w:pPr>
              <w:adjustRightInd w:val="0"/>
              <w:snapToGrid w:val="0"/>
              <w:spacing w:line="340" w:lineRule="exact"/>
              <w:ind w:firstLine="420" w:firstLineChars="200"/>
              <w:rPr>
                <w:rFonts w:hint="eastAsia" w:ascii="黑体" w:hAnsi="黑体" w:eastAsia="黑体"/>
                <w:szCs w:val="21"/>
                <w:highlight w:val="none"/>
              </w:rPr>
            </w:pPr>
            <w:bookmarkStart w:id="18" w:name="OLE_LINK112"/>
            <w:r>
              <w:rPr>
                <w:rFonts w:hint="eastAsia" w:ascii="黑体" w:hAnsi="黑体" w:eastAsia="黑体"/>
                <w:szCs w:val="21"/>
                <w:highlight w:val="none"/>
              </w:rPr>
              <w:t>10.2 “双盲”评审：</w:t>
            </w:r>
            <w:r>
              <w:rPr>
                <w:rFonts w:hint="eastAsia" w:ascii="宋体" w:hAnsi="宋体"/>
                <w:szCs w:val="21"/>
                <w:highlight w:val="none"/>
              </w:rPr>
              <w:t>本项目采用“双盲”评审，即评标专家“盲抽”和“盲评”，</w:t>
            </w:r>
            <w:r>
              <w:rPr>
                <w:rFonts w:hint="eastAsia" w:ascii="黑体" w:hAnsi="黑体" w:eastAsia="黑体"/>
                <w:szCs w:val="21"/>
                <w:highlight w:val="none"/>
              </w:rPr>
              <w:t>投标文件的技术建议书部分采用“暗标”形式，投标人应严格按照“第六章投标文件格式”中的要求编制。如果技术建议书出现能识别投标人的内容，经评标委员会确定后，将否决其投标。</w:t>
            </w:r>
          </w:p>
          <w:p w14:paraId="7AB156CE">
            <w:pPr>
              <w:adjustRightInd w:val="0"/>
              <w:snapToGrid w:val="0"/>
              <w:spacing w:before="156" w:beforeLines="50" w:line="340" w:lineRule="exact"/>
              <w:ind w:firstLine="420" w:firstLineChars="200"/>
              <w:rPr>
                <w:rFonts w:hint="eastAsia" w:ascii="宋体" w:hAnsi="宋体" w:cs="宋体"/>
                <w:szCs w:val="21"/>
                <w:highlight w:val="none"/>
              </w:rPr>
            </w:pPr>
            <w:r>
              <w:rPr>
                <w:rFonts w:hint="eastAsia" w:ascii="宋体" w:hAnsi="宋体" w:cs="宋体"/>
                <w:szCs w:val="21"/>
                <w:highlight w:val="none"/>
              </w:rPr>
              <w:t>10.3本项目招标文件以交通运输部编制的</w:t>
            </w:r>
            <w:r>
              <w:rPr>
                <w:rFonts w:hint="eastAsia" w:ascii="宋体" w:hAnsi="宋体"/>
                <w:szCs w:val="21"/>
                <w:highlight w:val="none"/>
              </w:rPr>
              <w:t>《公路工程标准勘察设计招标文件》（2018年版，交通运输部公告2018年第26号）（以下简称《公路工程标准勘察设计招标文件》）为基础</w:t>
            </w:r>
            <w:r>
              <w:rPr>
                <w:rFonts w:hint="eastAsia" w:ascii="宋体" w:hAnsi="宋体" w:cs="宋体"/>
                <w:szCs w:val="21"/>
                <w:highlight w:val="none"/>
              </w:rPr>
              <w:t>，结合本项目的特点和管理需要编制而成，两者应结合使用。</w:t>
            </w:r>
          </w:p>
          <w:p w14:paraId="005C10C1">
            <w:pPr>
              <w:widowControl/>
              <w:spacing w:before="156" w:beforeLines="50" w:line="3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10.4“电子交易平台”中固定格式的“投标函”用于在开标时系统提取投标人填报的内容作为开标记录，由于其内容无法修改，所以第一信封和第二信封投标函格式第1条中的“施工招标”应按“勘察设计招标”理解；第一信封投标函格式第3条中的“工期”应按“勘察设计服务期限”理解。</w:t>
            </w:r>
          </w:p>
          <w:p w14:paraId="66FB6F96">
            <w:pPr>
              <w:adjustRightInd w:val="0"/>
              <w:snapToGrid w:val="0"/>
              <w:spacing w:before="156" w:beforeLines="50" w:line="340" w:lineRule="exact"/>
              <w:ind w:firstLine="420" w:firstLineChars="200"/>
              <w:rPr>
                <w:rFonts w:hint="eastAsia" w:ascii="宋体" w:hAnsi="宋体" w:cs="宋体"/>
                <w:kern w:val="1"/>
                <w:szCs w:val="21"/>
                <w:highlight w:val="none"/>
              </w:rPr>
            </w:pPr>
            <w:r>
              <w:rPr>
                <w:rFonts w:hint="eastAsia" w:ascii="宋体" w:hAnsi="宋体" w:cs="宋体"/>
                <w:kern w:val="1"/>
                <w:szCs w:val="21"/>
                <w:highlight w:val="none"/>
              </w:rPr>
              <w:t>10.5联合体投标的，投标文件封面“投标人”处只需填写联合体牵头人全称。</w:t>
            </w:r>
          </w:p>
          <w:bookmarkEnd w:id="18"/>
          <w:p w14:paraId="3B967D1E">
            <w:pPr>
              <w:adjustRightInd w:val="0"/>
              <w:snapToGrid w:val="0"/>
              <w:spacing w:before="156" w:beforeLines="50" w:line="340" w:lineRule="exact"/>
              <w:ind w:firstLine="420" w:firstLineChars="200"/>
              <w:jc w:val="left"/>
              <w:rPr>
                <w:rFonts w:hint="eastAsia" w:ascii="宋体" w:hAnsi="宋体"/>
                <w:szCs w:val="21"/>
                <w:highlight w:val="none"/>
              </w:rPr>
            </w:pPr>
            <w:r>
              <w:rPr>
                <w:rFonts w:hint="eastAsia" w:ascii="宋体" w:hAnsi="宋体"/>
                <w:szCs w:val="21"/>
                <w:highlight w:val="none"/>
              </w:rPr>
              <w:t>10.6本次电子招标投标使用公共资源交易一体化平台系统，具体要求详见《关于做好全省公共资源交易一体化平台全面运行工作的通知》（吉政数联〔2022〕5号）文件。一体化平台技术咨询服务电话：0431-82752720。</w:t>
            </w:r>
          </w:p>
          <w:p w14:paraId="174ABA53">
            <w:pPr>
              <w:adjustRightInd w:val="0"/>
              <w:snapToGrid w:val="0"/>
              <w:spacing w:before="156" w:beforeLines="50" w:line="340" w:lineRule="exact"/>
              <w:ind w:firstLine="420" w:firstLineChars="200"/>
              <w:jc w:val="left"/>
              <w:rPr>
                <w:rFonts w:hint="eastAsia" w:ascii="宋体" w:hAnsi="宋体"/>
                <w:szCs w:val="21"/>
                <w:highlight w:val="none"/>
              </w:rPr>
            </w:pPr>
            <w:r>
              <w:rPr>
                <w:rFonts w:hint="eastAsia" w:ascii="宋体" w:hAnsi="宋体"/>
                <w:szCs w:val="21"/>
                <w:highlight w:val="none"/>
              </w:rPr>
              <w:t>10.7本次电子招标投标执行“吉林省交通运输厅关于发布吉林省公路建设市场信用信息服务系统的公告”相关规定，咨询电话17390034503。</w:t>
            </w:r>
          </w:p>
          <w:p w14:paraId="68574017">
            <w:pPr>
              <w:adjustRightInd w:val="0"/>
              <w:snapToGrid w:val="0"/>
              <w:spacing w:before="156" w:beforeLines="50" w:line="340" w:lineRule="exact"/>
              <w:ind w:firstLine="420" w:firstLineChars="200"/>
              <w:jc w:val="left"/>
              <w:rPr>
                <w:rFonts w:hint="eastAsia" w:ascii="宋体" w:hAnsi="宋体"/>
                <w:szCs w:val="21"/>
                <w:highlight w:val="none"/>
              </w:rPr>
            </w:pPr>
            <w:r>
              <w:rPr>
                <w:rFonts w:hint="eastAsia" w:ascii="宋体" w:hAnsi="宋体"/>
                <w:szCs w:val="21"/>
                <w:highlight w:val="none"/>
              </w:rPr>
              <w:t>10.8本项目实施网上远程开标，投标人通过一体化平台系统进行远程投标文件解密。开标前，投标人应在准备解密的电脑端提前安装好CA 驱动并且能正常登录系统。开标时在代理机构工作人员公布投标人名单后，按顺序进行解密，由投标人选择对应的项目，进入“开标远程解密”菜单，点击远程解密并输入CA 密码，成功解密后状态会显示“已解密”。</w:t>
            </w:r>
            <w:r>
              <w:rPr>
                <w:rFonts w:hint="eastAsia" w:ascii="黑体" w:hAnsi="黑体" w:eastAsia="黑体"/>
                <w:szCs w:val="21"/>
                <w:highlight w:val="none"/>
              </w:rPr>
              <w:t>投标文件解密时需插上生成投标文件的CA 锁进行解密，且正确输入密码，投标人未在规定的时间内完成解密的视为无效投标。投标人由于数字证书遗失、损坏、更换、续期等自身原因情况导致投标文件无法解密，由投标人自行承担责任。</w:t>
            </w:r>
            <w:r>
              <w:rPr>
                <w:rFonts w:hint="eastAsia" w:ascii="宋体" w:hAnsi="宋体"/>
                <w:szCs w:val="21"/>
                <w:highlight w:val="none"/>
              </w:rPr>
              <w:t>投标人未参加开标会议或未在开标会议过程中提出异议的，视为认同开标会议结果。</w:t>
            </w:r>
          </w:p>
          <w:p w14:paraId="6B86C591">
            <w:pPr>
              <w:adjustRightInd w:val="0"/>
              <w:snapToGrid w:val="0"/>
              <w:spacing w:before="156" w:beforeLines="50" w:line="340" w:lineRule="exact"/>
              <w:ind w:firstLine="420" w:firstLineChars="200"/>
              <w:jc w:val="left"/>
              <w:rPr>
                <w:rFonts w:hint="eastAsia" w:ascii="宋体" w:hAnsi="宋体"/>
                <w:szCs w:val="21"/>
                <w:highlight w:val="none"/>
              </w:rPr>
            </w:pPr>
            <w:r>
              <w:rPr>
                <w:rFonts w:hint="eastAsia" w:ascii="宋体" w:hAnsi="宋体"/>
                <w:szCs w:val="21"/>
                <w:highlight w:val="none"/>
              </w:rPr>
              <w:t>10.9</w:t>
            </w:r>
            <w:r>
              <w:rPr>
                <w:rFonts w:hint="eastAsia" w:ascii="黑体" w:hAnsi="黑体" w:eastAsia="黑体" w:cs="宋体"/>
                <w:szCs w:val="21"/>
                <w:highlight w:val="none"/>
              </w:rPr>
              <w:t>当通过初步评审的有效投标人不足3家时，由评标委员会确定现有投标人是否具有竞争性，决定是否继续评标。</w:t>
            </w:r>
          </w:p>
          <w:p w14:paraId="34A2B189">
            <w:pPr>
              <w:adjustRightInd w:val="0"/>
              <w:snapToGrid w:val="0"/>
              <w:spacing w:before="156" w:beforeLines="50" w:line="340" w:lineRule="exact"/>
              <w:ind w:firstLine="420" w:firstLineChars="200"/>
              <w:jc w:val="left"/>
              <w:rPr>
                <w:rFonts w:hint="eastAsia" w:ascii="宋体" w:hAnsi="宋体"/>
                <w:szCs w:val="21"/>
                <w:highlight w:val="none"/>
              </w:rPr>
            </w:pPr>
            <w:r>
              <w:rPr>
                <w:rFonts w:hint="eastAsia" w:ascii="宋体" w:hAnsi="宋体"/>
                <w:szCs w:val="21"/>
                <w:highlight w:val="none"/>
              </w:rPr>
              <w:t>10.10招标代理服务费：</w:t>
            </w:r>
            <w:r>
              <w:rPr>
                <w:rFonts w:ascii="宋体" w:hAnsi="宋体"/>
                <w:color w:val="000000"/>
                <w:szCs w:val="21"/>
                <w:highlight w:val="none"/>
              </w:rPr>
              <w:t>用于本项目的招标代理服务费由中标人支付</w:t>
            </w:r>
            <w:r>
              <w:rPr>
                <w:rFonts w:ascii="宋体" w:hAnsi="宋体"/>
                <w:szCs w:val="21"/>
                <w:highlight w:val="none"/>
              </w:rPr>
              <w:t>，</w:t>
            </w:r>
            <w:r>
              <w:rPr>
                <w:rFonts w:hint="eastAsia" w:ascii="宋体" w:hAnsi="宋体"/>
                <w:szCs w:val="21"/>
                <w:highlight w:val="none"/>
              </w:rPr>
              <w:t>但此项费用应含入勘察设计费中，不得单独报价。本次招标代理费以中标人中标总额为计费基数，并按照下表费率计算招标代理服务费。</w:t>
            </w:r>
          </w:p>
          <w:tbl>
            <w:tblPr>
              <w:tblStyle w:val="23"/>
              <w:tblW w:w="5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14:paraId="6A9E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blHeader/>
                <w:jc w:val="center"/>
              </w:trPr>
              <w:tc>
                <w:tcPr>
                  <w:tcW w:w="5670" w:type="dxa"/>
                  <w:gridSpan w:val="2"/>
                  <w:vAlign w:val="center"/>
                </w:tcPr>
                <w:p w14:paraId="6081B234">
                  <w:pPr>
                    <w:adjustRightInd w:val="0"/>
                    <w:jc w:val="center"/>
                    <w:rPr>
                      <w:rFonts w:hint="eastAsia" w:ascii="楷体" w:hAnsi="楷体" w:eastAsia="楷体"/>
                      <w:szCs w:val="21"/>
                      <w:highlight w:val="none"/>
                    </w:rPr>
                  </w:pPr>
                  <w:r>
                    <w:rPr>
                      <w:rFonts w:hint="eastAsia" w:ascii="楷体" w:hAnsi="楷体" w:eastAsia="楷体"/>
                      <w:szCs w:val="21"/>
                      <w:highlight w:val="none"/>
                    </w:rPr>
                    <w:t>招标代理服务收费</w:t>
                  </w:r>
                </w:p>
              </w:tc>
            </w:tr>
            <w:tr w14:paraId="171D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blHeader/>
                <w:jc w:val="center"/>
              </w:trPr>
              <w:tc>
                <w:tcPr>
                  <w:tcW w:w="2835" w:type="dxa"/>
                  <w:vAlign w:val="center"/>
                </w:tcPr>
                <w:p w14:paraId="5927AC1C">
                  <w:pPr>
                    <w:adjustRightInd w:val="0"/>
                    <w:jc w:val="center"/>
                    <w:rPr>
                      <w:rFonts w:hint="eastAsia" w:ascii="楷体" w:hAnsi="楷体" w:eastAsia="楷体"/>
                      <w:szCs w:val="21"/>
                      <w:highlight w:val="none"/>
                    </w:rPr>
                  </w:pPr>
                  <w:r>
                    <w:rPr>
                      <w:rFonts w:hint="eastAsia" w:ascii="楷体" w:hAnsi="楷体" w:eastAsia="楷体"/>
                      <w:szCs w:val="21"/>
                      <w:highlight w:val="none"/>
                    </w:rPr>
                    <w:t>计费</w:t>
                  </w:r>
                  <w:r>
                    <w:rPr>
                      <w:rFonts w:ascii="楷体" w:hAnsi="楷体" w:eastAsia="楷体"/>
                      <w:szCs w:val="21"/>
                      <w:highlight w:val="none"/>
                    </w:rPr>
                    <w:t>基数</w:t>
                  </w:r>
                </w:p>
              </w:tc>
              <w:tc>
                <w:tcPr>
                  <w:tcW w:w="2835" w:type="dxa"/>
                  <w:vAlign w:val="center"/>
                </w:tcPr>
                <w:p w14:paraId="62028E61">
                  <w:pPr>
                    <w:adjustRightInd w:val="0"/>
                    <w:jc w:val="center"/>
                    <w:rPr>
                      <w:rFonts w:hint="eastAsia" w:ascii="楷体" w:hAnsi="楷体" w:eastAsia="楷体"/>
                      <w:szCs w:val="21"/>
                      <w:highlight w:val="none"/>
                    </w:rPr>
                  </w:pPr>
                  <w:r>
                    <w:rPr>
                      <w:rFonts w:ascii="楷体" w:hAnsi="楷体" w:eastAsia="楷体"/>
                      <w:szCs w:val="21"/>
                      <w:highlight w:val="none"/>
                    </w:rPr>
                    <w:t>费率</w:t>
                  </w:r>
                </w:p>
              </w:tc>
            </w:tr>
            <w:tr w14:paraId="2666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vAlign w:val="center"/>
                </w:tcPr>
                <w:p w14:paraId="4ED9B6EF">
                  <w:pPr>
                    <w:adjustRightInd w:val="0"/>
                    <w:jc w:val="center"/>
                    <w:rPr>
                      <w:rFonts w:hint="eastAsia" w:ascii="楷体" w:hAnsi="楷体" w:eastAsia="楷体"/>
                      <w:szCs w:val="21"/>
                      <w:highlight w:val="none"/>
                    </w:rPr>
                  </w:pPr>
                  <w:r>
                    <w:rPr>
                      <w:rFonts w:hint="eastAsia" w:ascii="楷体" w:hAnsi="楷体" w:eastAsia="楷体"/>
                      <w:szCs w:val="21"/>
                      <w:highlight w:val="none"/>
                    </w:rPr>
                    <w:t>100万元以下</w:t>
                  </w:r>
                </w:p>
              </w:tc>
              <w:tc>
                <w:tcPr>
                  <w:tcW w:w="2835" w:type="dxa"/>
                  <w:vAlign w:val="center"/>
                </w:tcPr>
                <w:p w14:paraId="114BDCE6">
                  <w:pPr>
                    <w:adjustRightInd w:val="0"/>
                    <w:jc w:val="center"/>
                    <w:rPr>
                      <w:rFonts w:hint="eastAsia" w:ascii="楷体" w:hAnsi="楷体" w:eastAsia="楷体"/>
                      <w:szCs w:val="21"/>
                      <w:highlight w:val="none"/>
                    </w:rPr>
                  </w:pPr>
                  <w:r>
                    <w:rPr>
                      <w:rFonts w:ascii="楷体" w:hAnsi="楷体" w:eastAsia="楷体"/>
                      <w:szCs w:val="21"/>
                      <w:highlight w:val="none"/>
                    </w:rPr>
                    <w:t>1.</w:t>
                  </w:r>
                  <w:r>
                    <w:rPr>
                      <w:rFonts w:hint="eastAsia" w:ascii="楷体" w:hAnsi="楷体" w:eastAsia="楷体"/>
                      <w:szCs w:val="21"/>
                      <w:highlight w:val="none"/>
                    </w:rPr>
                    <w:t>5</w:t>
                  </w:r>
                  <w:r>
                    <w:rPr>
                      <w:rFonts w:ascii="楷体" w:hAnsi="楷体" w:eastAsia="楷体"/>
                      <w:szCs w:val="21"/>
                      <w:highlight w:val="none"/>
                    </w:rPr>
                    <w:t>%</w:t>
                  </w:r>
                </w:p>
              </w:tc>
            </w:tr>
            <w:tr w14:paraId="14D2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vAlign w:val="center"/>
                </w:tcPr>
                <w:p w14:paraId="34944AD5">
                  <w:pPr>
                    <w:adjustRightInd w:val="0"/>
                    <w:jc w:val="center"/>
                    <w:rPr>
                      <w:rFonts w:hint="eastAsia" w:ascii="楷体" w:hAnsi="楷体" w:eastAsia="楷体"/>
                      <w:szCs w:val="21"/>
                      <w:highlight w:val="none"/>
                    </w:rPr>
                  </w:pPr>
                  <w:r>
                    <w:rPr>
                      <w:rFonts w:hint="eastAsia" w:ascii="楷体" w:hAnsi="楷体" w:eastAsia="楷体"/>
                      <w:szCs w:val="21"/>
                      <w:highlight w:val="none"/>
                    </w:rPr>
                    <w:t>100～500万元</w:t>
                  </w:r>
                </w:p>
              </w:tc>
              <w:tc>
                <w:tcPr>
                  <w:tcW w:w="2835" w:type="dxa"/>
                  <w:vAlign w:val="center"/>
                </w:tcPr>
                <w:p w14:paraId="38078DAB">
                  <w:pPr>
                    <w:adjustRightInd w:val="0"/>
                    <w:jc w:val="center"/>
                    <w:rPr>
                      <w:rFonts w:hint="eastAsia" w:ascii="楷体" w:hAnsi="楷体" w:eastAsia="楷体"/>
                      <w:szCs w:val="21"/>
                      <w:highlight w:val="none"/>
                    </w:rPr>
                  </w:pPr>
                  <w:r>
                    <w:rPr>
                      <w:rFonts w:ascii="楷体" w:hAnsi="楷体" w:eastAsia="楷体"/>
                      <w:szCs w:val="21"/>
                      <w:highlight w:val="none"/>
                    </w:rPr>
                    <w:t>0.</w:t>
                  </w:r>
                  <w:r>
                    <w:rPr>
                      <w:rFonts w:hint="eastAsia" w:ascii="楷体" w:hAnsi="楷体" w:eastAsia="楷体"/>
                      <w:szCs w:val="21"/>
                      <w:highlight w:val="none"/>
                    </w:rPr>
                    <w:t>8</w:t>
                  </w:r>
                  <w:r>
                    <w:rPr>
                      <w:rFonts w:ascii="楷体" w:hAnsi="楷体" w:eastAsia="楷体"/>
                      <w:szCs w:val="21"/>
                      <w:highlight w:val="none"/>
                    </w:rPr>
                    <w:t>%</w:t>
                  </w:r>
                </w:p>
              </w:tc>
            </w:tr>
            <w:tr w14:paraId="619C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35" w:type="dxa"/>
                  <w:vAlign w:val="center"/>
                </w:tcPr>
                <w:p w14:paraId="71482320">
                  <w:pPr>
                    <w:adjustRightInd w:val="0"/>
                    <w:jc w:val="center"/>
                    <w:rPr>
                      <w:rFonts w:hint="eastAsia" w:ascii="楷体" w:hAnsi="楷体" w:eastAsia="楷体"/>
                      <w:szCs w:val="21"/>
                      <w:highlight w:val="none"/>
                    </w:rPr>
                  </w:pPr>
                  <w:r>
                    <w:rPr>
                      <w:rFonts w:ascii="楷体" w:hAnsi="楷体" w:eastAsia="楷体"/>
                      <w:szCs w:val="21"/>
                      <w:highlight w:val="none"/>
                    </w:rPr>
                    <w:t>5</w:t>
                  </w:r>
                  <w:r>
                    <w:rPr>
                      <w:rFonts w:hint="eastAsia" w:ascii="楷体" w:hAnsi="楷体" w:eastAsia="楷体"/>
                      <w:szCs w:val="21"/>
                      <w:highlight w:val="none"/>
                    </w:rPr>
                    <w:t>00～</w:t>
                  </w:r>
                  <w:r>
                    <w:rPr>
                      <w:rFonts w:ascii="楷体" w:hAnsi="楷体" w:eastAsia="楷体"/>
                      <w:szCs w:val="21"/>
                      <w:highlight w:val="none"/>
                    </w:rPr>
                    <w:t>10</w:t>
                  </w:r>
                  <w:r>
                    <w:rPr>
                      <w:rFonts w:hint="eastAsia" w:ascii="楷体" w:hAnsi="楷体" w:eastAsia="楷体"/>
                      <w:szCs w:val="21"/>
                      <w:highlight w:val="none"/>
                    </w:rPr>
                    <w:t>00万元</w:t>
                  </w:r>
                </w:p>
              </w:tc>
              <w:tc>
                <w:tcPr>
                  <w:tcW w:w="2835" w:type="dxa"/>
                  <w:vAlign w:val="center"/>
                </w:tcPr>
                <w:p w14:paraId="77786A8C">
                  <w:pPr>
                    <w:adjustRightInd w:val="0"/>
                    <w:jc w:val="center"/>
                    <w:rPr>
                      <w:rFonts w:hint="eastAsia" w:ascii="楷体" w:hAnsi="楷体" w:eastAsia="楷体"/>
                      <w:szCs w:val="21"/>
                      <w:highlight w:val="none"/>
                    </w:rPr>
                  </w:pPr>
                  <w:r>
                    <w:rPr>
                      <w:rFonts w:ascii="楷体" w:hAnsi="楷体" w:eastAsia="楷体"/>
                      <w:szCs w:val="21"/>
                      <w:highlight w:val="none"/>
                    </w:rPr>
                    <w:t>0.45%</w:t>
                  </w:r>
                </w:p>
              </w:tc>
            </w:tr>
          </w:tbl>
          <w:p w14:paraId="4B1AA4B3">
            <w:pPr>
              <w:adjustRightInd w:val="0"/>
              <w:spacing w:line="340" w:lineRule="exact"/>
              <w:ind w:firstLine="840" w:firstLineChars="400"/>
              <w:jc w:val="left"/>
              <w:rPr>
                <w:rFonts w:hint="eastAsia" w:ascii="楷体" w:hAnsi="楷体" w:eastAsia="楷体"/>
                <w:szCs w:val="21"/>
                <w:highlight w:val="none"/>
              </w:rPr>
            </w:pPr>
            <w:r>
              <w:rPr>
                <w:rFonts w:ascii="楷体" w:hAnsi="楷体" w:eastAsia="楷体"/>
                <w:szCs w:val="21"/>
                <w:highlight w:val="none"/>
              </w:rPr>
              <w:t>招标代理服务收费</w:t>
            </w:r>
            <w:r>
              <w:rPr>
                <w:rFonts w:hint="eastAsia" w:ascii="楷体" w:hAnsi="楷体" w:eastAsia="楷体"/>
                <w:szCs w:val="21"/>
                <w:highlight w:val="none"/>
              </w:rPr>
              <w:t>基准价格</w:t>
            </w:r>
            <w:r>
              <w:rPr>
                <w:rFonts w:ascii="楷体" w:hAnsi="楷体" w:eastAsia="楷体"/>
                <w:szCs w:val="21"/>
                <w:highlight w:val="none"/>
              </w:rPr>
              <w:t>按差额定率累进法计算。</w:t>
            </w:r>
          </w:p>
          <w:p w14:paraId="582D31CE">
            <w:pPr>
              <w:adjustRightInd w:val="0"/>
              <w:snapToGrid w:val="0"/>
              <w:spacing w:line="340" w:lineRule="exact"/>
              <w:ind w:firstLine="210" w:firstLineChars="100"/>
              <w:jc w:val="left"/>
              <w:rPr>
                <w:rFonts w:hint="eastAsia" w:ascii="宋体" w:hAnsi="宋体"/>
                <w:szCs w:val="21"/>
                <w:highlight w:val="none"/>
              </w:rPr>
            </w:pPr>
            <w:r>
              <w:rPr>
                <w:rFonts w:hint="eastAsia" w:ascii="宋体" w:hAnsi="宋体"/>
                <w:szCs w:val="21"/>
                <w:highlight w:val="none"/>
              </w:rPr>
              <w:t>在领取中标通知书时，中标人应将</w:t>
            </w:r>
            <w:r>
              <w:rPr>
                <w:rFonts w:ascii="宋体" w:hAnsi="宋体"/>
                <w:szCs w:val="21"/>
                <w:highlight w:val="none"/>
              </w:rPr>
              <w:t>招标代理服务费</w:t>
            </w:r>
            <w:r>
              <w:rPr>
                <w:rFonts w:hint="eastAsia" w:ascii="宋体" w:hAnsi="宋体"/>
                <w:szCs w:val="21"/>
                <w:highlight w:val="none"/>
              </w:rPr>
              <w:t>以转账形式或招标代理机构与中标人共同认可的其他形式递交至以下账户：</w:t>
            </w:r>
          </w:p>
          <w:p w14:paraId="46195C18">
            <w:pPr>
              <w:spacing w:line="340" w:lineRule="exact"/>
              <w:ind w:firstLine="420" w:firstLineChars="200"/>
              <w:rPr>
                <w:rFonts w:hint="eastAsia" w:ascii="黑体" w:hAnsi="黑体" w:eastAsia="黑体"/>
                <w:szCs w:val="21"/>
                <w:highlight w:val="none"/>
              </w:rPr>
            </w:pPr>
            <w:r>
              <w:rPr>
                <w:rFonts w:hint="eastAsia" w:ascii="黑体" w:hAnsi="黑体" w:eastAsia="黑体"/>
                <w:szCs w:val="21"/>
                <w:highlight w:val="none"/>
              </w:rPr>
              <w:t xml:space="preserve">开户名称：吉林省伟邦公路技术有限公司 </w:t>
            </w:r>
          </w:p>
          <w:p w14:paraId="55EEE60D">
            <w:pPr>
              <w:spacing w:line="340" w:lineRule="exact"/>
              <w:ind w:firstLine="420" w:firstLineChars="200"/>
              <w:rPr>
                <w:rFonts w:hint="eastAsia" w:ascii="黑体" w:hAnsi="黑体" w:eastAsia="黑体"/>
                <w:szCs w:val="21"/>
                <w:highlight w:val="none"/>
              </w:rPr>
            </w:pPr>
            <w:r>
              <w:rPr>
                <w:rFonts w:hint="eastAsia" w:ascii="黑体" w:hAnsi="黑体" w:eastAsia="黑体"/>
                <w:szCs w:val="21"/>
                <w:highlight w:val="none"/>
              </w:rPr>
              <w:t xml:space="preserve">开户银行：建设银行九台支行 </w:t>
            </w:r>
          </w:p>
          <w:p w14:paraId="7642A837">
            <w:pPr>
              <w:adjustRightInd w:val="0"/>
              <w:snapToGrid w:val="0"/>
              <w:spacing w:line="340" w:lineRule="exact"/>
              <w:ind w:firstLine="420" w:firstLineChars="200"/>
              <w:jc w:val="left"/>
              <w:rPr>
                <w:rFonts w:hint="eastAsia" w:ascii="宋体" w:hAnsi="宋体"/>
                <w:szCs w:val="21"/>
                <w:highlight w:val="none"/>
              </w:rPr>
            </w:pPr>
            <w:r>
              <w:rPr>
                <w:rFonts w:hint="eastAsia" w:ascii="黑体" w:hAnsi="黑体" w:eastAsia="黑体"/>
                <w:szCs w:val="21"/>
                <w:highlight w:val="none"/>
              </w:rPr>
              <w:t>银行账号：22001390100055001391</w:t>
            </w:r>
          </w:p>
        </w:tc>
      </w:tr>
    </w:tbl>
    <w:p w14:paraId="7FC23D3C">
      <w:pPr>
        <w:pStyle w:val="3"/>
        <w:adjustRightInd w:val="0"/>
        <w:snapToGrid w:val="0"/>
        <w:spacing w:before="0" w:after="0" w:line="240" w:lineRule="auto"/>
        <w:jc w:val="center"/>
        <w:rPr>
          <w:b w:val="0"/>
          <w:bCs w:val="0"/>
          <w:sz w:val="24"/>
          <w:highlight w:val="none"/>
          <w:u w:val="single" w:color="FFFFFF"/>
        </w:rPr>
      </w:pPr>
      <w:bookmarkStart w:id="19" w:name="_Toc478456012"/>
      <w:bookmarkStart w:id="20" w:name="_Toc327432506"/>
    </w:p>
    <w:p w14:paraId="268B0506">
      <w:pPr>
        <w:pStyle w:val="3"/>
        <w:adjustRightInd w:val="0"/>
        <w:snapToGrid w:val="0"/>
        <w:spacing w:before="0" w:after="0" w:line="240" w:lineRule="auto"/>
        <w:jc w:val="center"/>
        <w:rPr>
          <w:b w:val="0"/>
          <w:bCs w:val="0"/>
          <w:sz w:val="28"/>
          <w:szCs w:val="28"/>
          <w:highlight w:val="none"/>
        </w:rPr>
      </w:pPr>
    </w:p>
    <w:p w14:paraId="59B4347C">
      <w:pPr>
        <w:pStyle w:val="3"/>
        <w:adjustRightInd w:val="0"/>
        <w:snapToGrid w:val="0"/>
        <w:spacing w:before="0" w:after="0" w:line="240" w:lineRule="auto"/>
        <w:jc w:val="center"/>
        <w:rPr>
          <w:b w:val="0"/>
          <w:bCs w:val="0"/>
          <w:sz w:val="28"/>
          <w:szCs w:val="28"/>
          <w:highlight w:val="none"/>
        </w:rPr>
      </w:pPr>
      <w:bookmarkStart w:id="21" w:name="_Toc222906196"/>
      <w:r>
        <w:rPr>
          <w:rFonts w:hint="eastAsia"/>
          <w:b w:val="0"/>
          <w:bCs w:val="0"/>
          <w:sz w:val="28"/>
          <w:szCs w:val="28"/>
          <w:highlight w:val="none"/>
        </w:rPr>
        <w:t>附录1  资格审查条件（资质最低要求）</w:t>
      </w:r>
      <w:bookmarkEnd w:id="19"/>
      <w:bookmarkEnd w:id="20"/>
      <w:bookmarkEnd w:id="21"/>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797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714E6577">
            <w:pPr>
              <w:adjustRightInd w:val="0"/>
              <w:snapToGrid w:val="0"/>
              <w:jc w:val="center"/>
              <w:rPr>
                <w:rFonts w:hint="eastAsia" w:ascii="宋体" w:hAnsi="宋体"/>
                <w:szCs w:val="21"/>
                <w:highlight w:val="none"/>
              </w:rPr>
            </w:pPr>
            <w:r>
              <w:rPr>
                <w:rFonts w:hint="eastAsia" w:ascii="宋体" w:hAnsi="宋体"/>
                <w:szCs w:val="21"/>
                <w:highlight w:val="none"/>
              </w:rPr>
              <w:t>勘察设计企业资质等级要求</w:t>
            </w:r>
          </w:p>
        </w:tc>
      </w:tr>
      <w:tr w14:paraId="02DC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000" w:type="pct"/>
            <w:vAlign w:val="center"/>
          </w:tcPr>
          <w:p w14:paraId="6482A40F">
            <w:pPr>
              <w:adjustRightInd w:val="0"/>
              <w:snapToGrid w:val="0"/>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投标人须同时具备住房和城乡建设主管部门颁发的工程设计公路行业（公路）专业乙级资质、工程设计公路行业（特大桥梁）专业甲级资质、工程勘察专业类【岩土工程（勘察）】甲级资质、工程勘察专业类（工程测量）乙级资质。</w:t>
            </w:r>
          </w:p>
        </w:tc>
      </w:tr>
    </w:tbl>
    <w:p w14:paraId="67799DF2">
      <w:pPr>
        <w:pStyle w:val="3"/>
        <w:adjustRightInd w:val="0"/>
        <w:spacing w:before="0" w:after="0" w:line="240" w:lineRule="auto"/>
        <w:jc w:val="center"/>
        <w:rPr>
          <w:b w:val="0"/>
          <w:bCs w:val="0"/>
          <w:sz w:val="28"/>
          <w:szCs w:val="28"/>
          <w:highlight w:val="none"/>
        </w:rPr>
      </w:pPr>
      <w:bookmarkStart w:id="22" w:name="_Toc478456013"/>
      <w:bookmarkStart w:id="23" w:name="_Toc327432507"/>
    </w:p>
    <w:p w14:paraId="47F407CE">
      <w:pPr>
        <w:rPr>
          <w:highlight w:val="none"/>
        </w:rPr>
      </w:pPr>
    </w:p>
    <w:p w14:paraId="1D1C6576">
      <w:pPr>
        <w:pStyle w:val="3"/>
        <w:adjustRightInd w:val="0"/>
        <w:spacing w:before="0" w:after="0" w:line="240" w:lineRule="auto"/>
        <w:jc w:val="center"/>
        <w:rPr>
          <w:b w:val="0"/>
          <w:bCs w:val="0"/>
          <w:sz w:val="28"/>
          <w:szCs w:val="28"/>
          <w:highlight w:val="none"/>
        </w:rPr>
      </w:pPr>
      <w:bookmarkStart w:id="24" w:name="_Toc222906197"/>
      <w:r>
        <w:rPr>
          <w:rFonts w:hint="eastAsia"/>
          <w:b w:val="0"/>
          <w:bCs w:val="0"/>
          <w:sz w:val="28"/>
          <w:szCs w:val="28"/>
          <w:highlight w:val="none"/>
        </w:rPr>
        <w:t>附录2  资格审查条件（业绩最低要求）</w:t>
      </w:r>
      <w:bookmarkEnd w:id="22"/>
      <w:bookmarkEnd w:id="23"/>
      <w:bookmarkEnd w:id="24"/>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C2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56D28C5">
            <w:pPr>
              <w:adjustRightInd w:val="0"/>
              <w:snapToGrid w:val="0"/>
              <w:jc w:val="center"/>
              <w:rPr>
                <w:rFonts w:hint="eastAsia" w:ascii="宋体" w:hAnsi="宋体"/>
                <w:szCs w:val="21"/>
                <w:highlight w:val="none"/>
              </w:rPr>
            </w:pPr>
            <w:r>
              <w:rPr>
                <w:rFonts w:hint="eastAsia" w:ascii="宋体" w:hAnsi="宋体"/>
                <w:szCs w:val="21"/>
                <w:highlight w:val="none"/>
              </w:rPr>
              <w:t>业绩要求</w:t>
            </w:r>
          </w:p>
        </w:tc>
      </w:tr>
      <w:tr w14:paraId="4934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00" w:type="pct"/>
            <w:vAlign w:val="center"/>
          </w:tcPr>
          <w:p w14:paraId="5F224C1D">
            <w:pPr>
              <w:tabs>
                <w:tab w:val="left" w:pos="540"/>
              </w:tabs>
              <w:spacing w:line="360" w:lineRule="exact"/>
              <w:ind w:left="-11"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投标人近五年内（</w:t>
            </w:r>
            <w:r>
              <w:rPr>
                <w:rFonts w:hint="eastAsia" w:ascii="宋体" w:hAnsi="宋体"/>
                <w:color w:val="000000" w:themeColor="text1"/>
                <w:highlight w:val="none"/>
                <w14:textFill>
                  <w14:solidFill>
                    <w14:schemeClr w14:val="tx1"/>
                  </w14:solidFill>
                </w14:textFill>
              </w:rPr>
              <w:t>指2021年1月1日至投标截止时间，</w:t>
            </w:r>
            <w:r>
              <w:rPr>
                <w:rFonts w:hint="eastAsia" w:ascii="宋体" w:hAnsi="宋体"/>
                <w:color w:val="000000" w:themeColor="text1"/>
                <w:szCs w:val="21"/>
                <w:highlight w:val="none"/>
                <w14:textFill>
                  <w14:solidFill>
                    <w14:schemeClr w14:val="tx1"/>
                  </w14:solidFill>
                </w14:textFill>
              </w:rPr>
              <w:t>以相应的批复时间为准）完成过二级（含）以上公路工程设计业绩累计不少于9公里（一级公路和高速公路业绩全幅按2倍长度计算、半幅按1倍长度计算）。</w:t>
            </w:r>
          </w:p>
          <w:p w14:paraId="41CED950">
            <w:pPr>
              <w:tabs>
                <w:tab w:val="left" w:pos="540"/>
              </w:tabs>
              <w:spacing w:line="360" w:lineRule="exact"/>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注：①设计业绩应为国内新建、改扩建公路工程的业绩，养护工程业绩不予认定。</w:t>
            </w:r>
          </w:p>
          <w:p w14:paraId="3773B7AB">
            <w:pPr>
              <w:tabs>
                <w:tab w:val="left" w:pos="540"/>
              </w:tabs>
              <w:spacing w:line="360" w:lineRule="exact"/>
              <w:ind w:left="-14" w:firstLine="420" w:firstLineChars="200"/>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②设计业绩同一项目包括初步设计和施工图设计的，当设计段落重复时不重复计算。</w:t>
            </w:r>
          </w:p>
          <w:p w14:paraId="6D59DA49">
            <w:pPr>
              <w:tabs>
                <w:tab w:val="left" w:pos="540"/>
              </w:tabs>
              <w:spacing w:line="360" w:lineRule="exact"/>
              <w:ind w:firstLine="420" w:firstLineChars="200"/>
              <w:rPr>
                <w:rFonts w:hint="eastAsia" w:ascii="楷体" w:hAnsi="楷体" w:eastAsia="楷体"/>
                <w:color w:val="000000" w:themeColor="text1"/>
                <w:szCs w:val="21"/>
                <w:highlight w:val="none"/>
                <w14:textFill>
                  <w14:solidFill>
                    <w14:schemeClr w14:val="tx1"/>
                  </w14:solidFill>
                </w14:textFill>
              </w:rPr>
            </w:pPr>
            <w:r>
              <w:rPr>
                <w:rFonts w:hint="eastAsia" w:ascii="楷体" w:hAnsi="楷体" w:eastAsia="楷体"/>
                <w:color w:val="000000" w:themeColor="text1"/>
                <w:szCs w:val="21"/>
                <w:highlight w:val="none"/>
                <w14:textFill>
                  <w14:solidFill>
                    <w14:schemeClr w14:val="tx1"/>
                  </w14:solidFill>
                </w14:textFill>
              </w:rPr>
              <w:t>③设计业绩应为已列入交通运输部“全国公路建设市场监督管理系统”或省级交通运输主管部门“公路建设市场信用信息管理系统” 并公开的主包或分包业绩。</w:t>
            </w:r>
          </w:p>
          <w:p w14:paraId="591301B2">
            <w:pPr>
              <w:tabs>
                <w:tab w:val="left" w:pos="540"/>
              </w:tabs>
              <w:spacing w:line="400" w:lineRule="exact"/>
              <w:ind w:left="-14" w:firstLine="420" w:firstLineChars="200"/>
              <w:jc w:val="left"/>
              <w:rPr>
                <w:rFonts w:hint="eastAsia" w:ascii="宋体" w:hAnsi="宋体"/>
                <w:szCs w:val="21"/>
                <w:highlight w:val="none"/>
              </w:rPr>
            </w:pPr>
            <w:r>
              <w:rPr>
                <w:rFonts w:hint="eastAsia" w:ascii="楷体" w:hAnsi="楷体" w:eastAsia="楷体"/>
                <w:color w:val="000000" w:themeColor="text1"/>
                <w:szCs w:val="21"/>
                <w:highlight w:val="none"/>
                <w14:textFill>
                  <w14:solidFill>
                    <w14:schemeClr w14:val="tx1"/>
                  </w14:solidFill>
                </w14:textFill>
              </w:rPr>
              <w:t>④以联合体形式投标的，公路工程设计业绩以牵头人业绩为准。</w:t>
            </w:r>
          </w:p>
        </w:tc>
      </w:tr>
    </w:tbl>
    <w:p w14:paraId="131191F7">
      <w:pPr>
        <w:pStyle w:val="3"/>
        <w:adjustRightInd w:val="0"/>
        <w:spacing w:before="0" w:after="0" w:line="240" w:lineRule="auto"/>
        <w:jc w:val="center"/>
        <w:rPr>
          <w:b w:val="0"/>
          <w:bCs w:val="0"/>
          <w:sz w:val="28"/>
          <w:szCs w:val="28"/>
          <w:highlight w:val="none"/>
        </w:rPr>
      </w:pPr>
    </w:p>
    <w:p w14:paraId="5A89F995">
      <w:pPr>
        <w:rPr>
          <w:highlight w:val="none"/>
        </w:rPr>
      </w:pPr>
    </w:p>
    <w:p w14:paraId="3D9A3CB7">
      <w:pPr>
        <w:pStyle w:val="3"/>
        <w:adjustRightInd w:val="0"/>
        <w:spacing w:before="0" w:after="0" w:line="240" w:lineRule="auto"/>
        <w:jc w:val="center"/>
        <w:rPr>
          <w:b w:val="0"/>
          <w:bCs w:val="0"/>
          <w:sz w:val="28"/>
          <w:szCs w:val="28"/>
          <w:highlight w:val="none"/>
        </w:rPr>
      </w:pPr>
      <w:bookmarkStart w:id="25" w:name="_Toc222906198"/>
      <w:r>
        <w:rPr>
          <w:rFonts w:hint="eastAsia"/>
          <w:b w:val="0"/>
          <w:bCs w:val="0"/>
          <w:sz w:val="28"/>
          <w:szCs w:val="28"/>
          <w:highlight w:val="none"/>
        </w:rPr>
        <w:t>附录3  资格审查条件（信誉最低要求）</w:t>
      </w:r>
      <w:bookmarkEnd w:id="25"/>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45E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vAlign w:val="center"/>
          </w:tcPr>
          <w:p w14:paraId="61181803">
            <w:pPr>
              <w:adjustRightInd w:val="0"/>
              <w:jc w:val="center"/>
              <w:rPr>
                <w:rFonts w:hint="eastAsia" w:ascii="宋体" w:hAnsi="宋体"/>
                <w:szCs w:val="21"/>
                <w:highlight w:val="none"/>
              </w:rPr>
            </w:pPr>
            <w:r>
              <w:rPr>
                <w:rFonts w:hint="eastAsia" w:ascii="宋体" w:hAnsi="宋体"/>
                <w:szCs w:val="21"/>
                <w:highlight w:val="none"/>
              </w:rPr>
              <w:t>信誉要求</w:t>
            </w:r>
          </w:p>
        </w:tc>
      </w:tr>
      <w:tr w14:paraId="7633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000" w:type="pct"/>
            <w:vAlign w:val="center"/>
          </w:tcPr>
          <w:p w14:paraId="5956E8F2">
            <w:pPr>
              <w:widowControl/>
              <w:adjustRightInd w:val="0"/>
              <w:ind w:firstLine="420" w:firstLineChars="200"/>
              <w:jc w:val="left"/>
              <w:rPr>
                <w:rFonts w:hint="eastAsia" w:ascii="宋体" w:hAnsi="宋体"/>
                <w:szCs w:val="21"/>
                <w:highlight w:val="none"/>
              </w:rPr>
            </w:pPr>
            <w:r>
              <w:rPr>
                <w:rFonts w:hint="eastAsia" w:ascii="宋体" w:hAnsi="宋体"/>
                <w:szCs w:val="21"/>
                <w:highlight w:val="none"/>
              </w:rPr>
              <w:t>投标人（包括联合体各成员）不存在第二章“投标人须知”第1.4.4项规定的不良状况或不良信用记录。</w:t>
            </w:r>
          </w:p>
        </w:tc>
      </w:tr>
    </w:tbl>
    <w:p w14:paraId="629D2BB5">
      <w:pPr>
        <w:pStyle w:val="3"/>
        <w:adjustRightInd w:val="0"/>
        <w:spacing w:before="0" w:after="0" w:line="240" w:lineRule="auto"/>
        <w:jc w:val="center"/>
        <w:rPr>
          <w:b w:val="0"/>
          <w:bCs w:val="0"/>
          <w:sz w:val="28"/>
          <w:szCs w:val="28"/>
          <w:highlight w:val="none"/>
        </w:rPr>
      </w:pPr>
      <w:bookmarkStart w:id="26" w:name="_Toc478456014"/>
    </w:p>
    <w:p w14:paraId="64136DCF">
      <w:pPr>
        <w:rPr>
          <w:highlight w:val="none"/>
        </w:rPr>
      </w:pPr>
    </w:p>
    <w:p w14:paraId="3C1C7A6F">
      <w:pPr>
        <w:rPr>
          <w:highlight w:val="none"/>
        </w:rPr>
      </w:pPr>
    </w:p>
    <w:p w14:paraId="211F7CD0">
      <w:pPr>
        <w:rPr>
          <w:highlight w:val="none"/>
        </w:rPr>
      </w:pPr>
      <w:bookmarkStart w:id="33" w:name="_GoBack"/>
      <w:bookmarkEnd w:id="33"/>
    </w:p>
    <w:p w14:paraId="207769B3">
      <w:pPr>
        <w:pStyle w:val="3"/>
        <w:adjustRightInd w:val="0"/>
        <w:spacing w:before="0" w:after="0" w:line="240" w:lineRule="auto"/>
        <w:jc w:val="center"/>
        <w:rPr>
          <w:b w:val="0"/>
          <w:bCs w:val="0"/>
          <w:sz w:val="28"/>
          <w:szCs w:val="28"/>
          <w:highlight w:val="none"/>
        </w:rPr>
      </w:pPr>
      <w:bookmarkStart w:id="27" w:name="_Toc222906199"/>
      <w:r>
        <w:rPr>
          <w:rFonts w:hint="eastAsia"/>
          <w:b w:val="0"/>
          <w:bCs w:val="0"/>
          <w:sz w:val="28"/>
          <w:szCs w:val="28"/>
          <w:highlight w:val="none"/>
        </w:rPr>
        <w:t>附录4  资格审查条件（项目负责人最低要求）</w:t>
      </w:r>
      <w:bookmarkEnd w:id="26"/>
      <w:bookmarkEnd w:id="27"/>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838"/>
        <w:gridCol w:w="7513"/>
      </w:tblGrid>
      <w:tr w14:paraId="4B1B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63" w:type="pct"/>
            <w:vAlign w:val="center"/>
          </w:tcPr>
          <w:p w14:paraId="201ECE32">
            <w:pPr>
              <w:adjustRightInd w:val="0"/>
              <w:jc w:val="center"/>
              <w:rPr>
                <w:rFonts w:hint="eastAsia" w:ascii="宋体" w:hAnsi="宋体"/>
                <w:szCs w:val="21"/>
                <w:highlight w:val="none"/>
              </w:rPr>
            </w:pPr>
            <w:r>
              <w:rPr>
                <w:rFonts w:hint="eastAsia" w:ascii="宋体" w:hAnsi="宋体"/>
                <w:szCs w:val="21"/>
                <w:highlight w:val="none"/>
              </w:rPr>
              <w:t>人员</w:t>
            </w:r>
          </w:p>
        </w:tc>
        <w:tc>
          <w:tcPr>
            <w:tcW w:w="425" w:type="pct"/>
            <w:vAlign w:val="center"/>
          </w:tcPr>
          <w:p w14:paraId="58D929A8">
            <w:pPr>
              <w:adjustRightInd w:val="0"/>
              <w:jc w:val="center"/>
              <w:rPr>
                <w:rFonts w:hint="eastAsia" w:ascii="宋体" w:hAnsi="宋体"/>
                <w:szCs w:val="21"/>
                <w:highlight w:val="none"/>
              </w:rPr>
            </w:pPr>
            <w:r>
              <w:rPr>
                <w:rFonts w:hint="eastAsia" w:ascii="宋体" w:hAnsi="宋体"/>
                <w:szCs w:val="21"/>
                <w:highlight w:val="none"/>
              </w:rPr>
              <w:t>数量</w:t>
            </w:r>
          </w:p>
        </w:tc>
        <w:tc>
          <w:tcPr>
            <w:tcW w:w="3812" w:type="pct"/>
            <w:vAlign w:val="center"/>
          </w:tcPr>
          <w:p w14:paraId="1E1FF58A">
            <w:pPr>
              <w:adjustRightInd w:val="0"/>
              <w:jc w:val="center"/>
              <w:rPr>
                <w:rFonts w:hint="eastAsia" w:ascii="宋体" w:hAnsi="宋体"/>
                <w:szCs w:val="21"/>
                <w:highlight w:val="none"/>
              </w:rPr>
            </w:pPr>
            <w:r>
              <w:rPr>
                <w:rFonts w:hint="eastAsia" w:ascii="宋体" w:hAnsi="宋体"/>
                <w:szCs w:val="21"/>
                <w:highlight w:val="none"/>
              </w:rPr>
              <w:t>资 格 要 求</w:t>
            </w:r>
          </w:p>
        </w:tc>
      </w:tr>
      <w:tr w14:paraId="35FC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63" w:type="pct"/>
            <w:vAlign w:val="center"/>
          </w:tcPr>
          <w:p w14:paraId="75E4BDDB">
            <w:pPr>
              <w:adjustRightInd w:val="0"/>
              <w:snapToGrid w:val="0"/>
              <w:jc w:val="center"/>
              <w:rPr>
                <w:rFonts w:hint="eastAsia" w:ascii="宋体" w:hAnsi="宋体"/>
                <w:szCs w:val="21"/>
                <w:highlight w:val="none"/>
              </w:rPr>
            </w:pPr>
            <w:r>
              <w:rPr>
                <w:rFonts w:hint="eastAsia" w:ascii="宋体" w:hAnsi="宋体"/>
                <w:szCs w:val="21"/>
                <w:highlight w:val="none"/>
              </w:rPr>
              <w:t>项目负责人</w:t>
            </w:r>
          </w:p>
        </w:tc>
        <w:tc>
          <w:tcPr>
            <w:tcW w:w="425" w:type="pct"/>
            <w:vAlign w:val="center"/>
          </w:tcPr>
          <w:p w14:paraId="6354791C">
            <w:pPr>
              <w:adjustRightInd w:val="0"/>
              <w:snapToGrid w:val="0"/>
              <w:jc w:val="center"/>
              <w:rPr>
                <w:rFonts w:hint="eastAsia" w:ascii="宋体" w:hAnsi="宋体"/>
                <w:szCs w:val="21"/>
                <w:highlight w:val="none"/>
              </w:rPr>
            </w:pPr>
            <w:r>
              <w:rPr>
                <w:rFonts w:hint="eastAsia" w:ascii="宋体" w:hAnsi="宋体"/>
                <w:szCs w:val="21"/>
                <w:highlight w:val="none"/>
              </w:rPr>
              <w:t>1</w:t>
            </w:r>
          </w:p>
        </w:tc>
        <w:tc>
          <w:tcPr>
            <w:tcW w:w="3812" w:type="pct"/>
            <w:vAlign w:val="center"/>
          </w:tcPr>
          <w:p w14:paraId="3AB71F6F">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（1）投标人自有人员；</w:t>
            </w:r>
          </w:p>
          <w:p w14:paraId="1E3DAD42">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（2）公路工程相关专业高级工程师。</w:t>
            </w:r>
          </w:p>
          <w:p w14:paraId="290ACAFC">
            <w:pPr>
              <w:adjustRightInd w:val="0"/>
              <w:snapToGrid w:val="0"/>
              <w:spacing w:line="340" w:lineRule="exact"/>
              <w:jc w:val="left"/>
              <w:rPr>
                <w:rFonts w:hint="eastAsia" w:ascii="黑体" w:hAnsi="黑体" w:eastAsia="黑体"/>
                <w:szCs w:val="21"/>
                <w:highlight w:val="none"/>
              </w:rPr>
            </w:pPr>
            <w:r>
              <w:rPr>
                <w:rFonts w:hint="eastAsia" w:ascii="楷体" w:hAnsi="楷体" w:eastAsia="楷体"/>
                <w:szCs w:val="21"/>
                <w:highlight w:val="none"/>
              </w:rPr>
              <w:t>注：①“投标人自有人员”指现由投标人为其申报社会保险登记，并为其缴纳社会保险费的人员；如拟任职人员已退休，则“投标人自有人员”指现已退休，并且与投标人签订聘用合同的人员。</w:t>
            </w:r>
            <w:r>
              <w:rPr>
                <w:rFonts w:hint="eastAsia" w:ascii="黑体" w:hAnsi="黑体" w:eastAsia="黑体"/>
                <w:szCs w:val="21"/>
                <w:highlight w:val="none"/>
              </w:rPr>
              <w:t>以联合体形式投标的，指联合体牵头人自有人员。</w:t>
            </w:r>
          </w:p>
          <w:p w14:paraId="1E19E6F6">
            <w:pPr>
              <w:adjustRightInd w:val="0"/>
              <w:snapToGrid w:val="0"/>
              <w:spacing w:line="340" w:lineRule="exact"/>
              <w:ind w:firstLine="420" w:firstLineChars="200"/>
              <w:rPr>
                <w:rFonts w:hint="eastAsia" w:ascii="楷体" w:hAnsi="楷体" w:eastAsia="楷体"/>
                <w:szCs w:val="21"/>
                <w:highlight w:val="none"/>
              </w:rPr>
            </w:pPr>
            <w:r>
              <w:rPr>
                <w:rFonts w:hint="eastAsia" w:ascii="楷体" w:hAnsi="楷体" w:eastAsia="楷体"/>
                <w:szCs w:val="21"/>
                <w:highlight w:val="none"/>
              </w:rPr>
              <w:t>②公路工程相关专业职称包括公路工程、桥梁工程、公路与桥梁工程、交通土建、隧道（地下结构）工程、交通工程等专业职称。如职称证中无专业，则在投标文件中必须附毕业证，且毕业证上的专业为公路工程、桥梁工程、公路与桥梁工程、交通土建、隧道（地下结构）工程、交通工程等专业。</w:t>
            </w:r>
          </w:p>
          <w:p w14:paraId="62BE34CC">
            <w:pPr>
              <w:adjustRightInd w:val="0"/>
              <w:snapToGrid w:val="0"/>
              <w:spacing w:line="340" w:lineRule="exact"/>
              <w:ind w:firstLine="420" w:firstLineChars="200"/>
              <w:rPr>
                <w:rFonts w:hint="eastAsia" w:ascii="宋体" w:hAnsi="宋体"/>
                <w:szCs w:val="21"/>
                <w:highlight w:val="none"/>
              </w:rPr>
            </w:pPr>
            <w:r>
              <w:rPr>
                <w:rFonts w:hint="eastAsia" w:ascii="楷体" w:hAnsi="楷体" w:eastAsia="楷体"/>
                <w:szCs w:val="21"/>
                <w:highlight w:val="none"/>
              </w:rPr>
              <w:t>③项目负责人任职业绩应是交通运输部“全国公路建设市场监督管理系统”或省级交通运输主管部门“公路建设市场信用信息管理系统”已载明的任职业绩。</w:t>
            </w:r>
          </w:p>
        </w:tc>
      </w:tr>
    </w:tbl>
    <w:p w14:paraId="425C84CB">
      <w:pPr>
        <w:pStyle w:val="3"/>
        <w:adjustRightInd w:val="0"/>
        <w:spacing w:before="0" w:after="0" w:line="240" w:lineRule="auto"/>
        <w:jc w:val="center"/>
        <w:rPr>
          <w:b w:val="0"/>
          <w:bCs w:val="0"/>
          <w:sz w:val="28"/>
          <w:szCs w:val="28"/>
          <w:highlight w:val="none"/>
        </w:rPr>
      </w:pPr>
      <w:bookmarkStart w:id="28" w:name="_Toc327432508"/>
      <w:bookmarkStart w:id="29" w:name="_Toc478456015"/>
    </w:p>
    <w:p w14:paraId="4CA684D7">
      <w:pPr>
        <w:pStyle w:val="3"/>
        <w:adjustRightInd w:val="0"/>
        <w:spacing w:before="0" w:after="0" w:line="240" w:lineRule="auto"/>
        <w:jc w:val="center"/>
        <w:rPr>
          <w:b w:val="0"/>
          <w:bCs w:val="0"/>
          <w:sz w:val="28"/>
          <w:szCs w:val="28"/>
          <w:highlight w:val="none"/>
        </w:rPr>
      </w:pPr>
    </w:p>
    <w:p w14:paraId="2B9F6E6F">
      <w:pPr>
        <w:pStyle w:val="3"/>
        <w:adjustRightInd w:val="0"/>
        <w:spacing w:before="0" w:after="0" w:line="240" w:lineRule="auto"/>
        <w:jc w:val="center"/>
        <w:rPr>
          <w:b w:val="0"/>
          <w:bCs w:val="0"/>
          <w:sz w:val="28"/>
          <w:szCs w:val="28"/>
          <w:highlight w:val="none"/>
        </w:rPr>
      </w:pPr>
      <w:bookmarkStart w:id="30" w:name="_Toc222906200"/>
      <w:r>
        <w:rPr>
          <w:rFonts w:hint="eastAsia"/>
          <w:b w:val="0"/>
          <w:bCs w:val="0"/>
          <w:sz w:val="28"/>
          <w:szCs w:val="28"/>
          <w:highlight w:val="none"/>
        </w:rPr>
        <w:t>附录5  资格审查条件（分项负责人最低要求）</w:t>
      </w:r>
      <w:bookmarkEnd w:id="30"/>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8350"/>
      </w:tblGrid>
      <w:tr w14:paraId="11DF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63" w:type="pct"/>
            <w:vAlign w:val="center"/>
          </w:tcPr>
          <w:p w14:paraId="1E5C613B">
            <w:pPr>
              <w:adjustRightInd w:val="0"/>
              <w:jc w:val="center"/>
              <w:rPr>
                <w:rFonts w:hint="eastAsia" w:ascii="宋体" w:hAnsi="宋体"/>
                <w:szCs w:val="21"/>
                <w:highlight w:val="none"/>
              </w:rPr>
            </w:pPr>
            <w:r>
              <w:rPr>
                <w:rFonts w:hint="eastAsia" w:ascii="宋体" w:hAnsi="宋体"/>
                <w:szCs w:val="21"/>
                <w:highlight w:val="none"/>
              </w:rPr>
              <w:t>人员</w:t>
            </w:r>
          </w:p>
        </w:tc>
        <w:tc>
          <w:tcPr>
            <w:tcW w:w="4237" w:type="pct"/>
            <w:vAlign w:val="center"/>
          </w:tcPr>
          <w:p w14:paraId="590AE428">
            <w:pPr>
              <w:adjustRightInd w:val="0"/>
              <w:jc w:val="center"/>
              <w:rPr>
                <w:rFonts w:hint="eastAsia" w:ascii="宋体" w:hAnsi="宋体"/>
                <w:szCs w:val="21"/>
                <w:highlight w:val="none"/>
              </w:rPr>
            </w:pPr>
            <w:r>
              <w:rPr>
                <w:rFonts w:hint="eastAsia" w:ascii="宋体" w:hAnsi="宋体"/>
                <w:szCs w:val="21"/>
                <w:highlight w:val="none"/>
              </w:rPr>
              <w:t>资 格 要 求</w:t>
            </w:r>
          </w:p>
        </w:tc>
      </w:tr>
      <w:tr w14:paraId="350D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63" w:type="pct"/>
            <w:vAlign w:val="center"/>
          </w:tcPr>
          <w:p w14:paraId="4E6B7898">
            <w:pPr>
              <w:adjustRightInd w:val="0"/>
              <w:snapToGrid w:val="0"/>
              <w:spacing w:line="340" w:lineRule="exact"/>
              <w:jc w:val="center"/>
              <w:rPr>
                <w:rFonts w:hint="eastAsia" w:ascii="宋体" w:hAnsi="宋体"/>
                <w:szCs w:val="21"/>
                <w:highlight w:val="none"/>
              </w:rPr>
            </w:pPr>
            <w:r>
              <w:rPr>
                <w:rFonts w:hint="eastAsia" w:ascii="宋体" w:hAnsi="宋体"/>
                <w:szCs w:val="21"/>
                <w:highlight w:val="none"/>
              </w:rPr>
              <w:t>分项负责人</w:t>
            </w:r>
          </w:p>
        </w:tc>
        <w:tc>
          <w:tcPr>
            <w:tcW w:w="4237" w:type="pct"/>
            <w:vAlign w:val="center"/>
          </w:tcPr>
          <w:p w14:paraId="0BFE4799">
            <w:pPr>
              <w:adjustRightInd w:val="0"/>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分项负责人最低要求详见“第四章 合同条款及格式”的“第三节  合同附件格式”的附件三。</w:t>
            </w:r>
            <w:r>
              <w:rPr>
                <w:rFonts w:hint="eastAsia" w:ascii="黑体" w:hAnsi="黑体" w:eastAsia="黑体"/>
                <w:szCs w:val="21"/>
                <w:highlight w:val="none"/>
              </w:rPr>
              <w:t>投标文件中不需附入分项负责人资料</w:t>
            </w:r>
            <w:r>
              <w:rPr>
                <w:rFonts w:hint="eastAsia" w:ascii="宋体" w:hAnsi="宋体"/>
                <w:szCs w:val="21"/>
                <w:highlight w:val="none"/>
              </w:rPr>
              <w:t>。</w:t>
            </w:r>
          </w:p>
        </w:tc>
      </w:tr>
      <w:bookmarkEnd w:id="28"/>
      <w:bookmarkEnd w:id="29"/>
    </w:tbl>
    <w:p w14:paraId="78AE263B">
      <w:pPr>
        <w:rPr>
          <w:rFonts w:ascii="黑体" w:eastAsia="黑体"/>
          <w:sz w:val="28"/>
          <w:szCs w:val="28"/>
          <w:highlight w:val="none"/>
        </w:rPr>
      </w:pPr>
      <w:bookmarkStart w:id="31" w:name="_Toc327432509"/>
    </w:p>
    <w:p w14:paraId="709DF707">
      <w:pPr>
        <w:spacing w:line="420" w:lineRule="exact"/>
        <w:jc w:val="center"/>
        <w:rPr>
          <w:w w:val="90"/>
          <w:sz w:val="44"/>
          <w:highlight w:val="none"/>
          <w:u w:val="single" w:color="FFFFFF"/>
        </w:rPr>
      </w:pPr>
      <w:r>
        <w:rPr>
          <w:rFonts w:ascii="黑体" w:eastAsia="黑体"/>
          <w:sz w:val="28"/>
          <w:szCs w:val="28"/>
          <w:highlight w:val="none"/>
        </w:rPr>
        <w:br w:type="page"/>
      </w:r>
      <w:bookmarkEnd w:id="31"/>
    </w:p>
    <w:p w14:paraId="144F698F">
      <w:pPr>
        <w:spacing w:line="420" w:lineRule="exact"/>
        <w:jc w:val="center"/>
        <w:rPr>
          <w:sz w:val="28"/>
          <w:szCs w:val="28"/>
          <w:highlight w:val="none"/>
        </w:rPr>
      </w:pPr>
    </w:p>
    <w:p w14:paraId="45913C76">
      <w:pPr>
        <w:adjustRightInd w:val="0"/>
        <w:snapToGrid w:val="0"/>
        <w:rPr>
          <w:highlight w:val="none"/>
        </w:rPr>
      </w:pPr>
      <w:r>
        <w:rPr>
          <w:rFonts w:hint="eastAsia" w:ascii="Arial" w:hAnsi="Arial" w:eastAsia="黑体"/>
          <w:sz w:val="28"/>
          <w:szCs w:val="28"/>
          <w:highlight w:val="none"/>
          <w:lang w:val="en-US" w:eastAsia="zh-CN"/>
        </w:rPr>
        <w:t>8.</w:t>
      </w:r>
      <w:r>
        <w:rPr>
          <w:rFonts w:hint="eastAsia" w:ascii="Arial" w:hAnsi="Arial" w:eastAsia="黑体"/>
          <w:sz w:val="28"/>
          <w:szCs w:val="28"/>
          <w:highlight w:val="none"/>
        </w:rPr>
        <w:t>评标办法前附表</w:t>
      </w:r>
      <w:r>
        <w:rPr>
          <w:rStyle w:val="30"/>
          <w:rFonts w:ascii="Arial" w:hAnsi="Arial" w:eastAsia="黑体"/>
          <w:sz w:val="28"/>
          <w:szCs w:val="28"/>
          <w:highlight w:val="none"/>
        </w:rPr>
        <w:footnoteReference w:id="1"/>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1374"/>
        <w:gridCol w:w="7420"/>
      </w:tblGrid>
      <w:tr w14:paraId="223A1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235" w:type="pct"/>
            <w:gridSpan w:val="2"/>
            <w:tcBorders>
              <w:top w:val="single" w:color="auto" w:sz="4" w:space="0"/>
              <w:bottom w:val="single" w:color="auto" w:sz="4" w:space="0"/>
              <w:right w:val="single" w:color="auto" w:sz="4" w:space="0"/>
            </w:tcBorders>
            <w:vAlign w:val="center"/>
          </w:tcPr>
          <w:p w14:paraId="6FC94678">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条款号</w:t>
            </w:r>
          </w:p>
        </w:tc>
        <w:tc>
          <w:tcPr>
            <w:tcW w:w="3765" w:type="pct"/>
            <w:tcBorders>
              <w:top w:val="single" w:color="auto" w:sz="4" w:space="0"/>
              <w:left w:val="single" w:color="auto" w:sz="4" w:space="0"/>
              <w:bottom w:val="single" w:color="auto" w:sz="4" w:space="0"/>
              <w:right w:val="single" w:color="auto" w:sz="4" w:space="0"/>
            </w:tcBorders>
            <w:vAlign w:val="center"/>
          </w:tcPr>
          <w:p w14:paraId="17A14E00">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评审因素与评审标准</w:t>
            </w:r>
          </w:p>
        </w:tc>
      </w:tr>
      <w:tr w14:paraId="0C5FA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8" w:type="pct"/>
            <w:tcBorders>
              <w:top w:val="single" w:color="auto" w:sz="4" w:space="0"/>
              <w:bottom w:val="single" w:color="auto" w:sz="4" w:space="0"/>
              <w:right w:val="single" w:color="auto" w:sz="4" w:space="0"/>
            </w:tcBorders>
            <w:vAlign w:val="center"/>
          </w:tcPr>
          <w:p w14:paraId="29D4C49D">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1</w:t>
            </w:r>
          </w:p>
        </w:tc>
        <w:tc>
          <w:tcPr>
            <w:tcW w:w="697" w:type="pct"/>
            <w:tcBorders>
              <w:top w:val="single" w:color="auto" w:sz="4" w:space="0"/>
              <w:bottom w:val="single" w:color="auto" w:sz="4" w:space="0"/>
              <w:right w:val="single" w:color="auto" w:sz="4" w:space="0"/>
            </w:tcBorders>
            <w:vAlign w:val="center"/>
          </w:tcPr>
          <w:p w14:paraId="6287715B">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评标方法</w:t>
            </w:r>
          </w:p>
        </w:tc>
        <w:tc>
          <w:tcPr>
            <w:tcW w:w="3765" w:type="pct"/>
            <w:tcBorders>
              <w:top w:val="single" w:color="auto" w:sz="4" w:space="0"/>
              <w:left w:val="single" w:color="auto" w:sz="4" w:space="0"/>
              <w:bottom w:val="single" w:color="auto" w:sz="4" w:space="0"/>
              <w:right w:val="single" w:color="auto" w:sz="4" w:space="0"/>
            </w:tcBorders>
            <w:vAlign w:val="center"/>
          </w:tcPr>
          <w:p w14:paraId="4932822A">
            <w:pPr>
              <w:spacing w:line="340" w:lineRule="exact"/>
              <w:ind w:firstLine="315" w:firstLineChars="150"/>
              <w:rPr>
                <w:rFonts w:hint="eastAsia" w:ascii="宋体" w:hAnsi="宋体"/>
                <w:szCs w:val="21"/>
                <w:highlight w:val="none"/>
              </w:rPr>
            </w:pPr>
            <w:r>
              <w:rPr>
                <w:rFonts w:hint="eastAsia" w:ascii="宋体" w:hAnsi="宋体"/>
                <w:color w:val="000000"/>
                <w:szCs w:val="21"/>
                <w:highlight w:val="none"/>
              </w:rPr>
              <w:t>综合评分相等时，评标委员会依次按照</w:t>
            </w:r>
            <w:r>
              <w:rPr>
                <w:rFonts w:hint="eastAsia" w:ascii="宋体" w:hAnsi="宋体"/>
                <w:szCs w:val="21"/>
                <w:highlight w:val="none"/>
              </w:rPr>
              <w:t>以下优先顺序推荐中标候选人：</w:t>
            </w:r>
          </w:p>
          <w:p w14:paraId="31B859EE">
            <w:pPr>
              <w:spacing w:line="340" w:lineRule="exact"/>
              <w:ind w:right="113" w:firstLine="420" w:firstLineChars="200"/>
              <w:rPr>
                <w:rFonts w:hint="eastAsia" w:ascii="宋体" w:hAnsi="宋体"/>
                <w:szCs w:val="21"/>
                <w:highlight w:val="none"/>
              </w:rPr>
            </w:pPr>
            <w:r>
              <w:rPr>
                <w:rFonts w:hint="eastAsia" w:ascii="宋体" w:hAnsi="宋体"/>
                <w:szCs w:val="21"/>
                <w:highlight w:val="none"/>
              </w:rPr>
              <w:t>（1）评标价低的投标人优先；</w:t>
            </w:r>
          </w:p>
          <w:p w14:paraId="085EBCAE">
            <w:pPr>
              <w:pStyle w:val="63"/>
              <w:shd w:val="clear" w:color="auto" w:fill="auto"/>
              <w:tabs>
                <w:tab w:val="left" w:pos="735"/>
                <w:tab w:val="left" w:pos="1078"/>
              </w:tabs>
              <w:spacing w:before="0" w:line="340" w:lineRule="exact"/>
              <w:ind w:firstLine="420" w:firstLineChars="200"/>
              <w:jc w:val="both"/>
              <w:rPr>
                <w:rFonts w:hint="eastAsia"/>
                <w:sz w:val="21"/>
                <w:szCs w:val="21"/>
                <w:highlight w:val="none"/>
              </w:rPr>
            </w:pPr>
            <w:r>
              <w:rPr>
                <w:rFonts w:hint="eastAsia"/>
                <w:sz w:val="21"/>
                <w:szCs w:val="21"/>
                <w:highlight w:val="none"/>
              </w:rPr>
              <w:t>（2）履约信誉得分高的投标人优先。</w:t>
            </w:r>
          </w:p>
          <w:p w14:paraId="11E540DB">
            <w:pPr>
              <w:spacing w:line="340" w:lineRule="exact"/>
              <w:ind w:right="113" w:firstLine="420" w:firstLineChars="200"/>
              <w:rPr>
                <w:rFonts w:hint="eastAsia" w:ascii="宋体" w:hAnsi="宋体"/>
                <w:szCs w:val="21"/>
                <w:highlight w:val="none"/>
              </w:rPr>
            </w:pPr>
            <w:r>
              <w:rPr>
                <w:rFonts w:hint="eastAsia" w:ascii="宋体" w:hAnsi="宋体"/>
                <w:szCs w:val="21"/>
                <w:highlight w:val="none"/>
              </w:rPr>
              <w:t>（3）第一个信封（商务及技术文件）排序在前的投标人优先。</w:t>
            </w:r>
          </w:p>
          <w:p w14:paraId="7B7DEE07">
            <w:pPr>
              <w:spacing w:line="340" w:lineRule="exact"/>
              <w:ind w:left="113" w:leftChars="54" w:right="113" w:firstLine="315" w:firstLineChars="150"/>
              <w:rPr>
                <w:rFonts w:hint="eastAsia" w:ascii="黑体" w:hAnsi="黑体" w:eastAsia="黑体"/>
                <w:szCs w:val="21"/>
                <w:highlight w:val="none"/>
              </w:rPr>
            </w:pPr>
            <w:r>
              <w:rPr>
                <w:rFonts w:hint="eastAsia" w:ascii="黑体" w:hAnsi="黑体" w:eastAsia="黑体"/>
                <w:szCs w:val="21"/>
                <w:highlight w:val="none"/>
              </w:rPr>
              <w:t>评标价平均值的计算：采用方案二</w:t>
            </w:r>
          </w:p>
          <w:p w14:paraId="0734B710">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黑体" w:hAnsi="黑体" w:eastAsia="黑体"/>
                <w:szCs w:val="21"/>
                <w:highlight w:val="none"/>
              </w:rPr>
              <w:t>评标基准价的确定： 采用方法一</w:t>
            </w:r>
          </w:p>
        </w:tc>
      </w:tr>
      <w:tr w14:paraId="71BD7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538" w:type="pct"/>
            <w:tcBorders>
              <w:top w:val="single" w:color="auto" w:sz="4" w:space="0"/>
              <w:bottom w:val="single" w:color="auto" w:sz="4" w:space="0"/>
              <w:right w:val="single" w:color="auto" w:sz="4" w:space="0"/>
            </w:tcBorders>
            <w:vAlign w:val="center"/>
          </w:tcPr>
          <w:p w14:paraId="4BE2345F">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2.1.1</w:t>
            </w:r>
          </w:p>
          <w:p w14:paraId="3FFFF688">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2.1.3</w:t>
            </w:r>
          </w:p>
        </w:tc>
        <w:tc>
          <w:tcPr>
            <w:tcW w:w="697" w:type="pct"/>
            <w:tcBorders>
              <w:top w:val="single" w:color="auto" w:sz="4" w:space="0"/>
              <w:bottom w:val="single" w:color="auto" w:sz="4" w:space="0"/>
              <w:right w:val="single" w:color="auto" w:sz="4" w:space="0"/>
            </w:tcBorders>
            <w:vAlign w:val="center"/>
          </w:tcPr>
          <w:p w14:paraId="59A186F6">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形式评审与响应性评审标准</w:t>
            </w:r>
          </w:p>
        </w:tc>
        <w:tc>
          <w:tcPr>
            <w:tcW w:w="3765" w:type="pct"/>
            <w:tcBorders>
              <w:top w:val="single" w:color="auto" w:sz="4" w:space="0"/>
              <w:left w:val="single" w:color="auto" w:sz="4" w:space="0"/>
              <w:bottom w:val="single" w:color="auto" w:sz="4" w:space="0"/>
              <w:right w:val="single" w:color="auto" w:sz="4" w:space="0"/>
            </w:tcBorders>
          </w:tcPr>
          <w:p w14:paraId="24C3771E">
            <w:pPr>
              <w:adjustRightInd w:val="0"/>
              <w:snapToGrid w:val="0"/>
              <w:spacing w:line="340" w:lineRule="exact"/>
              <w:ind w:firstLine="420" w:firstLineChars="200"/>
              <w:textAlignment w:val="baseline"/>
              <w:rPr>
                <w:rFonts w:hint="eastAsia" w:ascii="宋体" w:hAnsi="宋体"/>
                <w:szCs w:val="21"/>
                <w:highlight w:val="none"/>
              </w:rPr>
            </w:pPr>
            <w:r>
              <w:rPr>
                <w:rFonts w:hint="eastAsia" w:ascii="宋体" w:hAnsi="宋体"/>
                <w:szCs w:val="21"/>
                <w:highlight w:val="none"/>
              </w:rPr>
              <w:t>第一个信封（商务及技术文件）评审标准：</w:t>
            </w:r>
          </w:p>
          <w:p w14:paraId="79BD7503">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（1）投标文件按照招标文件规定的格式、内容填写，字迹清晰可辨：</w:t>
            </w:r>
          </w:p>
          <w:p w14:paraId="743F005A">
            <w:pPr>
              <w:pStyle w:val="49"/>
              <w:adjustRightInd w:val="0"/>
              <w:snapToGrid w:val="0"/>
              <w:spacing w:line="340" w:lineRule="exact"/>
              <w:textAlignment w:val="baseline"/>
              <w:rPr>
                <w:rFonts w:hint="eastAsia" w:ascii="宋体" w:hAnsi="宋体"/>
                <w:szCs w:val="21"/>
                <w:highlight w:val="none"/>
              </w:rPr>
            </w:pPr>
            <w:r>
              <w:rPr>
                <w:rFonts w:ascii="宋体" w:hAnsi="宋体"/>
                <w:szCs w:val="21"/>
                <w:highlight w:val="none"/>
              </w:rPr>
              <w:t>a.投标函按招标文件规定填报了项目名称、标段号、补遗书编号（如有）、勘察设计服务期限、工程质量要求及安全目标；</w:t>
            </w:r>
          </w:p>
          <w:p w14:paraId="2FFD7E19">
            <w:pPr>
              <w:pStyle w:val="49"/>
              <w:adjustRightInd w:val="0"/>
              <w:snapToGrid w:val="0"/>
              <w:spacing w:line="340" w:lineRule="exact"/>
              <w:textAlignment w:val="baseline"/>
              <w:rPr>
                <w:rFonts w:hint="eastAsia" w:ascii="宋体" w:hAnsi="宋体"/>
                <w:szCs w:val="21"/>
                <w:highlight w:val="none"/>
              </w:rPr>
            </w:pPr>
            <w:r>
              <w:rPr>
                <w:rFonts w:ascii="宋体" w:hAnsi="宋体"/>
                <w:szCs w:val="21"/>
                <w:highlight w:val="none"/>
              </w:rPr>
              <w:t>b.</w:t>
            </w:r>
            <w:r>
              <w:rPr>
                <w:rFonts w:hint="eastAsia" w:ascii="宋体" w:hAnsi="宋体"/>
                <w:szCs w:val="21"/>
                <w:highlight w:val="none"/>
              </w:rPr>
              <w:t>投标文件组成齐全完整，内容均按规定填写。</w:t>
            </w:r>
          </w:p>
          <w:p w14:paraId="2ADB533C">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（2）投标文件上法定代表人或其委托代理人的签字、投标人的单位章盖章齐全，符合招标文件规定。</w:t>
            </w:r>
          </w:p>
          <w:p w14:paraId="3B14E995">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（3）投标人按照招标文件的规定提供了投标保证金：</w:t>
            </w:r>
          </w:p>
          <w:p w14:paraId="2C51C93B">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a.投标保证金金额符合招标文件规定的金额，且投标保证金有效期不少于投标有效期；</w:t>
            </w:r>
          </w:p>
          <w:p w14:paraId="58A19694">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b.若投标保证金采用现金或支票形式提交，投标人应在递交投标文件截止时间之前，将投标保证金由投标人的基本账户转入招标人指定账户；</w:t>
            </w:r>
          </w:p>
          <w:p w14:paraId="4A1A83CE">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c.若投标保证金采用保函（保单）形式提交，保函必须为按招标文件要求办理的电子保函（保单）。</w:t>
            </w:r>
          </w:p>
          <w:p w14:paraId="763F6015">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（4）投标人法定代表人授权委托代理人签署投标文件的，按招标文件要求提交了授权委托书。</w:t>
            </w:r>
          </w:p>
          <w:p w14:paraId="7855F532">
            <w:pPr>
              <w:pStyle w:val="49"/>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（5）投标人法定代表人亲自签署投标文件的，按招标文件要求提供了法定代表人身份证明。</w:t>
            </w:r>
          </w:p>
          <w:p w14:paraId="14AC6AD7">
            <w:pPr>
              <w:adjustRightInd w:val="0"/>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（6）投标人以联合体形式投标时，联合体满足招标文件的要求：投标人按照招标文件提供的格式签订了联合体协议书，明确各方承担连带责任，并明确了联合体牵头人。</w:t>
            </w:r>
          </w:p>
          <w:p w14:paraId="358B6E55">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（7）投标人如有分包计划，符合招标文件第二章“投标人须知”第1.11款规定，且按招标文件第六章“投标文件格式”的要求填写了“拟分包项目情况表”。</w:t>
            </w:r>
          </w:p>
          <w:p w14:paraId="41147D8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（8）同一投标人未提交两个以上不同的投标文件。</w:t>
            </w:r>
          </w:p>
          <w:p w14:paraId="4A1FBAC5">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（9）投标文件中未出现有关投标报价的内容。</w:t>
            </w:r>
          </w:p>
          <w:p w14:paraId="3E4CE98A">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（10）投标文件载明的招标项目完成期限未超过招标文件规定的时限。</w:t>
            </w:r>
          </w:p>
          <w:p w14:paraId="27A82209">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（11）投标文件对招标文件的实质性要求和条件作出响应。</w:t>
            </w:r>
          </w:p>
          <w:p w14:paraId="782E710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（12）权利义务符合招标文件规定：</w:t>
            </w:r>
          </w:p>
          <w:p w14:paraId="28B24D58">
            <w:pPr>
              <w:pStyle w:val="49"/>
              <w:adjustRightInd w:val="0"/>
              <w:snapToGrid w:val="0"/>
              <w:spacing w:line="340" w:lineRule="exact"/>
              <w:jc w:val="left"/>
              <w:textAlignment w:val="baseline"/>
              <w:rPr>
                <w:rFonts w:hint="eastAsia" w:ascii="宋体" w:hAnsi="宋体"/>
                <w:szCs w:val="21"/>
                <w:highlight w:val="none"/>
              </w:rPr>
            </w:pPr>
            <w:r>
              <w:rPr>
                <w:rFonts w:ascii="宋体" w:hAnsi="宋体"/>
                <w:szCs w:val="21"/>
                <w:highlight w:val="none"/>
              </w:rPr>
              <w:t>a.</w:t>
            </w:r>
            <w:r>
              <w:rPr>
                <w:rFonts w:hint="eastAsia" w:ascii="宋体" w:hAnsi="宋体"/>
                <w:szCs w:val="21"/>
                <w:highlight w:val="none"/>
              </w:rPr>
              <w:t>投标人应接受招标文件规定的风险划分原则，未提出新的风险划分办法；</w:t>
            </w:r>
          </w:p>
          <w:p w14:paraId="5B4DE6EF">
            <w:pPr>
              <w:pStyle w:val="49"/>
              <w:adjustRightInd w:val="0"/>
              <w:snapToGrid w:val="0"/>
              <w:spacing w:line="340" w:lineRule="exact"/>
              <w:ind w:firstLineChars="0"/>
              <w:jc w:val="left"/>
              <w:textAlignment w:val="baseline"/>
              <w:rPr>
                <w:rFonts w:hint="eastAsia" w:ascii="宋体" w:hAnsi="宋体"/>
                <w:szCs w:val="21"/>
                <w:highlight w:val="none"/>
              </w:rPr>
            </w:pPr>
            <w:r>
              <w:rPr>
                <w:rFonts w:ascii="宋体" w:hAnsi="宋体"/>
                <w:szCs w:val="21"/>
                <w:highlight w:val="none"/>
              </w:rPr>
              <w:t>b.</w:t>
            </w:r>
            <w:r>
              <w:rPr>
                <w:rFonts w:hint="eastAsia" w:ascii="宋体" w:hAnsi="宋体"/>
                <w:szCs w:val="21"/>
                <w:highlight w:val="none"/>
              </w:rPr>
              <w:t xml:space="preserve"> 投标人未增加发包人的责任范围，或减少投标人义务</w:t>
            </w:r>
            <w:r>
              <w:rPr>
                <w:rFonts w:ascii="宋体" w:hAnsi="宋体"/>
                <w:szCs w:val="21"/>
                <w:highlight w:val="none"/>
              </w:rPr>
              <w:t>；</w:t>
            </w:r>
          </w:p>
          <w:p w14:paraId="56A140FB">
            <w:pPr>
              <w:pStyle w:val="49"/>
              <w:adjustRightInd w:val="0"/>
              <w:snapToGrid w:val="0"/>
              <w:spacing w:line="340" w:lineRule="exact"/>
              <w:ind w:firstLineChars="0"/>
              <w:jc w:val="left"/>
              <w:textAlignment w:val="baseline"/>
              <w:rPr>
                <w:rFonts w:hint="eastAsia" w:ascii="宋体" w:hAnsi="宋体"/>
                <w:szCs w:val="21"/>
                <w:highlight w:val="none"/>
              </w:rPr>
            </w:pPr>
            <w:r>
              <w:rPr>
                <w:rFonts w:ascii="宋体" w:hAnsi="宋体"/>
                <w:szCs w:val="21"/>
                <w:highlight w:val="none"/>
              </w:rPr>
              <w:t>c. 投标人未提出不同的支付办法</w:t>
            </w:r>
            <w:r>
              <w:rPr>
                <w:rFonts w:hint="eastAsia" w:ascii="宋体" w:hAnsi="宋体"/>
                <w:szCs w:val="21"/>
                <w:highlight w:val="none"/>
              </w:rPr>
              <w:t>；</w:t>
            </w:r>
          </w:p>
          <w:p w14:paraId="0346B514">
            <w:pPr>
              <w:pStyle w:val="49"/>
              <w:adjustRightInd w:val="0"/>
              <w:snapToGrid w:val="0"/>
              <w:spacing w:line="340" w:lineRule="exact"/>
              <w:ind w:firstLineChars="0"/>
              <w:jc w:val="left"/>
              <w:textAlignment w:val="baseline"/>
              <w:rPr>
                <w:rFonts w:hint="eastAsia" w:ascii="宋体" w:hAnsi="宋体"/>
                <w:szCs w:val="21"/>
                <w:highlight w:val="none"/>
              </w:rPr>
            </w:pPr>
            <w:r>
              <w:rPr>
                <w:rFonts w:ascii="宋体" w:hAnsi="宋体"/>
                <w:szCs w:val="21"/>
                <w:highlight w:val="none"/>
              </w:rPr>
              <w:t>d.</w:t>
            </w:r>
            <w:r>
              <w:rPr>
                <w:rFonts w:hint="eastAsia" w:ascii="宋体" w:hAnsi="宋体"/>
                <w:szCs w:val="21"/>
                <w:highlight w:val="none"/>
              </w:rPr>
              <w:t>投标人对合同纠纷、事故处理办法未提出异议；</w:t>
            </w:r>
          </w:p>
          <w:p w14:paraId="4A9D7637">
            <w:pPr>
              <w:pStyle w:val="49"/>
              <w:adjustRightInd w:val="0"/>
              <w:snapToGrid w:val="0"/>
              <w:spacing w:line="340" w:lineRule="exact"/>
              <w:ind w:firstLineChars="0"/>
              <w:jc w:val="left"/>
              <w:textAlignment w:val="baseline"/>
              <w:rPr>
                <w:rFonts w:hint="eastAsia" w:ascii="宋体" w:hAnsi="宋体"/>
                <w:szCs w:val="21"/>
                <w:highlight w:val="none"/>
              </w:rPr>
            </w:pPr>
            <w:r>
              <w:rPr>
                <w:rFonts w:ascii="宋体" w:hAnsi="宋体"/>
                <w:szCs w:val="21"/>
                <w:highlight w:val="none"/>
              </w:rPr>
              <w:t>e.投标人在投标活动中无欺诈行为；</w:t>
            </w:r>
          </w:p>
          <w:p w14:paraId="15CCED6F">
            <w:pPr>
              <w:pStyle w:val="49"/>
              <w:adjustRightInd w:val="0"/>
              <w:snapToGrid w:val="0"/>
              <w:spacing w:line="340" w:lineRule="exact"/>
              <w:ind w:firstLineChars="0"/>
              <w:jc w:val="left"/>
              <w:textAlignment w:val="baseline"/>
              <w:rPr>
                <w:rFonts w:hint="eastAsia" w:ascii="宋体" w:hAnsi="宋体"/>
                <w:szCs w:val="21"/>
                <w:highlight w:val="none"/>
              </w:rPr>
            </w:pPr>
            <w:r>
              <w:rPr>
                <w:rFonts w:ascii="宋体" w:hAnsi="宋体"/>
                <w:szCs w:val="21"/>
                <w:highlight w:val="none"/>
              </w:rPr>
              <w:t>f.</w:t>
            </w:r>
            <w:r>
              <w:rPr>
                <w:rFonts w:hint="eastAsia" w:ascii="宋体" w:hAnsi="宋体"/>
                <w:szCs w:val="21"/>
                <w:highlight w:val="none"/>
              </w:rPr>
              <w:t>投标人未对合同条款有重要保留。</w:t>
            </w:r>
          </w:p>
        </w:tc>
      </w:tr>
    </w:tbl>
    <w:p w14:paraId="37DDE6AB">
      <w:pPr>
        <w:adjustRightInd w:val="0"/>
        <w:snapToGrid w:val="0"/>
        <w:spacing w:line="340" w:lineRule="exact"/>
        <w:jc w:val="right"/>
        <w:rPr>
          <w:rFonts w:hint="eastAsia" w:ascii="宋体" w:hAnsi="宋体"/>
          <w:szCs w:val="21"/>
          <w:highlight w:val="none"/>
        </w:rPr>
      </w:pPr>
    </w:p>
    <w:p w14:paraId="74EA7F69">
      <w:pPr>
        <w:adjustRightInd w:val="0"/>
        <w:snapToGrid w:val="0"/>
        <w:spacing w:line="340" w:lineRule="exact"/>
        <w:jc w:val="right"/>
        <w:rPr>
          <w:rFonts w:hint="eastAsia" w:ascii="宋体" w:hAnsi="宋体"/>
          <w:szCs w:val="21"/>
          <w:highlight w:val="none"/>
        </w:rPr>
      </w:pPr>
    </w:p>
    <w:p w14:paraId="658408CE">
      <w:pPr>
        <w:adjustRightInd w:val="0"/>
        <w:snapToGrid w:val="0"/>
        <w:spacing w:line="340" w:lineRule="exact"/>
        <w:jc w:val="right"/>
        <w:rPr>
          <w:rFonts w:hint="eastAsia" w:ascii="宋体" w:hAnsi="宋体"/>
          <w:szCs w:val="21"/>
          <w:highlight w:val="none"/>
        </w:rPr>
      </w:pPr>
    </w:p>
    <w:p w14:paraId="0B8FBD4E">
      <w:pPr>
        <w:adjustRightInd w:val="0"/>
        <w:snapToGrid w:val="0"/>
        <w:spacing w:line="340" w:lineRule="exact"/>
        <w:jc w:val="right"/>
        <w:rPr>
          <w:rFonts w:hint="eastAsia" w:ascii="宋体" w:hAnsi="宋体"/>
          <w:szCs w:val="21"/>
          <w:highlight w:val="none"/>
        </w:rPr>
      </w:pPr>
      <w:r>
        <w:rPr>
          <w:rFonts w:ascii="宋体" w:hAnsi="宋体"/>
          <w:szCs w:val="21"/>
          <w:highlight w:val="none"/>
        </w:rPr>
        <w:t>续上表</w:t>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1374"/>
        <w:gridCol w:w="7420"/>
      </w:tblGrid>
      <w:tr w14:paraId="3D82C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35" w:type="pct"/>
            <w:gridSpan w:val="2"/>
            <w:tcBorders>
              <w:top w:val="single" w:color="auto" w:sz="4" w:space="0"/>
              <w:bottom w:val="single" w:color="auto" w:sz="4" w:space="0"/>
              <w:right w:val="single" w:color="auto" w:sz="4" w:space="0"/>
            </w:tcBorders>
            <w:vAlign w:val="center"/>
          </w:tcPr>
          <w:p w14:paraId="245DFE6D">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条款号</w:t>
            </w:r>
          </w:p>
        </w:tc>
        <w:tc>
          <w:tcPr>
            <w:tcW w:w="3765" w:type="pct"/>
            <w:tcBorders>
              <w:top w:val="single" w:color="auto" w:sz="4" w:space="0"/>
              <w:left w:val="single" w:color="auto" w:sz="4" w:space="0"/>
              <w:bottom w:val="single" w:color="auto" w:sz="4" w:space="0"/>
              <w:right w:val="single" w:color="auto" w:sz="4" w:space="0"/>
            </w:tcBorders>
            <w:vAlign w:val="center"/>
          </w:tcPr>
          <w:p w14:paraId="44F67211">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评审因素与评审标准</w:t>
            </w:r>
          </w:p>
        </w:tc>
      </w:tr>
      <w:tr w14:paraId="28E26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8" w:type="pct"/>
            <w:tcBorders>
              <w:top w:val="single" w:color="auto" w:sz="4" w:space="0"/>
              <w:bottom w:val="single" w:color="auto" w:sz="4" w:space="0"/>
              <w:right w:val="single" w:color="auto" w:sz="4" w:space="0"/>
            </w:tcBorders>
            <w:vAlign w:val="center"/>
          </w:tcPr>
          <w:p w14:paraId="5C39D4BB">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2.1.1</w:t>
            </w:r>
          </w:p>
          <w:p w14:paraId="31A2EDAA">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2.1.3</w:t>
            </w:r>
          </w:p>
        </w:tc>
        <w:tc>
          <w:tcPr>
            <w:tcW w:w="697" w:type="pct"/>
            <w:tcBorders>
              <w:top w:val="single" w:color="auto" w:sz="4" w:space="0"/>
              <w:bottom w:val="single" w:color="auto" w:sz="4" w:space="0"/>
              <w:right w:val="single" w:color="auto" w:sz="4" w:space="0"/>
            </w:tcBorders>
            <w:vAlign w:val="center"/>
          </w:tcPr>
          <w:p w14:paraId="52846388">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形式评审与</w:t>
            </w:r>
            <w:r>
              <w:rPr>
                <w:rFonts w:ascii="宋体" w:hAnsi="宋体"/>
                <w:szCs w:val="21"/>
                <w:highlight w:val="none"/>
              </w:rPr>
              <w:br w:type="textWrapping"/>
            </w:r>
            <w:r>
              <w:rPr>
                <w:rFonts w:hint="eastAsia" w:ascii="宋体" w:hAnsi="宋体"/>
                <w:szCs w:val="21"/>
                <w:highlight w:val="none"/>
              </w:rPr>
              <w:t>响应性评审</w:t>
            </w:r>
            <w:r>
              <w:rPr>
                <w:rFonts w:ascii="宋体" w:hAnsi="宋体"/>
                <w:szCs w:val="21"/>
                <w:highlight w:val="none"/>
              </w:rPr>
              <w:br w:type="textWrapping"/>
            </w:r>
            <w:r>
              <w:rPr>
                <w:rFonts w:hint="eastAsia" w:ascii="宋体" w:hAnsi="宋体"/>
                <w:szCs w:val="21"/>
                <w:highlight w:val="none"/>
              </w:rPr>
              <w:t>标准</w:t>
            </w:r>
          </w:p>
        </w:tc>
        <w:tc>
          <w:tcPr>
            <w:tcW w:w="3765" w:type="pct"/>
            <w:tcBorders>
              <w:top w:val="single" w:color="auto" w:sz="4" w:space="0"/>
              <w:left w:val="single" w:color="auto" w:sz="4" w:space="0"/>
              <w:bottom w:val="single" w:color="auto" w:sz="4" w:space="0"/>
              <w:right w:val="single" w:color="auto" w:sz="4" w:space="0"/>
            </w:tcBorders>
            <w:vAlign w:val="center"/>
          </w:tcPr>
          <w:p w14:paraId="3BEB2AE7">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宋体" w:hAnsi="宋体"/>
                <w:szCs w:val="21"/>
                <w:highlight w:val="none"/>
              </w:rPr>
              <w:t>第二个信封（报价文件）评审标准：</w:t>
            </w:r>
          </w:p>
          <w:p w14:paraId="47D9B93B">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宋体" w:hAnsi="宋体"/>
                <w:szCs w:val="21"/>
                <w:highlight w:val="none"/>
              </w:rPr>
              <w:t>（1）投标文件按照招标文件规定的格式、内容填写，字迹清晰可辨，内容齐全完整：</w:t>
            </w:r>
          </w:p>
          <w:p w14:paraId="06A3FA0F">
            <w:pPr>
              <w:pStyle w:val="49"/>
              <w:adjustRightInd w:val="0"/>
              <w:snapToGrid w:val="0"/>
              <w:spacing w:line="340" w:lineRule="exact"/>
              <w:jc w:val="left"/>
              <w:textAlignment w:val="baseline"/>
              <w:rPr>
                <w:rFonts w:hint="eastAsia" w:ascii="宋体" w:hAnsi="宋体"/>
                <w:szCs w:val="21"/>
                <w:highlight w:val="none"/>
              </w:rPr>
            </w:pPr>
            <w:r>
              <w:rPr>
                <w:rFonts w:ascii="宋体" w:hAnsi="宋体"/>
                <w:szCs w:val="21"/>
                <w:highlight w:val="none"/>
              </w:rPr>
              <w:t>a.投标函按招标文件规定填报了项目名称、标段号、补遗书编号（如有）、</w:t>
            </w:r>
            <w:r>
              <w:rPr>
                <w:rFonts w:hint="eastAsia" w:ascii="宋体" w:hAnsi="宋体"/>
                <w:szCs w:val="21"/>
                <w:highlight w:val="none"/>
              </w:rPr>
              <w:t>投标报价（包括大写金额和小写金额）</w:t>
            </w:r>
            <w:r>
              <w:rPr>
                <w:rFonts w:ascii="宋体" w:hAnsi="宋体"/>
                <w:szCs w:val="21"/>
                <w:highlight w:val="none"/>
              </w:rPr>
              <w:t>；</w:t>
            </w:r>
          </w:p>
          <w:p w14:paraId="5BBCBAF5">
            <w:pPr>
              <w:adjustRightInd w:val="0"/>
              <w:snapToGrid w:val="0"/>
              <w:spacing w:line="340" w:lineRule="exact"/>
              <w:ind w:firstLine="420" w:firstLineChars="200"/>
              <w:jc w:val="left"/>
              <w:textAlignment w:val="baseline"/>
              <w:rPr>
                <w:rFonts w:hint="eastAsia" w:ascii="宋体" w:hAnsi="宋体"/>
                <w:szCs w:val="21"/>
                <w:highlight w:val="none"/>
              </w:rPr>
            </w:pPr>
            <w:r>
              <w:rPr>
                <w:rFonts w:ascii="宋体" w:hAnsi="宋体"/>
                <w:szCs w:val="21"/>
                <w:highlight w:val="none"/>
              </w:rPr>
              <w:t>b.已标价报价清单说明文字与招标文件规定一致，未进行实质性修改和删减；</w:t>
            </w:r>
          </w:p>
          <w:p w14:paraId="725D3AF8">
            <w:pPr>
              <w:adjustRightInd w:val="0"/>
              <w:snapToGrid w:val="0"/>
              <w:spacing w:line="340" w:lineRule="exact"/>
              <w:ind w:firstLine="420" w:firstLineChars="200"/>
              <w:jc w:val="left"/>
              <w:textAlignment w:val="baseline"/>
              <w:rPr>
                <w:rFonts w:hint="eastAsia" w:ascii="宋体" w:hAnsi="宋体"/>
                <w:szCs w:val="21"/>
                <w:highlight w:val="none"/>
              </w:rPr>
            </w:pPr>
            <w:r>
              <w:rPr>
                <w:rFonts w:ascii="宋体" w:hAnsi="宋体"/>
                <w:szCs w:val="21"/>
                <w:highlight w:val="none"/>
              </w:rPr>
              <w:t>c.</w:t>
            </w:r>
            <w:r>
              <w:rPr>
                <w:rFonts w:hint="eastAsia" w:ascii="宋体" w:hAnsi="宋体"/>
                <w:szCs w:val="21"/>
                <w:highlight w:val="none"/>
              </w:rPr>
              <w:t>投标文件组成齐全完整，内容均按规定填写。</w:t>
            </w:r>
          </w:p>
          <w:p w14:paraId="7DAC207F">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宋体" w:hAnsi="宋体"/>
                <w:szCs w:val="21"/>
                <w:highlight w:val="none"/>
              </w:rPr>
              <w:t>（2）投标文件上法定代表人或其委托代理人的签字、投标人的单位章盖章齐全，符合招标文件规定。</w:t>
            </w:r>
          </w:p>
          <w:p w14:paraId="4F679143">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宋体" w:hAnsi="宋体"/>
                <w:szCs w:val="21"/>
                <w:highlight w:val="none"/>
              </w:rPr>
              <w:t>（3）投标报价未超过招标文件设定的最高投标限价。</w:t>
            </w:r>
          </w:p>
          <w:p w14:paraId="533C8B2F">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宋体" w:hAnsi="宋体"/>
                <w:szCs w:val="21"/>
                <w:highlight w:val="none"/>
              </w:rPr>
              <w:t>（4）投标报价的大写金额能够确定具体数值。</w:t>
            </w:r>
          </w:p>
          <w:p w14:paraId="54B46DBA">
            <w:pPr>
              <w:adjustRightInd w:val="0"/>
              <w:snapToGrid w:val="0"/>
              <w:spacing w:line="340" w:lineRule="exact"/>
              <w:ind w:firstLine="420" w:firstLineChars="200"/>
              <w:jc w:val="left"/>
              <w:textAlignment w:val="baseline"/>
              <w:rPr>
                <w:rFonts w:hint="eastAsia" w:ascii="宋体" w:hAnsi="宋体"/>
                <w:szCs w:val="21"/>
                <w:highlight w:val="none"/>
              </w:rPr>
            </w:pPr>
            <w:r>
              <w:rPr>
                <w:rFonts w:hint="eastAsia" w:ascii="宋体" w:hAnsi="宋体"/>
                <w:szCs w:val="21"/>
                <w:highlight w:val="none"/>
              </w:rPr>
              <w:t>（5）同一投标人未提交两个以上不同的投标报价。</w:t>
            </w:r>
          </w:p>
        </w:tc>
      </w:tr>
    </w:tbl>
    <w:p w14:paraId="10D8F148">
      <w:pPr>
        <w:adjustRightInd w:val="0"/>
        <w:snapToGrid w:val="0"/>
        <w:spacing w:line="340" w:lineRule="exact"/>
        <w:jc w:val="right"/>
        <w:rPr>
          <w:rFonts w:hint="eastAsia" w:ascii="宋体" w:hAnsi="宋体"/>
          <w:szCs w:val="21"/>
          <w:highlight w:val="none"/>
        </w:rPr>
      </w:pPr>
      <w:r>
        <w:rPr>
          <w:rFonts w:ascii="宋体" w:hAnsi="宋体"/>
          <w:szCs w:val="21"/>
          <w:highlight w:val="none"/>
        </w:rPr>
        <w:br w:type="page"/>
      </w:r>
      <w:r>
        <w:rPr>
          <w:rFonts w:ascii="宋体" w:hAnsi="宋体"/>
          <w:szCs w:val="21"/>
          <w:highlight w:val="none"/>
        </w:rPr>
        <w:t>续上表</w:t>
      </w:r>
    </w:p>
    <w:tbl>
      <w:tblPr>
        <w:tblStyle w:val="2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1374"/>
        <w:gridCol w:w="7420"/>
      </w:tblGrid>
      <w:tr w14:paraId="211C8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35" w:type="pct"/>
            <w:gridSpan w:val="2"/>
            <w:tcBorders>
              <w:top w:val="single" w:color="auto" w:sz="4" w:space="0"/>
              <w:bottom w:val="single" w:color="auto" w:sz="4" w:space="0"/>
              <w:right w:val="single" w:color="auto" w:sz="4" w:space="0"/>
            </w:tcBorders>
            <w:vAlign w:val="center"/>
          </w:tcPr>
          <w:p w14:paraId="6DAD09BB">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条款号</w:t>
            </w:r>
          </w:p>
        </w:tc>
        <w:tc>
          <w:tcPr>
            <w:tcW w:w="3765" w:type="pct"/>
            <w:tcBorders>
              <w:top w:val="single" w:color="auto" w:sz="4" w:space="0"/>
              <w:left w:val="single" w:color="auto" w:sz="4" w:space="0"/>
              <w:bottom w:val="single" w:color="auto" w:sz="4" w:space="0"/>
              <w:right w:val="single" w:color="auto" w:sz="4" w:space="0"/>
            </w:tcBorders>
            <w:vAlign w:val="center"/>
          </w:tcPr>
          <w:p w14:paraId="225B3C14">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评审因素与评审标准</w:t>
            </w:r>
          </w:p>
        </w:tc>
      </w:tr>
      <w:tr w14:paraId="7AF2C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8" w:type="pct"/>
            <w:tcBorders>
              <w:top w:val="single" w:color="auto" w:sz="4" w:space="0"/>
              <w:bottom w:val="single" w:color="auto" w:sz="4" w:space="0"/>
              <w:right w:val="single" w:color="auto" w:sz="4" w:space="0"/>
            </w:tcBorders>
            <w:vAlign w:val="center"/>
          </w:tcPr>
          <w:p w14:paraId="5ED4FE12">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2.1.2</w:t>
            </w:r>
          </w:p>
        </w:tc>
        <w:tc>
          <w:tcPr>
            <w:tcW w:w="697" w:type="pct"/>
            <w:tcBorders>
              <w:top w:val="single" w:color="auto" w:sz="4" w:space="0"/>
              <w:bottom w:val="single" w:color="auto" w:sz="4" w:space="0"/>
              <w:right w:val="single" w:color="auto" w:sz="4" w:space="0"/>
            </w:tcBorders>
            <w:vAlign w:val="center"/>
          </w:tcPr>
          <w:p w14:paraId="2C23E64F">
            <w:pPr>
              <w:adjustRightInd w:val="0"/>
              <w:snapToGrid w:val="0"/>
              <w:spacing w:line="340" w:lineRule="exact"/>
              <w:jc w:val="center"/>
              <w:textAlignment w:val="baseline"/>
              <w:rPr>
                <w:rFonts w:hint="eastAsia" w:ascii="宋体" w:hAnsi="宋体"/>
                <w:szCs w:val="21"/>
                <w:highlight w:val="none"/>
              </w:rPr>
            </w:pPr>
            <w:r>
              <w:rPr>
                <w:rFonts w:ascii="宋体" w:hAnsi="宋体"/>
                <w:szCs w:val="21"/>
                <w:highlight w:val="none"/>
              </w:rPr>
              <w:t>资格评审</w:t>
            </w:r>
            <w:r>
              <w:rPr>
                <w:rFonts w:hint="eastAsia" w:ascii="宋体" w:hAnsi="宋体"/>
                <w:szCs w:val="21"/>
                <w:highlight w:val="none"/>
              </w:rPr>
              <w:br w:type="textWrapping"/>
            </w:r>
            <w:r>
              <w:rPr>
                <w:rFonts w:ascii="宋体" w:hAnsi="宋体"/>
                <w:szCs w:val="21"/>
                <w:highlight w:val="none"/>
              </w:rPr>
              <w:t>标准</w:t>
            </w:r>
          </w:p>
        </w:tc>
        <w:tc>
          <w:tcPr>
            <w:tcW w:w="3765" w:type="pct"/>
            <w:tcBorders>
              <w:top w:val="single" w:color="auto" w:sz="4" w:space="0"/>
              <w:left w:val="single" w:color="auto" w:sz="4" w:space="0"/>
              <w:bottom w:val="single" w:color="auto" w:sz="4" w:space="0"/>
              <w:right w:val="single" w:color="auto" w:sz="4" w:space="0"/>
            </w:tcBorders>
            <w:vAlign w:val="center"/>
          </w:tcPr>
          <w:p w14:paraId="7847428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（1）投标人具备有效的营业执照、勘察资质证书、设计资质证书和基本账户证明材料。</w:t>
            </w:r>
          </w:p>
          <w:p w14:paraId="0E7A758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（2）投标人的资质等级符合招标文件规定。</w:t>
            </w:r>
          </w:p>
          <w:p w14:paraId="15825D0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（3）投标人的类似项目业绩符合招标文件规定。</w:t>
            </w:r>
          </w:p>
          <w:p w14:paraId="65B9F48E">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（4）投标人的信誉符合招标文件规定。</w:t>
            </w:r>
          </w:p>
          <w:p w14:paraId="3F08D02E">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（5）投标人的项目负责人资格符合招标文件规定。</w:t>
            </w:r>
          </w:p>
          <w:p w14:paraId="605B688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（6）投标人的其他要求符合招标文件规定。</w:t>
            </w:r>
          </w:p>
          <w:p w14:paraId="001B0E48">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（7）投标人不存在第二章“投标人须知”第1.4.3项或第1.4.4项规定的任何一种情形。</w:t>
            </w:r>
          </w:p>
          <w:p w14:paraId="28FF8373">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（8）投标人符合第二章“投标人须知”第1.4.5项规定。</w:t>
            </w:r>
          </w:p>
          <w:p w14:paraId="6D629B75">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（9）以联合体形式参与投标的，联合体各方均未再以自己名义单独或参加其他联合体在同一标段中投标；独立参与投标的，投标人未同时参加联合体在同一标段中投标。</w:t>
            </w:r>
          </w:p>
        </w:tc>
      </w:tr>
      <w:tr w14:paraId="01281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8" w:type="pct"/>
            <w:tcBorders>
              <w:top w:val="single" w:color="auto" w:sz="4" w:space="0"/>
              <w:bottom w:val="single" w:color="auto" w:sz="4" w:space="0"/>
              <w:right w:val="single" w:color="auto" w:sz="4" w:space="0"/>
            </w:tcBorders>
            <w:vAlign w:val="center"/>
          </w:tcPr>
          <w:p w14:paraId="4ECBE936">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2.2.1</w:t>
            </w:r>
          </w:p>
        </w:tc>
        <w:tc>
          <w:tcPr>
            <w:tcW w:w="697" w:type="pct"/>
            <w:tcBorders>
              <w:top w:val="single" w:color="auto" w:sz="4" w:space="0"/>
              <w:bottom w:val="single" w:color="auto" w:sz="4" w:space="0"/>
              <w:right w:val="single" w:color="auto" w:sz="4" w:space="0"/>
            </w:tcBorders>
            <w:vAlign w:val="center"/>
          </w:tcPr>
          <w:p w14:paraId="7FBE9734">
            <w:pPr>
              <w:adjustRightInd w:val="0"/>
              <w:snapToGrid w:val="0"/>
              <w:spacing w:line="340" w:lineRule="exact"/>
              <w:jc w:val="center"/>
              <w:textAlignment w:val="baseline"/>
              <w:rPr>
                <w:rFonts w:hint="eastAsia" w:ascii="宋体" w:hAnsi="宋体"/>
                <w:szCs w:val="21"/>
                <w:highlight w:val="none"/>
              </w:rPr>
            </w:pPr>
            <w:r>
              <w:rPr>
                <w:rFonts w:ascii="宋体" w:hAnsi="宋体"/>
                <w:szCs w:val="21"/>
                <w:highlight w:val="none"/>
              </w:rPr>
              <w:t>分值构成</w:t>
            </w:r>
            <w:r>
              <w:rPr>
                <w:rFonts w:hint="eastAsia" w:ascii="宋体" w:hAnsi="宋体"/>
                <w:szCs w:val="21"/>
                <w:highlight w:val="none"/>
              </w:rPr>
              <w:br w:type="textWrapping"/>
            </w:r>
            <w:r>
              <w:rPr>
                <w:rFonts w:hint="eastAsia" w:ascii="宋体" w:hAnsi="宋体"/>
                <w:szCs w:val="21"/>
                <w:highlight w:val="none"/>
              </w:rPr>
              <w:t>(</w:t>
            </w:r>
            <w:r>
              <w:rPr>
                <w:rFonts w:ascii="宋体" w:hAnsi="宋体"/>
                <w:szCs w:val="21"/>
                <w:highlight w:val="none"/>
              </w:rPr>
              <w:t>总分</w:t>
            </w:r>
            <w:r>
              <w:rPr>
                <w:rFonts w:hint="eastAsia" w:ascii="宋体" w:hAnsi="宋体"/>
                <w:szCs w:val="21"/>
                <w:highlight w:val="none"/>
              </w:rPr>
              <w:t>100)</w:t>
            </w:r>
          </w:p>
        </w:tc>
        <w:tc>
          <w:tcPr>
            <w:tcW w:w="3765" w:type="pct"/>
            <w:tcBorders>
              <w:top w:val="single" w:color="auto" w:sz="4" w:space="0"/>
              <w:left w:val="single" w:color="auto" w:sz="4" w:space="0"/>
              <w:bottom w:val="single" w:color="auto" w:sz="4" w:space="0"/>
              <w:right w:val="single" w:color="auto" w:sz="4" w:space="0"/>
            </w:tcBorders>
            <w:vAlign w:val="center"/>
          </w:tcPr>
          <w:p w14:paraId="4DBB96E2">
            <w:pPr>
              <w:pStyle w:val="49"/>
              <w:adjustRightInd w:val="0"/>
              <w:snapToGrid w:val="0"/>
              <w:spacing w:line="340" w:lineRule="exact"/>
              <w:ind w:firstLine="0" w:firstLineChars="0"/>
              <w:jc w:val="left"/>
              <w:textAlignment w:val="baseline"/>
              <w:rPr>
                <w:rFonts w:hint="eastAsia" w:ascii="宋体" w:hAnsi="宋体"/>
                <w:szCs w:val="21"/>
                <w:highlight w:val="none"/>
              </w:rPr>
            </w:pPr>
            <w:r>
              <w:rPr>
                <w:rFonts w:hint="eastAsia" w:ascii="宋体" w:hAnsi="宋体"/>
                <w:szCs w:val="21"/>
                <w:highlight w:val="none"/>
              </w:rPr>
              <w:t>第一个信封（商务及技术文件）评分分值构成：</w:t>
            </w:r>
          </w:p>
          <w:p w14:paraId="309832A5">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技术建议书：45分</w:t>
            </w:r>
          </w:p>
          <w:p w14:paraId="59DBB5E9">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主要人员：20分</w:t>
            </w:r>
          </w:p>
          <w:p w14:paraId="5CDEA0E8">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业绩：20分</w:t>
            </w:r>
          </w:p>
          <w:p w14:paraId="63CFC862">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履约信誉：5分</w:t>
            </w:r>
          </w:p>
          <w:p w14:paraId="35474B38">
            <w:pPr>
              <w:pStyle w:val="49"/>
              <w:adjustRightInd w:val="0"/>
              <w:snapToGrid w:val="0"/>
              <w:spacing w:line="340" w:lineRule="exact"/>
              <w:ind w:firstLine="0" w:firstLineChars="0"/>
              <w:jc w:val="left"/>
              <w:textAlignment w:val="baseline"/>
              <w:rPr>
                <w:rFonts w:hint="eastAsia" w:ascii="宋体" w:hAnsi="宋体"/>
                <w:szCs w:val="21"/>
                <w:highlight w:val="none"/>
              </w:rPr>
            </w:pPr>
            <w:r>
              <w:rPr>
                <w:rFonts w:hint="eastAsia" w:ascii="宋体" w:hAnsi="宋体"/>
                <w:szCs w:val="21"/>
                <w:highlight w:val="none"/>
              </w:rPr>
              <w:t>第二个信封（报价文件）评分分值构成：</w:t>
            </w:r>
          </w:p>
          <w:p w14:paraId="0B1D613D">
            <w:pPr>
              <w:pStyle w:val="49"/>
              <w:adjustRightInd w:val="0"/>
              <w:snapToGrid w:val="0"/>
              <w:spacing w:line="340" w:lineRule="exact"/>
              <w:jc w:val="left"/>
              <w:textAlignment w:val="baseline"/>
              <w:rPr>
                <w:rFonts w:hint="eastAsia" w:ascii="宋体" w:hAnsi="宋体"/>
                <w:szCs w:val="21"/>
                <w:highlight w:val="none"/>
                <w:u w:val="single"/>
              </w:rPr>
            </w:pPr>
            <w:r>
              <w:rPr>
                <w:rFonts w:hint="eastAsia" w:ascii="宋体" w:hAnsi="宋体"/>
                <w:szCs w:val="21"/>
                <w:highlight w:val="none"/>
              </w:rPr>
              <w:t>评标价：10分</w:t>
            </w:r>
          </w:p>
        </w:tc>
      </w:tr>
      <w:tr w14:paraId="39E9A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8" w:type="pct"/>
            <w:tcBorders>
              <w:top w:val="single" w:color="auto" w:sz="4" w:space="0"/>
              <w:bottom w:val="single" w:color="auto" w:sz="4" w:space="0"/>
              <w:right w:val="single" w:color="auto" w:sz="4" w:space="0"/>
            </w:tcBorders>
            <w:vAlign w:val="center"/>
          </w:tcPr>
          <w:p w14:paraId="79E0408E">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2.2.2</w:t>
            </w:r>
          </w:p>
        </w:tc>
        <w:tc>
          <w:tcPr>
            <w:tcW w:w="697" w:type="pct"/>
            <w:tcBorders>
              <w:top w:val="single" w:color="auto" w:sz="4" w:space="0"/>
              <w:bottom w:val="single" w:color="auto" w:sz="4" w:space="0"/>
              <w:right w:val="single" w:color="auto" w:sz="4" w:space="0"/>
            </w:tcBorders>
            <w:vAlign w:val="center"/>
          </w:tcPr>
          <w:p w14:paraId="2B1989E4">
            <w:pPr>
              <w:adjustRightInd w:val="0"/>
              <w:snapToGrid w:val="0"/>
              <w:spacing w:line="340" w:lineRule="exact"/>
              <w:jc w:val="center"/>
              <w:textAlignment w:val="baseline"/>
              <w:rPr>
                <w:rFonts w:hint="eastAsia" w:ascii="宋体" w:hAnsi="宋体"/>
                <w:szCs w:val="21"/>
                <w:highlight w:val="none"/>
              </w:rPr>
            </w:pPr>
            <w:r>
              <w:rPr>
                <w:rFonts w:ascii="宋体" w:hAnsi="宋体"/>
                <w:szCs w:val="21"/>
                <w:highlight w:val="none"/>
              </w:rPr>
              <w:t>评标基准价</w:t>
            </w:r>
            <w:r>
              <w:rPr>
                <w:rFonts w:hint="eastAsia" w:ascii="宋体" w:hAnsi="宋体"/>
                <w:szCs w:val="21"/>
                <w:highlight w:val="none"/>
              </w:rPr>
              <w:br w:type="textWrapping"/>
            </w:r>
            <w:r>
              <w:rPr>
                <w:rFonts w:ascii="宋体" w:hAnsi="宋体"/>
                <w:szCs w:val="21"/>
                <w:highlight w:val="none"/>
              </w:rPr>
              <w:t>计算方法</w:t>
            </w:r>
          </w:p>
        </w:tc>
        <w:tc>
          <w:tcPr>
            <w:tcW w:w="3765" w:type="pct"/>
            <w:tcBorders>
              <w:top w:val="single" w:color="auto" w:sz="4" w:space="0"/>
              <w:left w:val="single" w:color="auto" w:sz="4" w:space="0"/>
              <w:bottom w:val="single" w:color="auto" w:sz="4" w:space="0"/>
              <w:right w:val="single" w:color="auto" w:sz="4" w:space="0"/>
            </w:tcBorders>
            <w:vAlign w:val="center"/>
          </w:tcPr>
          <w:p w14:paraId="3B3C1F2B">
            <w:pPr>
              <w:spacing w:line="340" w:lineRule="exact"/>
              <w:ind w:left="113" w:leftChars="54" w:right="113" w:firstLine="420" w:firstLineChars="200"/>
              <w:rPr>
                <w:rFonts w:hint="eastAsia" w:ascii="宋体" w:hAnsi="宋体"/>
                <w:szCs w:val="21"/>
                <w:highlight w:val="none"/>
              </w:rPr>
            </w:pPr>
            <w:r>
              <w:rPr>
                <w:rFonts w:hint="eastAsia" w:ascii="宋体" w:hAnsi="宋体"/>
                <w:szCs w:val="21"/>
                <w:highlight w:val="none"/>
              </w:rPr>
              <w:t>评标基准价的计算：</w:t>
            </w:r>
          </w:p>
          <w:p w14:paraId="0C848938">
            <w:pPr>
              <w:spacing w:line="340" w:lineRule="exact"/>
              <w:ind w:left="113" w:leftChars="54" w:right="113" w:firstLine="420" w:firstLineChars="200"/>
              <w:rPr>
                <w:rFonts w:hint="eastAsia" w:ascii="宋体" w:hAnsi="宋体"/>
                <w:szCs w:val="21"/>
                <w:highlight w:val="none"/>
              </w:rPr>
            </w:pPr>
            <w:r>
              <w:rPr>
                <w:rFonts w:hint="eastAsia" w:ascii="宋体" w:hAnsi="宋体"/>
                <w:szCs w:val="21"/>
                <w:highlight w:val="none"/>
              </w:rPr>
              <w:t>在开标现场，招标人将当场计算并宣布评标基准价。</w:t>
            </w:r>
          </w:p>
          <w:p w14:paraId="5390DF97">
            <w:pPr>
              <w:spacing w:line="340" w:lineRule="exact"/>
              <w:ind w:left="113" w:leftChars="54" w:right="113" w:firstLine="315" w:firstLineChars="150"/>
              <w:rPr>
                <w:rFonts w:hint="eastAsia" w:ascii="宋体" w:hAnsi="宋体"/>
                <w:szCs w:val="21"/>
                <w:highlight w:val="none"/>
              </w:rPr>
            </w:pPr>
            <w:r>
              <w:rPr>
                <w:rFonts w:hint="eastAsia" w:ascii="宋体" w:hAnsi="宋体"/>
                <w:szCs w:val="21"/>
                <w:highlight w:val="none"/>
              </w:rPr>
              <w:t>（1）评标价的确定：</w:t>
            </w:r>
          </w:p>
          <w:p w14:paraId="77DE912C">
            <w:pPr>
              <w:spacing w:line="340" w:lineRule="exact"/>
              <w:ind w:left="113" w:leftChars="54" w:right="113" w:firstLine="420" w:firstLineChars="200"/>
              <w:rPr>
                <w:rFonts w:hint="eastAsia" w:ascii="黑体" w:hAnsi="黑体" w:eastAsia="黑体"/>
                <w:szCs w:val="21"/>
                <w:highlight w:val="none"/>
              </w:rPr>
            </w:pPr>
            <w:r>
              <w:rPr>
                <w:rFonts w:hint="eastAsia" w:ascii="黑体" w:hAnsi="黑体" w:eastAsia="黑体"/>
                <w:szCs w:val="21"/>
                <w:highlight w:val="none"/>
              </w:rPr>
              <w:t>评标价=投标函文字报价</w:t>
            </w:r>
          </w:p>
          <w:p w14:paraId="307445B6">
            <w:pPr>
              <w:spacing w:line="340" w:lineRule="exact"/>
              <w:ind w:left="113" w:leftChars="54" w:right="113" w:firstLine="315" w:firstLineChars="150"/>
              <w:rPr>
                <w:rFonts w:hint="eastAsia" w:ascii="宋体" w:hAnsi="宋体"/>
                <w:szCs w:val="21"/>
                <w:highlight w:val="none"/>
              </w:rPr>
            </w:pPr>
            <w:r>
              <w:rPr>
                <w:rFonts w:hint="eastAsia" w:ascii="宋体" w:hAnsi="宋体"/>
                <w:szCs w:val="21"/>
                <w:highlight w:val="none"/>
              </w:rPr>
              <w:t>（2）评标价平均值的计算：</w:t>
            </w:r>
          </w:p>
          <w:p w14:paraId="77A3335A">
            <w:pPr>
              <w:spacing w:line="340" w:lineRule="exact"/>
              <w:ind w:left="113" w:leftChars="54" w:right="113" w:firstLine="420" w:firstLineChars="200"/>
              <w:rPr>
                <w:rFonts w:hint="eastAsia" w:ascii="宋体" w:hAnsi="宋体"/>
                <w:szCs w:val="21"/>
                <w:highlight w:val="none"/>
              </w:rPr>
            </w:pPr>
            <w:r>
              <w:rPr>
                <w:rFonts w:hint="eastAsia" w:ascii="黑体" w:hAnsi="黑体" w:eastAsia="黑体"/>
                <w:szCs w:val="21"/>
                <w:highlight w:val="none"/>
              </w:rPr>
              <w:t>方案二：</w:t>
            </w:r>
            <w:r>
              <w:rPr>
                <w:rFonts w:hint="eastAsia" w:ascii="宋体" w:hAnsi="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AF5F489">
            <w:pPr>
              <w:spacing w:line="340" w:lineRule="exact"/>
              <w:ind w:left="113" w:leftChars="54" w:right="113" w:firstLine="315" w:firstLineChars="150"/>
              <w:rPr>
                <w:rFonts w:hint="eastAsia" w:ascii="宋体" w:hAnsi="宋体"/>
                <w:szCs w:val="21"/>
                <w:highlight w:val="none"/>
              </w:rPr>
            </w:pPr>
            <w:r>
              <w:rPr>
                <w:rFonts w:hint="eastAsia" w:ascii="宋体" w:hAnsi="宋体"/>
                <w:szCs w:val="21"/>
                <w:highlight w:val="none"/>
              </w:rPr>
              <w:t xml:space="preserve">（3）评标基准价的确定： </w:t>
            </w:r>
          </w:p>
          <w:p w14:paraId="58B31AE3">
            <w:pPr>
              <w:spacing w:line="340" w:lineRule="exact"/>
              <w:ind w:left="113" w:leftChars="54" w:right="113" w:firstLine="420" w:firstLineChars="200"/>
              <w:rPr>
                <w:rFonts w:hint="eastAsia" w:ascii="宋体" w:hAnsi="宋体"/>
                <w:szCs w:val="21"/>
                <w:highlight w:val="none"/>
              </w:rPr>
            </w:pPr>
            <w:r>
              <w:rPr>
                <w:rFonts w:hint="eastAsia" w:ascii="黑体" w:hAnsi="黑体" w:eastAsia="黑体"/>
                <w:szCs w:val="21"/>
                <w:highlight w:val="none"/>
              </w:rPr>
              <w:t>方法一：</w:t>
            </w:r>
            <w:r>
              <w:rPr>
                <w:rFonts w:hint="eastAsia" w:ascii="宋体" w:hAnsi="宋体"/>
                <w:szCs w:val="21"/>
                <w:highlight w:val="none"/>
              </w:rPr>
              <w:t>将评标价平均值直接作为评标基准价。</w:t>
            </w:r>
          </w:p>
          <w:p w14:paraId="35AFF228">
            <w:pPr>
              <w:pStyle w:val="49"/>
              <w:adjustRightInd w:val="0"/>
              <w:snapToGrid w:val="0"/>
              <w:spacing w:line="340" w:lineRule="exact"/>
              <w:ind w:firstLineChars="0"/>
              <w:textAlignment w:val="baseline"/>
              <w:rPr>
                <w:rFonts w:hint="eastAsia" w:ascii="宋体" w:hAnsi="宋体"/>
                <w:szCs w:val="21"/>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6D32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8" w:type="pct"/>
            <w:tcBorders>
              <w:top w:val="single" w:color="auto" w:sz="4" w:space="0"/>
              <w:bottom w:val="single" w:color="auto" w:sz="4" w:space="0"/>
              <w:right w:val="single" w:color="auto" w:sz="4" w:space="0"/>
            </w:tcBorders>
            <w:vAlign w:val="center"/>
          </w:tcPr>
          <w:p w14:paraId="54D5EA95">
            <w:pPr>
              <w:adjustRightInd w:val="0"/>
              <w:snapToGrid w:val="0"/>
              <w:spacing w:line="340" w:lineRule="exact"/>
              <w:jc w:val="center"/>
              <w:textAlignment w:val="baseline"/>
              <w:rPr>
                <w:rFonts w:hint="eastAsia" w:ascii="宋体" w:hAnsi="宋体"/>
                <w:szCs w:val="21"/>
                <w:highlight w:val="none"/>
              </w:rPr>
            </w:pPr>
            <w:r>
              <w:rPr>
                <w:rFonts w:hint="eastAsia" w:ascii="宋体" w:hAnsi="宋体"/>
                <w:szCs w:val="21"/>
                <w:highlight w:val="none"/>
              </w:rPr>
              <w:t>2.2.3</w:t>
            </w:r>
          </w:p>
        </w:tc>
        <w:tc>
          <w:tcPr>
            <w:tcW w:w="697" w:type="pct"/>
            <w:tcBorders>
              <w:top w:val="single" w:color="auto" w:sz="4" w:space="0"/>
              <w:bottom w:val="single" w:color="auto" w:sz="4" w:space="0"/>
              <w:right w:val="single" w:color="auto" w:sz="4" w:space="0"/>
            </w:tcBorders>
            <w:vAlign w:val="center"/>
          </w:tcPr>
          <w:p w14:paraId="2D95458C">
            <w:pPr>
              <w:adjustRightInd w:val="0"/>
              <w:snapToGrid w:val="0"/>
              <w:spacing w:line="340" w:lineRule="exact"/>
              <w:jc w:val="center"/>
              <w:textAlignment w:val="baseline"/>
              <w:rPr>
                <w:rFonts w:hint="eastAsia" w:ascii="宋体" w:hAnsi="宋体"/>
                <w:szCs w:val="21"/>
                <w:highlight w:val="none"/>
              </w:rPr>
            </w:pPr>
            <w:r>
              <w:rPr>
                <w:rFonts w:ascii="宋体" w:hAnsi="宋体"/>
                <w:szCs w:val="21"/>
                <w:highlight w:val="none"/>
              </w:rPr>
              <w:t>评标价的</w:t>
            </w:r>
            <w:r>
              <w:rPr>
                <w:rFonts w:hint="eastAsia" w:ascii="宋体" w:hAnsi="宋体"/>
                <w:szCs w:val="21"/>
                <w:highlight w:val="none"/>
              </w:rPr>
              <w:br w:type="textWrapping"/>
            </w:r>
            <w:r>
              <w:rPr>
                <w:rFonts w:ascii="宋体" w:hAnsi="宋体"/>
                <w:szCs w:val="21"/>
                <w:highlight w:val="none"/>
              </w:rPr>
              <w:t>偏差率</w:t>
            </w:r>
            <w:r>
              <w:rPr>
                <w:rFonts w:hint="eastAsia" w:ascii="宋体" w:hAnsi="宋体"/>
                <w:szCs w:val="21"/>
                <w:highlight w:val="none"/>
              </w:rPr>
              <w:br w:type="textWrapping"/>
            </w:r>
            <w:r>
              <w:rPr>
                <w:rFonts w:ascii="宋体" w:hAnsi="宋体"/>
                <w:szCs w:val="21"/>
                <w:highlight w:val="none"/>
              </w:rPr>
              <w:t>计算公式</w:t>
            </w:r>
          </w:p>
        </w:tc>
        <w:tc>
          <w:tcPr>
            <w:tcW w:w="3765" w:type="pct"/>
            <w:tcBorders>
              <w:top w:val="single" w:color="auto" w:sz="4" w:space="0"/>
              <w:left w:val="single" w:color="auto" w:sz="4" w:space="0"/>
              <w:bottom w:val="single" w:color="auto" w:sz="4" w:space="0"/>
              <w:right w:val="single" w:color="auto" w:sz="4" w:space="0"/>
            </w:tcBorders>
            <w:vAlign w:val="center"/>
          </w:tcPr>
          <w:p w14:paraId="5299E985">
            <w:pPr>
              <w:pStyle w:val="49"/>
              <w:adjustRightInd w:val="0"/>
              <w:snapToGrid w:val="0"/>
              <w:spacing w:line="340" w:lineRule="exact"/>
              <w:jc w:val="left"/>
              <w:textAlignment w:val="baseline"/>
              <w:rPr>
                <w:rFonts w:hint="eastAsia" w:ascii="宋体" w:hAnsi="宋体"/>
                <w:szCs w:val="21"/>
                <w:highlight w:val="none"/>
              </w:rPr>
            </w:pPr>
            <w:r>
              <w:rPr>
                <w:rFonts w:hint="eastAsia" w:ascii="宋体" w:hAnsi="宋体"/>
                <w:szCs w:val="21"/>
                <w:highlight w:val="none"/>
              </w:rPr>
              <w:t>偏差率=100%×（投标人评标价-评标基准价）/评标基准价</w:t>
            </w:r>
          </w:p>
          <w:p w14:paraId="75A06F1A">
            <w:pPr>
              <w:autoSpaceDE w:val="0"/>
              <w:autoSpaceDN w:val="0"/>
              <w:adjustRightInd w:val="0"/>
              <w:snapToGrid w:val="0"/>
              <w:spacing w:line="340" w:lineRule="exact"/>
              <w:ind w:firstLine="420" w:firstLineChars="200"/>
              <w:jc w:val="left"/>
              <w:rPr>
                <w:rFonts w:hint="eastAsia" w:ascii="宋体" w:hAnsi="宋体"/>
                <w:szCs w:val="21"/>
                <w:highlight w:val="none"/>
              </w:rPr>
            </w:pPr>
            <w:r>
              <w:rPr>
                <w:rFonts w:hint="eastAsia" w:ascii="宋体" w:hAnsi="宋体"/>
                <w:szCs w:val="21"/>
                <w:highlight w:val="none"/>
              </w:rPr>
              <w:t>偏差率保留两位小数（示例：偏差率=**.**%），小数点后第三位“四舍五入”。</w:t>
            </w:r>
          </w:p>
        </w:tc>
      </w:tr>
    </w:tbl>
    <w:p w14:paraId="0D5F8A71">
      <w:pPr>
        <w:adjustRightInd w:val="0"/>
        <w:snapToGrid w:val="0"/>
        <w:spacing w:line="340" w:lineRule="exact"/>
        <w:ind w:firstLine="7560" w:firstLineChars="3600"/>
        <w:jc w:val="right"/>
        <w:rPr>
          <w:rFonts w:hint="eastAsia" w:ascii="宋体" w:hAnsi="宋体"/>
          <w:highlight w:val="none"/>
        </w:rPr>
      </w:pPr>
      <w:r>
        <w:rPr>
          <w:rFonts w:ascii="宋体" w:hAnsi="宋体"/>
          <w:szCs w:val="21"/>
          <w:highlight w:val="none"/>
        </w:rPr>
        <w:br w:type="page"/>
      </w:r>
      <w:r>
        <w:rPr>
          <w:rFonts w:ascii="宋体" w:hAnsi="宋体"/>
          <w:highlight w:val="none"/>
        </w:rPr>
        <w:t>续上表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342"/>
        <w:gridCol w:w="1143"/>
        <w:gridCol w:w="1499"/>
        <w:gridCol w:w="992"/>
        <w:gridCol w:w="3934"/>
      </w:tblGrid>
      <w:tr w14:paraId="1711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44" w:type="dxa"/>
            <w:vMerge w:val="restart"/>
            <w:vAlign w:val="center"/>
          </w:tcPr>
          <w:p w14:paraId="254EC2A8">
            <w:pPr>
              <w:adjustRightInd w:val="0"/>
              <w:snapToGrid w:val="0"/>
              <w:jc w:val="center"/>
              <w:rPr>
                <w:rFonts w:hint="eastAsia" w:ascii="宋体" w:hAnsi="宋体"/>
                <w:highlight w:val="none"/>
              </w:rPr>
            </w:pPr>
            <w:r>
              <w:rPr>
                <w:rFonts w:ascii="宋体" w:hAnsi="宋体"/>
                <w:highlight w:val="none"/>
              </w:rPr>
              <w:t>条款号</w:t>
            </w:r>
          </w:p>
        </w:tc>
        <w:tc>
          <w:tcPr>
            <w:tcW w:w="4976" w:type="dxa"/>
            <w:gridSpan w:val="4"/>
            <w:vAlign w:val="center"/>
          </w:tcPr>
          <w:p w14:paraId="598E63F2">
            <w:pPr>
              <w:adjustRightInd w:val="0"/>
              <w:snapToGrid w:val="0"/>
              <w:jc w:val="center"/>
              <w:rPr>
                <w:rFonts w:hint="eastAsia" w:ascii="宋体" w:hAnsi="宋体"/>
                <w:highlight w:val="none"/>
              </w:rPr>
            </w:pPr>
            <w:r>
              <w:rPr>
                <w:rFonts w:ascii="宋体" w:hAnsi="宋体"/>
                <w:highlight w:val="none"/>
              </w:rPr>
              <w:t>评分因素与权重分值</w:t>
            </w:r>
          </w:p>
        </w:tc>
        <w:tc>
          <w:tcPr>
            <w:tcW w:w="3934" w:type="dxa"/>
            <w:vMerge w:val="restart"/>
            <w:vAlign w:val="center"/>
          </w:tcPr>
          <w:p w14:paraId="469D2E9A">
            <w:pPr>
              <w:adjustRightInd w:val="0"/>
              <w:snapToGrid w:val="0"/>
              <w:jc w:val="center"/>
              <w:rPr>
                <w:rFonts w:hint="eastAsia" w:ascii="宋体" w:hAnsi="宋体"/>
                <w:highlight w:val="none"/>
              </w:rPr>
            </w:pPr>
            <w:r>
              <w:rPr>
                <w:rFonts w:ascii="宋体" w:hAnsi="宋体"/>
                <w:highlight w:val="none"/>
              </w:rPr>
              <w:t>评分标准</w:t>
            </w:r>
          </w:p>
        </w:tc>
      </w:tr>
      <w:tr w14:paraId="39E8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14:paraId="1D6009B1">
            <w:pPr>
              <w:adjustRightInd w:val="0"/>
              <w:snapToGrid w:val="0"/>
              <w:jc w:val="center"/>
              <w:rPr>
                <w:rFonts w:hint="eastAsia" w:ascii="宋体" w:hAnsi="宋体"/>
                <w:highlight w:val="none"/>
              </w:rPr>
            </w:pPr>
          </w:p>
        </w:tc>
        <w:tc>
          <w:tcPr>
            <w:tcW w:w="1342" w:type="dxa"/>
            <w:vAlign w:val="center"/>
          </w:tcPr>
          <w:p w14:paraId="08608154">
            <w:pPr>
              <w:adjustRightInd w:val="0"/>
              <w:snapToGrid w:val="0"/>
              <w:jc w:val="center"/>
              <w:rPr>
                <w:rFonts w:hint="eastAsia" w:ascii="宋体" w:hAnsi="宋体"/>
                <w:highlight w:val="none"/>
              </w:rPr>
            </w:pPr>
            <w:r>
              <w:rPr>
                <w:rFonts w:ascii="宋体" w:hAnsi="宋体"/>
                <w:highlight w:val="none"/>
              </w:rPr>
              <w:t>评分因素</w:t>
            </w:r>
          </w:p>
        </w:tc>
        <w:tc>
          <w:tcPr>
            <w:tcW w:w="1143" w:type="dxa"/>
            <w:vAlign w:val="center"/>
          </w:tcPr>
          <w:p w14:paraId="794E2591">
            <w:pPr>
              <w:adjustRightInd w:val="0"/>
              <w:snapToGrid w:val="0"/>
              <w:jc w:val="center"/>
              <w:rPr>
                <w:rFonts w:hint="eastAsia" w:ascii="宋体" w:hAnsi="宋体"/>
                <w:highlight w:val="none"/>
              </w:rPr>
            </w:pPr>
            <w:r>
              <w:rPr>
                <w:rFonts w:ascii="宋体" w:hAnsi="宋体"/>
                <w:highlight w:val="none"/>
              </w:rPr>
              <w:t>评分因素</w:t>
            </w:r>
            <w:r>
              <w:rPr>
                <w:rFonts w:hint="eastAsia" w:ascii="宋体" w:hAnsi="宋体"/>
                <w:highlight w:val="none"/>
              </w:rPr>
              <w:br w:type="textWrapping"/>
            </w:r>
            <w:r>
              <w:rPr>
                <w:rFonts w:ascii="宋体" w:hAnsi="宋体"/>
                <w:highlight w:val="none"/>
              </w:rPr>
              <w:t>权重分值</w:t>
            </w:r>
          </w:p>
        </w:tc>
        <w:tc>
          <w:tcPr>
            <w:tcW w:w="1499" w:type="dxa"/>
            <w:vAlign w:val="center"/>
          </w:tcPr>
          <w:p w14:paraId="46041267">
            <w:pPr>
              <w:adjustRightInd w:val="0"/>
              <w:snapToGrid w:val="0"/>
              <w:jc w:val="center"/>
              <w:rPr>
                <w:rFonts w:hint="eastAsia" w:ascii="宋体" w:hAnsi="宋体"/>
                <w:highlight w:val="none"/>
              </w:rPr>
            </w:pPr>
            <w:r>
              <w:rPr>
                <w:rFonts w:ascii="宋体" w:hAnsi="宋体"/>
                <w:highlight w:val="none"/>
              </w:rPr>
              <w:t>各评分因素</w:t>
            </w:r>
            <w:r>
              <w:rPr>
                <w:rFonts w:hint="eastAsia" w:ascii="宋体" w:hAnsi="宋体"/>
                <w:highlight w:val="none"/>
              </w:rPr>
              <w:br w:type="textWrapping"/>
            </w:r>
            <w:r>
              <w:rPr>
                <w:rFonts w:ascii="宋体" w:hAnsi="宋体"/>
                <w:highlight w:val="none"/>
              </w:rPr>
              <w:t>细分项</w:t>
            </w:r>
          </w:p>
        </w:tc>
        <w:tc>
          <w:tcPr>
            <w:tcW w:w="992" w:type="dxa"/>
            <w:vAlign w:val="center"/>
          </w:tcPr>
          <w:p w14:paraId="2542D475">
            <w:pPr>
              <w:adjustRightInd w:val="0"/>
              <w:snapToGrid w:val="0"/>
              <w:jc w:val="center"/>
              <w:rPr>
                <w:rFonts w:hint="eastAsia" w:ascii="宋体" w:hAnsi="宋体"/>
                <w:highlight w:val="none"/>
              </w:rPr>
            </w:pPr>
            <w:r>
              <w:rPr>
                <w:rFonts w:ascii="宋体" w:hAnsi="宋体"/>
                <w:highlight w:val="none"/>
              </w:rPr>
              <w:t>分值</w:t>
            </w:r>
          </w:p>
        </w:tc>
        <w:tc>
          <w:tcPr>
            <w:tcW w:w="3934" w:type="dxa"/>
            <w:vMerge w:val="continue"/>
          </w:tcPr>
          <w:p w14:paraId="0FDD5A95">
            <w:pPr>
              <w:adjustRightInd w:val="0"/>
              <w:snapToGrid w:val="0"/>
              <w:jc w:val="center"/>
              <w:rPr>
                <w:rFonts w:hint="eastAsia" w:ascii="宋体" w:hAnsi="宋体"/>
                <w:highlight w:val="none"/>
              </w:rPr>
            </w:pPr>
          </w:p>
        </w:tc>
      </w:tr>
      <w:tr w14:paraId="23FC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restart"/>
            <w:vAlign w:val="center"/>
          </w:tcPr>
          <w:p w14:paraId="31B1EF22">
            <w:pPr>
              <w:adjustRightInd w:val="0"/>
              <w:snapToGrid w:val="0"/>
              <w:jc w:val="center"/>
              <w:rPr>
                <w:rFonts w:hint="eastAsia" w:ascii="宋体" w:hAnsi="宋体"/>
                <w:highlight w:val="none"/>
              </w:rPr>
            </w:pPr>
            <w:r>
              <w:rPr>
                <w:rFonts w:hint="eastAsia" w:ascii="宋体" w:hAnsi="宋体"/>
                <w:highlight w:val="none"/>
              </w:rPr>
              <w:t>2.2.4</w:t>
            </w:r>
            <w:r>
              <w:rPr>
                <w:rFonts w:ascii="宋体" w:hAnsi="宋体"/>
                <w:highlight w:val="none"/>
              </w:rPr>
              <w:br w:type="textWrapping"/>
            </w:r>
            <w:r>
              <w:rPr>
                <w:rFonts w:hint="eastAsia" w:ascii="宋体" w:hAnsi="宋体"/>
                <w:highlight w:val="none"/>
              </w:rPr>
              <w:t>（1）</w:t>
            </w:r>
          </w:p>
        </w:tc>
        <w:tc>
          <w:tcPr>
            <w:tcW w:w="1342" w:type="dxa"/>
            <w:vMerge w:val="restart"/>
            <w:vAlign w:val="center"/>
          </w:tcPr>
          <w:p w14:paraId="122FCB7D">
            <w:pPr>
              <w:adjustRightInd w:val="0"/>
              <w:snapToGrid w:val="0"/>
              <w:jc w:val="center"/>
              <w:rPr>
                <w:rFonts w:hint="eastAsia" w:ascii="宋体" w:hAnsi="宋体"/>
                <w:highlight w:val="none"/>
              </w:rPr>
            </w:pPr>
            <w:r>
              <w:rPr>
                <w:rFonts w:ascii="宋体" w:hAnsi="宋体"/>
                <w:highlight w:val="none"/>
              </w:rPr>
              <w:t>技术建议书</w:t>
            </w:r>
          </w:p>
        </w:tc>
        <w:tc>
          <w:tcPr>
            <w:tcW w:w="1143" w:type="dxa"/>
            <w:vMerge w:val="restart"/>
            <w:vAlign w:val="center"/>
          </w:tcPr>
          <w:p w14:paraId="4E9E2F9C">
            <w:pPr>
              <w:adjustRightInd w:val="0"/>
              <w:snapToGrid w:val="0"/>
              <w:jc w:val="center"/>
              <w:rPr>
                <w:rFonts w:hint="eastAsia" w:ascii="宋体" w:hAnsi="宋体"/>
                <w:highlight w:val="none"/>
              </w:rPr>
            </w:pPr>
            <w:r>
              <w:rPr>
                <w:rFonts w:hint="eastAsia" w:ascii="宋体" w:hAnsi="宋体"/>
                <w:highlight w:val="none"/>
              </w:rPr>
              <w:t>45分</w:t>
            </w:r>
          </w:p>
        </w:tc>
        <w:tc>
          <w:tcPr>
            <w:tcW w:w="1499" w:type="dxa"/>
            <w:vAlign w:val="center"/>
          </w:tcPr>
          <w:p w14:paraId="25954C2A">
            <w:pPr>
              <w:adjustRightInd w:val="0"/>
              <w:snapToGrid w:val="0"/>
              <w:jc w:val="left"/>
              <w:rPr>
                <w:highlight w:val="none"/>
              </w:rPr>
            </w:pPr>
            <w:r>
              <w:rPr>
                <w:rFonts w:hint="eastAsia"/>
                <w:highlight w:val="none"/>
              </w:rPr>
              <w:t>对招标项目的理解和总体设计思路</w:t>
            </w:r>
          </w:p>
        </w:tc>
        <w:tc>
          <w:tcPr>
            <w:tcW w:w="992" w:type="dxa"/>
            <w:vAlign w:val="center"/>
          </w:tcPr>
          <w:p w14:paraId="6B97AE96">
            <w:pPr>
              <w:adjustRightInd w:val="0"/>
              <w:snapToGrid w:val="0"/>
              <w:jc w:val="center"/>
              <w:rPr>
                <w:rFonts w:hint="eastAsia" w:ascii="宋体" w:hAnsi="宋体"/>
                <w:highlight w:val="none"/>
              </w:rPr>
            </w:pPr>
            <w:r>
              <w:rPr>
                <w:rFonts w:hint="eastAsia" w:ascii="宋体" w:hAnsi="宋体"/>
                <w:highlight w:val="none"/>
              </w:rPr>
              <w:t>5分</w:t>
            </w:r>
          </w:p>
        </w:tc>
        <w:tc>
          <w:tcPr>
            <w:tcW w:w="3934" w:type="dxa"/>
            <w:vAlign w:val="center"/>
          </w:tcPr>
          <w:p w14:paraId="3511ADB3">
            <w:pPr>
              <w:adjustRightInd w:val="0"/>
              <w:snapToGrid w:val="0"/>
              <w:jc w:val="left"/>
              <w:rPr>
                <w:rFonts w:hint="eastAsia" w:ascii="宋体" w:hAnsi="宋体"/>
                <w:highlight w:val="none"/>
              </w:rPr>
            </w:pPr>
            <w:r>
              <w:rPr>
                <w:rFonts w:hint="eastAsia" w:ascii="宋体" w:hAnsi="宋体"/>
                <w:highlight w:val="none"/>
              </w:rPr>
              <w:t>按招标文件要求编制对招标项目的理解和总体设计思路得3分；</w:t>
            </w:r>
          </w:p>
          <w:p w14:paraId="02417397">
            <w:pPr>
              <w:adjustRightInd w:val="0"/>
              <w:snapToGrid w:val="0"/>
              <w:jc w:val="left"/>
              <w:rPr>
                <w:rFonts w:hint="eastAsia" w:ascii="宋体" w:hAnsi="宋体"/>
                <w:highlight w:val="none"/>
              </w:rPr>
            </w:pPr>
            <w:r>
              <w:rPr>
                <w:rFonts w:hint="eastAsia" w:ascii="宋体" w:hAnsi="宋体"/>
                <w:highlight w:val="none"/>
              </w:rPr>
              <w:t>理解深刻、认识全面、对设计思路把握准确，酌情加分，最高加2分。</w:t>
            </w:r>
          </w:p>
        </w:tc>
      </w:tr>
      <w:tr w14:paraId="503F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14:paraId="16A0A0DD">
            <w:pPr>
              <w:adjustRightInd w:val="0"/>
              <w:snapToGrid w:val="0"/>
              <w:jc w:val="center"/>
              <w:rPr>
                <w:rFonts w:hint="eastAsia" w:ascii="宋体" w:hAnsi="宋体"/>
                <w:highlight w:val="none"/>
              </w:rPr>
            </w:pPr>
          </w:p>
        </w:tc>
        <w:tc>
          <w:tcPr>
            <w:tcW w:w="1342" w:type="dxa"/>
            <w:vMerge w:val="continue"/>
            <w:vAlign w:val="center"/>
          </w:tcPr>
          <w:p w14:paraId="2B47EE77">
            <w:pPr>
              <w:adjustRightInd w:val="0"/>
              <w:snapToGrid w:val="0"/>
              <w:jc w:val="center"/>
              <w:rPr>
                <w:rFonts w:hint="eastAsia" w:ascii="宋体" w:hAnsi="宋体"/>
                <w:highlight w:val="none"/>
              </w:rPr>
            </w:pPr>
          </w:p>
        </w:tc>
        <w:tc>
          <w:tcPr>
            <w:tcW w:w="1143" w:type="dxa"/>
            <w:vMerge w:val="continue"/>
            <w:vAlign w:val="center"/>
          </w:tcPr>
          <w:p w14:paraId="01941D35">
            <w:pPr>
              <w:adjustRightInd w:val="0"/>
              <w:snapToGrid w:val="0"/>
              <w:jc w:val="center"/>
              <w:rPr>
                <w:rFonts w:hint="eastAsia" w:ascii="宋体" w:hAnsi="宋体"/>
                <w:highlight w:val="none"/>
              </w:rPr>
            </w:pPr>
          </w:p>
        </w:tc>
        <w:tc>
          <w:tcPr>
            <w:tcW w:w="1499" w:type="dxa"/>
            <w:vAlign w:val="center"/>
          </w:tcPr>
          <w:p w14:paraId="2A3122CB">
            <w:pPr>
              <w:adjustRightInd w:val="0"/>
              <w:snapToGrid w:val="0"/>
              <w:jc w:val="left"/>
              <w:rPr>
                <w:highlight w:val="none"/>
              </w:rPr>
            </w:pPr>
            <w:r>
              <w:rPr>
                <w:rFonts w:hint="eastAsia"/>
                <w:highlight w:val="none"/>
              </w:rPr>
              <w:t>招标项目勘察设计的特点、关键技术问题的认识及其对策措施</w:t>
            </w:r>
          </w:p>
        </w:tc>
        <w:tc>
          <w:tcPr>
            <w:tcW w:w="992" w:type="dxa"/>
            <w:vAlign w:val="center"/>
          </w:tcPr>
          <w:p w14:paraId="3A10837D">
            <w:pPr>
              <w:adjustRightInd w:val="0"/>
              <w:snapToGrid w:val="0"/>
              <w:jc w:val="center"/>
              <w:rPr>
                <w:rFonts w:hint="eastAsia" w:ascii="宋体" w:hAnsi="宋体"/>
                <w:highlight w:val="none"/>
              </w:rPr>
            </w:pPr>
            <w:r>
              <w:rPr>
                <w:rFonts w:hint="eastAsia" w:ascii="宋体" w:hAnsi="宋体"/>
                <w:highlight w:val="none"/>
              </w:rPr>
              <w:t>15分</w:t>
            </w:r>
          </w:p>
        </w:tc>
        <w:tc>
          <w:tcPr>
            <w:tcW w:w="3934" w:type="dxa"/>
            <w:vAlign w:val="center"/>
          </w:tcPr>
          <w:p w14:paraId="26912B2A">
            <w:pPr>
              <w:adjustRightInd w:val="0"/>
              <w:snapToGrid w:val="0"/>
              <w:rPr>
                <w:rFonts w:hint="eastAsia" w:ascii="宋体" w:hAnsi="宋体"/>
                <w:szCs w:val="21"/>
                <w:highlight w:val="none"/>
              </w:rPr>
            </w:pPr>
            <w:r>
              <w:rPr>
                <w:rFonts w:hint="eastAsia" w:ascii="宋体" w:hAnsi="宋体"/>
                <w:szCs w:val="21"/>
                <w:highlight w:val="none"/>
              </w:rPr>
              <w:t>按招标文件要求编制对招标项目勘察设计的特点、关键性技术问题的认识及其对策措施得</w:t>
            </w:r>
            <w:r>
              <w:rPr>
                <w:rFonts w:ascii="宋体" w:hAnsi="宋体"/>
                <w:szCs w:val="21"/>
                <w:highlight w:val="none"/>
              </w:rPr>
              <w:t>9</w:t>
            </w:r>
            <w:r>
              <w:rPr>
                <w:rFonts w:hint="eastAsia" w:ascii="宋体" w:hAnsi="宋体"/>
                <w:szCs w:val="21"/>
                <w:highlight w:val="none"/>
              </w:rPr>
              <w:t>分；</w:t>
            </w:r>
          </w:p>
          <w:p w14:paraId="2A31B6D6">
            <w:pPr>
              <w:adjustRightInd w:val="0"/>
              <w:snapToGrid w:val="0"/>
              <w:rPr>
                <w:rFonts w:hint="eastAsia" w:ascii="宋体" w:hAnsi="宋体"/>
                <w:highlight w:val="none"/>
              </w:rPr>
            </w:pPr>
            <w:r>
              <w:rPr>
                <w:rFonts w:hint="eastAsia" w:ascii="宋体" w:hAnsi="宋体"/>
                <w:szCs w:val="21"/>
                <w:highlight w:val="none"/>
              </w:rPr>
              <w:t>所提出的措施符合本项目的特点，针对性强，且具有可行性的，酌情加分，最高加</w:t>
            </w:r>
            <w:r>
              <w:rPr>
                <w:rFonts w:ascii="宋体" w:hAnsi="宋体"/>
                <w:szCs w:val="21"/>
                <w:highlight w:val="none"/>
              </w:rPr>
              <w:t>6</w:t>
            </w:r>
            <w:r>
              <w:rPr>
                <w:rFonts w:hint="eastAsia" w:ascii="宋体" w:hAnsi="宋体"/>
                <w:szCs w:val="21"/>
                <w:highlight w:val="none"/>
              </w:rPr>
              <w:t>分。</w:t>
            </w:r>
          </w:p>
        </w:tc>
      </w:tr>
      <w:tr w14:paraId="1E00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14:paraId="41A5C2DB">
            <w:pPr>
              <w:adjustRightInd w:val="0"/>
              <w:snapToGrid w:val="0"/>
              <w:jc w:val="center"/>
              <w:rPr>
                <w:rFonts w:hint="eastAsia" w:ascii="宋体" w:hAnsi="宋体"/>
                <w:highlight w:val="none"/>
              </w:rPr>
            </w:pPr>
          </w:p>
        </w:tc>
        <w:tc>
          <w:tcPr>
            <w:tcW w:w="1342" w:type="dxa"/>
            <w:vMerge w:val="continue"/>
            <w:vAlign w:val="center"/>
          </w:tcPr>
          <w:p w14:paraId="0F312434">
            <w:pPr>
              <w:adjustRightInd w:val="0"/>
              <w:snapToGrid w:val="0"/>
              <w:jc w:val="center"/>
              <w:rPr>
                <w:rFonts w:hint="eastAsia" w:ascii="宋体" w:hAnsi="宋体"/>
                <w:highlight w:val="none"/>
              </w:rPr>
            </w:pPr>
          </w:p>
        </w:tc>
        <w:tc>
          <w:tcPr>
            <w:tcW w:w="1143" w:type="dxa"/>
            <w:vMerge w:val="continue"/>
            <w:vAlign w:val="center"/>
          </w:tcPr>
          <w:p w14:paraId="6B468DCB">
            <w:pPr>
              <w:adjustRightInd w:val="0"/>
              <w:snapToGrid w:val="0"/>
              <w:jc w:val="center"/>
              <w:rPr>
                <w:rFonts w:hint="eastAsia" w:ascii="宋体" w:hAnsi="宋体"/>
                <w:highlight w:val="none"/>
              </w:rPr>
            </w:pPr>
          </w:p>
        </w:tc>
        <w:tc>
          <w:tcPr>
            <w:tcW w:w="1499" w:type="dxa"/>
            <w:vAlign w:val="center"/>
          </w:tcPr>
          <w:p w14:paraId="0CBA99B6">
            <w:pPr>
              <w:adjustRightInd w:val="0"/>
              <w:snapToGrid w:val="0"/>
              <w:jc w:val="left"/>
              <w:rPr>
                <w:highlight w:val="none"/>
              </w:rPr>
            </w:pPr>
            <w:r>
              <w:rPr>
                <w:rFonts w:hint="eastAsia"/>
                <w:highlight w:val="none"/>
              </w:rPr>
              <w:t>勘察设计工作量及计划安排</w:t>
            </w:r>
          </w:p>
        </w:tc>
        <w:tc>
          <w:tcPr>
            <w:tcW w:w="992" w:type="dxa"/>
            <w:vAlign w:val="center"/>
          </w:tcPr>
          <w:p w14:paraId="6DA7A36C">
            <w:pPr>
              <w:adjustRightInd w:val="0"/>
              <w:snapToGrid w:val="0"/>
              <w:jc w:val="center"/>
              <w:rPr>
                <w:rFonts w:hint="eastAsia" w:ascii="宋体" w:hAnsi="宋体"/>
                <w:highlight w:val="none"/>
              </w:rPr>
            </w:pPr>
            <w:r>
              <w:rPr>
                <w:rFonts w:hint="eastAsia" w:ascii="宋体" w:hAnsi="宋体"/>
                <w:highlight w:val="none"/>
              </w:rPr>
              <w:t>5分</w:t>
            </w:r>
          </w:p>
        </w:tc>
        <w:tc>
          <w:tcPr>
            <w:tcW w:w="3934" w:type="dxa"/>
            <w:vAlign w:val="center"/>
          </w:tcPr>
          <w:p w14:paraId="53354AF0">
            <w:pPr>
              <w:adjustRightInd w:val="0"/>
              <w:snapToGrid w:val="0"/>
              <w:ind w:right="113"/>
              <w:rPr>
                <w:rFonts w:hint="eastAsia" w:ascii="宋体" w:hAnsi="宋体"/>
                <w:szCs w:val="21"/>
                <w:highlight w:val="none"/>
              </w:rPr>
            </w:pPr>
            <w:r>
              <w:rPr>
                <w:rFonts w:hint="eastAsia" w:ascii="宋体" w:hAnsi="宋体"/>
                <w:szCs w:val="21"/>
                <w:highlight w:val="none"/>
              </w:rPr>
              <w:t>按招标文件要求编制勘察设计工作量及计划安排得</w:t>
            </w:r>
            <w:r>
              <w:rPr>
                <w:rFonts w:ascii="宋体" w:hAnsi="宋体"/>
                <w:szCs w:val="21"/>
                <w:highlight w:val="none"/>
              </w:rPr>
              <w:t>3</w:t>
            </w:r>
            <w:r>
              <w:rPr>
                <w:rFonts w:hint="eastAsia" w:ascii="宋体" w:hAnsi="宋体"/>
                <w:szCs w:val="21"/>
                <w:highlight w:val="none"/>
              </w:rPr>
              <w:t>分；</w:t>
            </w:r>
          </w:p>
          <w:p w14:paraId="3E88B7D3">
            <w:pPr>
              <w:adjustRightInd w:val="0"/>
              <w:snapToGrid w:val="0"/>
              <w:ind w:right="113"/>
              <w:rPr>
                <w:rFonts w:hint="eastAsia" w:ascii="宋体" w:hAnsi="宋体"/>
                <w:szCs w:val="21"/>
                <w:highlight w:val="none"/>
              </w:rPr>
            </w:pPr>
            <w:r>
              <w:rPr>
                <w:rFonts w:hint="eastAsia" w:ascii="宋体" w:hAnsi="宋体"/>
                <w:szCs w:val="21"/>
                <w:highlight w:val="none"/>
              </w:rPr>
              <w:t>勘察设计工作量估算准确、计划安排合理，酌情加分，最高加</w:t>
            </w:r>
            <w:r>
              <w:rPr>
                <w:rFonts w:ascii="宋体" w:hAnsi="宋体"/>
                <w:szCs w:val="21"/>
                <w:highlight w:val="none"/>
              </w:rPr>
              <w:t>2</w:t>
            </w:r>
            <w:r>
              <w:rPr>
                <w:rFonts w:hint="eastAsia" w:ascii="宋体" w:hAnsi="宋体"/>
                <w:szCs w:val="21"/>
                <w:highlight w:val="none"/>
              </w:rPr>
              <w:t>分。</w:t>
            </w:r>
          </w:p>
        </w:tc>
      </w:tr>
      <w:tr w14:paraId="5DAA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14:paraId="2228C160">
            <w:pPr>
              <w:adjustRightInd w:val="0"/>
              <w:snapToGrid w:val="0"/>
              <w:jc w:val="center"/>
              <w:rPr>
                <w:rFonts w:hint="eastAsia" w:ascii="宋体" w:hAnsi="宋体"/>
                <w:highlight w:val="none"/>
              </w:rPr>
            </w:pPr>
          </w:p>
        </w:tc>
        <w:tc>
          <w:tcPr>
            <w:tcW w:w="1342" w:type="dxa"/>
            <w:vMerge w:val="continue"/>
            <w:vAlign w:val="center"/>
          </w:tcPr>
          <w:p w14:paraId="108F3FB8">
            <w:pPr>
              <w:adjustRightInd w:val="0"/>
              <w:snapToGrid w:val="0"/>
              <w:jc w:val="center"/>
              <w:rPr>
                <w:rFonts w:hint="eastAsia" w:ascii="宋体" w:hAnsi="宋体"/>
                <w:highlight w:val="none"/>
              </w:rPr>
            </w:pPr>
          </w:p>
        </w:tc>
        <w:tc>
          <w:tcPr>
            <w:tcW w:w="1143" w:type="dxa"/>
            <w:vMerge w:val="continue"/>
            <w:vAlign w:val="center"/>
          </w:tcPr>
          <w:p w14:paraId="628C2007">
            <w:pPr>
              <w:adjustRightInd w:val="0"/>
              <w:snapToGrid w:val="0"/>
              <w:jc w:val="center"/>
              <w:rPr>
                <w:rFonts w:hint="eastAsia" w:ascii="宋体" w:hAnsi="宋体"/>
                <w:highlight w:val="none"/>
              </w:rPr>
            </w:pPr>
          </w:p>
        </w:tc>
        <w:tc>
          <w:tcPr>
            <w:tcW w:w="1499" w:type="dxa"/>
            <w:vAlign w:val="center"/>
          </w:tcPr>
          <w:p w14:paraId="34B59080">
            <w:pPr>
              <w:adjustRightInd w:val="0"/>
              <w:snapToGrid w:val="0"/>
              <w:jc w:val="left"/>
              <w:rPr>
                <w:highlight w:val="none"/>
              </w:rPr>
            </w:pPr>
            <w:r>
              <w:rPr>
                <w:rFonts w:hint="eastAsia"/>
                <w:highlight w:val="none"/>
              </w:rPr>
              <w:t>勘察设计的质量保证措施、进度保证措施、安全保证措施</w:t>
            </w:r>
          </w:p>
        </w:tc>
        <w:tc>
          <w:tcPr>
            <w:tcW w:w="992" w:type="dxa"/>
            <w:vAlign w:val="center"/>
          </w:tcPr>
          <w:p w14:paraId="34753DD1">
            <w:pPr>
              <w:adjustRightInd w:val="0"/>
              <w:snapToGrid w:val="0"/>
              <w:jc w:val="center"/>
              <w:rPr>
                <w:rFonts w:hint="eastAsia" w:ascii="宋体" w:hAnsi="宋体"/>
                <w:highlight w:val="none"/>
              </w:rPr>
            </w:pPr>
            <w:r>
              <w:rPr>
                <w:rFonts w:hint="eastAsia" w:ascii="宋体" w:hAnsi="宋体"/>
                <w:highlight w:val="none"/>
              </w:rPr>
              <w:t>15分</w:t>
            </w:r>
          </w:p>
        </w:tc>
        <w:tc>
          <w:tcPr>
            <w:tcW w:w="3934" w:type="dxa"/>
            <w:vAlign w:val="center"/>
          </w:tcPr>
          <w:p w14:paraId="10D14110">
            <w:pPr>
              <w:adjustRightInd w:val="0"/>
              <w:snapToGrid w:val="0"/>
              <w:ind w:right="113"/>
              <w:rPr>
                <w:rFonts w:hint="eastAsia" w:ascii="宋体" w:hAnsi="宋体"/>
                <w:szCs w:val="21"/>
                <w:highlight w:val="none"/>
              </w:rPr>
            </w:pPr>
            <w:r>
              <w:rPr>
                <w:rFonts w:hint="eastAsia" w:ascii="宋体" w:hAnsi="宋体"/>
                <w:szCs w:val="21"/>
                <w:highlight w:val="none"/>
              </w:rPr>
              <w:t>按招标文件要求编制勘察设计的质量保证措施、进度保证措施、安全保证措施得</w:t>
            </w:r>
            <w:r>
              <w:rPr>
                <w:rFonts w:ascii="宋体" w:hAnsi="宋体"/>
                <w:szCs w:val="21"/>
                <w:highlight w:val="none"/>
              </w:rPr>
              <w:t>9</w:t>
            </w:r>
            <w:r>
              <w:rPr>
                <w:rFonts w:hint="eastAsia" w:ascii="宋体" w:hAnsi="宋体"/>
                <w:szCs w:val="21"/>
                <w:highlight w:val="none"/>
              </w:rPr>
              <w:t>分；</w:t>
            </w:r>
          </w:p>
          <w:p w14:paraId="46B9B6E3">
            <w:pPr>
              <w:adjustRightInd w:val="0"/>
              <w:snapToGrid w:val="0"/>
              <w:ind w:right="113"/>
              <w:rPr>
                <w:rFonts w:hint="eastAsia" w:ascii="宋体" w:hAnsi="宋体"/>
                <w:szCs w:val="21"/>
                <w:highlight w:val="none"/>
              </w:rPr>
            </w:pPr>
            <w:r>
              <w:rPr>
                <w:rFonts w:hint="eastAsia" w:ascii="宋体" w:hAnsi="宋体"/>
                <w:szCs w:val="21"/>
                <w:highlight w:val="none"/>
              </w:rPr>
              <w:t>措施可行，所采用的措施能够提高设计质量、加快设计进度、保证勘察安全的，酌情加分，最高加</w:t>
            </w:r>
            <w:r>
              <w:rPr>
                <w:rFonts w:ascii="宋体" w:hAnsi="宋体"/>
                <w:szCs w:val="21"/>
                <w:highlight w:val="none"/>
              </w:rPr>
              <w:t>6</w:t>
            </w:r>
            <w:r>
              <w:rPr>
                <w:rFonts w:hint="eastAsia" w:ascii="宋体" w:hAnsi="宋体"/>
                <w:szCs w:val="21"/>
                <w:highlight w:val="none"/>
              </w:rPr>
              <w:t>分。</w:t>
            </w:r>
          </w:p>
        </w:tc>
      </w:tr>
      <w:tr w14:paraId="2094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Merge w:val="continue"/>
            <w:vAlign w:val="center"/>
          </w:tcPr>
          <w:p w14:paraId="5EA29E19">
            <w:pPr>
              <w:adjustRightInd w:val="0"/>
              <w:snapToGrid w:val="0"/>
              <w:jc w:val="center"/>
              <w:rPr>
                <w:rFonts w:hint="eastAsia" w:ascii="宋体" w:hAnsi="宋体"/>
                <w:highlight w:val="none"/>
              </w:rPr>
            </w:pPr>
          </w:p>
        </w:tc>
        <w:tc>
          <w:tcPr>
            <w:tcW w:w="1342" w:type="dxa"/>
            <w:vMerge w:val="continue"/>
            <w:vAlign w:val="center"/>
          </w:tcPr>
          <w:p w14:paraId="1F981CAB">
            <w:pPr>
              <w:adjustRightInd w:val="0"/>
              <w:snapToGrid w:val="0"/>
              <w:jc w:val="center"/>
              <w:rPr>
                <w:rFonts w:hint="eastAsia" w:ascii="宋体" w:hAnsi="宋体"/>
                <w:highlight w:val="none"/>
              </w:rPr>
            </w:pPr>
          </w:p>
        </w:tc>
        <w:tc>
          <w:tcPr>
            <w:tcW w:w="1143" w:type="dxa"/>
            <w:vMerge w:val="continue"/>
            <w:vAlign w:val="center"/>
          </w:tcPr>
          <w:p w14:paraId="2990A211">
            <w:pPr>
              <w:adjustRightInd w:val="0"/>
              <w:snapToGrid w:val="0"/>
              <w:jc w:val="center"/>
              <w:rPr>
                <w:rFonts w:hint="eastAsia" w:ascii="宋体" w:hAnsi="宋体"/>
                <w:highlight w:val="none"/>
              </w:rPr>
            </w:pPr>
          </w:p>
        </w:tc>
        <w:tc>
          <w:tcPr>
            <w:tcW w:w="1499" w:type="dxa"/>
            <w:vAlign w:val="center"/>
          </w:tcPr>
          <w:p w14:paraId="2CA626C4">
            <w:pPr>
              <w:adjustRightInd w:val="0"/>
              <w:snapToGrid w:val="0"/>
              <w:jc w:val="left"/>
              <w:rPr>
                <w:highlight w:val="none"/>
              </w:rPr>
            </w:pPr>
            <w:r>
              <w:rPr>
                <w:rFonts w:hint="eastAsia"/>
                <w:highlight w:val="none"/>
              </w:rPr>
              <w:t>后续服务的安排及保证措施</w:t>
            </w:r>
          </w:p>
        </w:tc>
        <w:tc>
          <w:tcPr>
            <w:tcW w:w="992" w:type="dxa"/>
            <w:vAlign w:val="center"/>
          </w:tcPr>
          <w:p w14:paraId="7D29F6B4">
            <w:pPr>
              <w:adjustRightInd w:val="0"/>
              <w:snapToGrid w:val="0"/>
              <w:jc w:val="center"/>
              <w:rPr>
                <w:rFonts w:hint="eastAsia" w:ascii="宋体" w:hAnsi="宋体"/>
                <w:highlight w:val="none"/>
              </w:rPr>
            </w:pPr>
            <w:r>
              <w:rPr>
                <w:rFonts w:hint="eastAsia" w:ascii="宋体" w:hAnsi="宋体"/>
                <w:highlight w:val="none"/>
              </w:rPr>
              <w:t>5分</w:t>
            </w:r>
          </w:p>
        </w:tc>
        <w:tc>
          <w:tcPr>
            <w:tcW w:w="3934" w:type="dxa"/>
            <w:vAlign w:val="center"/>
          </w:tcPr>
          <w:p w14:paraId="4DEA5EDC">
            <w:pPr>
              <w:adjustRightInd w:val="0"/>
              <w:snapToGrid w:val="0"/>
              <w:ind w:right="113"/>
              <w:rPr>
                <w:rFonts w:hint="eastAsia" w:ascii="宋体" w:hAnsi="宋体"/>
                <w:szCs w:val="21"/>
                <w:highlight w:val="none"/>
              </w:rPr>
            </w:pPr>
            <w:r>
              <w:rPr>
                <w:rFonts w:hint="eastAsia" w:ascii="宋体" w:hAnsi="宋体"/>
                <w:szCs w:val="21"/>
                <w:highlight w:val="none"/>
              </w:rPr>
              <w:t>按招标文件要求编制后续服务的安排及保证措施得3分；</w:t>
            </w:r>
          </w:p>
          <w:p w14:paraId="33460759">
            <w:pPr>
              <w:adjustRightInd w:val="0"/>
              <w:snapToGrid w:val="0"/>
              <w:ind w:right="113"/>
              <w:rPr>
                <w:rFonts w:hint="eastAsia" w:ascii="宋体" w:hAnsi="宋体"/>
                <w:szCs w:val="21"/>
                <w:highlight w:val="none"/>
              </w:rPr>
            </w:pPr>
            <w:r>
              <w:rPr>
                <w:rFonts w:hint="eastAsia" w:ascii="宋体" w:hAnsi="宋体"/>
                <w:szCs w:val="21"/>
                <w:highlight w:val="none"/>
              </w:rPr>
              <w:t>可行且能够快速的协助发包人解决问题，酌情加分，最高加2分。</w:t>
            </w:r>
          </w:p>
        </w:tc>
      </w:tr>
      <w:tr w14:paraId="0028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0262153E">
            <w:pPr>
              <w:adjustRightInd w:val="0"/>
              <w:snapToGrid w:val="0"/>
              <w:jc w:val="center"/>
              <w:rPr>
                <w:rFonts w:hint="eastAsia" w:ascii="宋体" w:hAnsi="宋体"/>
                <w:highlight w:val="none"/>
              </w:rPr>
            </w:pPr>
            <w:r>
              <w:rPr>
                <w:rFonts w:hint="eastAsia" w:ascii="宋体" w:hAnsi="宋体"/>
                <w:highlight w:val="none"/>
              </w:rPr>
              <w:t>2.2.4</w:t>
            </w:r>
            <w:r>
              <w:rPr>
                <w:rFonts w:ascii="宋体" w:hAnsi="宋体"/>
                <w:highlight w:val="none"/>
              </w:rPr>
              <w:br w:type="textWrapping"/>
            </w:r>
            <w:r>
              <w:rPr>
                <w:rFonts w:hint="eastAsia" w:ascii="宋体" w:hAnsi="宋体"/>
                <w:highlight w:val="none"/>
              </w:rPr>
              <w:t>（2）</w:t>
            </w:r>
          </w:p>
        </w:tc>
        <w:tc>
          <w:tcPr>
            <w:tcW w:w="1342" w:type="dxa"/>
            <w:vAlign w:val="center"/>
          </w:tcPr>
          <w:p w14:paraId="07D59497">
            <w:pPr>
              <w:adjustRightInd w:val="0"/>
              <w:snapToGrid w:val="0"/>
              <w:jc w:val="center"/>
              <w:rPr>
                <w:rFonts w:hint="eastAsia" w:ascii="宋体" w:hAnsi="宋体"/>
                <w:highlight w:val="none"/>
              </w:rPr>
            </w:pPr>
            <w:r>
              <w:rPr>
                <w:rFonts w:ascii="宋体" w:hAnsi="宋体"/>
                <w:highlight w:val="none"/>
              </w:rPr>
              <w:t>主要人员</w:t>
            </w:r>
          </w:p>
        </w:tc>
        <w:tc>
          <w:tcPr>
            <w:tcW w:w="1143" w:type="dxa"/>
            <w:vAlign w:val="center"/>
          </w:tcPr>
          <w:p w14:paraId="27B206A7">
            <w:pPr>
              <w:adjustRightInd w:val="0"/>
              <w:snapToGrid w:val="0"/>
              <w:jc w:val="center"/>
              <w:rPr>
                <w:rFonts w:hint="eastAsia" w:ascii="宋体" w:hAnsi="宋体"/>
                <w:highlight w:val="none"/>
              </w:rPr>
            </w:pPr>
            <w:r>
              <w:rPr>
                <w:rFonts w:hint="eastAsia" w:ascii="宋体" w:hAnsi="宋体"/>
                <w:highlight w:val="none"/>
              </w:rPr>
              <w:t>20分</w:t>
            </w:r>
          </w:p>
        </w:tc>
        <w:tc>
          <w:tcPr>
            <w:tcW w:w="1499" w:type="dxa"/>
            <w:vAlign w:val="center"/>
          </w:tcPr>
          <w:p w14:paraId="73B5FC10">
            <w:pPr>
              <w:adjustRightInd w:val="0"/>
              <w:snapToGrid w:val="0"/>
              <w:jc w:val="center"/>
              <w:rPr>
                <w:rFonts w:hint="eastAsia" w:ascii="宋体" w:hAnsi="宋体"/>
                <w:highlight w:val="none"/>
              </w:rPr>
            </w:pPr>
            <w:r>
              <w:rPr>
                <w:rFonts w:ascii="宋体" w:hAnsi="宋体"/>
                <w:highlight w:val="none"/>
              </w:rPr>
              <w:t>项目负责人任职资格</w:t>
            </w:r>
            <w:r>
              <w:rPr>
                <w:rFonts w:hint="eastAsia" w:ascii="宋体" w:hAnsi="宋体"/>
                <w:highlight w:val="none"/>
              </w:rPr>
              <w:t>与业绩</w:t>
            </w:r>
          </w:p>
        </w:tc>
        <w:tc>
          <w:tcPr>
            <w:tcW w:w="992" w:type="dxa"/>
            <w:vAlign w:val="center"/>
          </w:tcPr>
          <w:p w14:paraId="2793E6BD">
            <w:pPr>
              <w:adjustRightInd w:val="0"/>
              <w:snapToGrid w:val="0"/>
              <w:jc w:val="center"/>
              <w:rPr>
                <w:rFonts w:hint="eastAsia" w:ascii="宋体" w:hAnsi="宋体"/>
                <w:highlight w:val="none"/>
              </w:rPr>
            </w:pPr>
            <w:r>
              <w:rPr>
                <w:rFonts w:hint="eastAsia" w:ascii="宋体" w:hAnsi="宋体"/>
                <w:highlight w:val="none"/>
              </w:rPr>
              <w:t>20分</w:t>
            </w:r>
          </w:p>
        </w:tc>
        <w:tc>
          <w:tcPr>
            <w:tcW w:w="3934" w:type="dxa"/>
            <w:vAlign w:val="center"/>
          </w:tcPr>
          <w:p w14:paraId="69D99DE3">
            <w:pPr>
              <w:spacing w:line="340" w:lineRule="exact"/>
              <w:ind w:right="113"/>
              <w:rPr>
                <w:rFonts w:hint="eastAsia" w:ascii="宋体" w:hAnsi="宋体"/>
                <w:szCs w:val="21"/>
                <w:highlight w:val="none"/>
              </w:rPr>
            </w:pPr>
            <w:r>
              <w:rPr>
                <w:rFonts w:hint="eastAsia" w:ascii="宋体" w:hAnsi="宋体"/>
                <w:highlight w:val="none"/>
              </w:rPr>
              <w:t>满足最低资格条件得12分；</w:t>
            </w:r>
            <w:r>
              <w:rPr>
                <w:rFonts w:hint="eastAsia" w:ascii="宋体" w:hAnsi="宋体"/>
                <w:szCs w:val="21"/>
                <w:highlight w:val="none"/>
              </w:rPr>
              <w:t>在此基础上，有一项以项目负责人（或技术负责人或分项负责人）身份参与或主持的二级及以上新建（或改扩建）公路项目设计业绩加4分，最多加8分。</w:t>
            </w:r>
          </w:p>
          <w:p w14:paraId="78661B0C">
            <w:pPr>
              <w:adjustRightInd w:val="0"/>
              <w:snapToGrid w:val="0"/>
              <w:spacing w:line="340" w:lineRule="exact"/>
              <w:ind w:right="113"/>
              <w:rPr>
                <w:rFonts w:hint="eastAsia" w:ascii="宋体" w:hAnsi="宋体"/>
                <w:highlight w:val="none"/>
              </w:rPr>
            </w:pPr>
            <w:r>
              <w:rPr>
                <w:rFonts w:hint="eastAsia" w:ascii="楷体" w:hAnsi="楷体" w:eastAsia="楷体"/>
                <w:szCs w:val="21"/>
                <w:highlight w:val="none"/>
              </w:rPr>
              <w:t>注：项目负责人任职业绩应是交通运输部“全国公路建设市场监督管理系统”或省级交通运输主管部门“公路建设市场信用信息管理系统”已载明的任职业绩。</w:t>
            </w:r>
          </w:p>
        </w:tc>
      </w:tr>
      <w:tr w14:paraId="161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2FC26233">
            <w:pPr>
              <w:adjustRightInd w:val="0"/>
              <w:snapToGrid w:val="0"/>
              <w:jc w:val="center"/>
              <w:rPr>
                <w:rFonts w:hint="eastAsia" w:ascii="宋体" w:hAnsi="宋体"/>
                <w:highlight w:val="none"/>
              </w:rPr>
            </w:pPr>
            <w:r>
              <w:rPr>
                <w:rFonts w:hint="eastAsia" w:ascii="宋体" w:hAnsi="宋体"/>
                <w:highlight w:val="none"/>
              </w:rPr>
              <w:t>2.2.4</w:t>
            </w:r>
            <w:r>
              <w:rPr>
                <w:rFonts w:ascii="宋体" w:hAnsi="宋体"/>
                <w:highlight w:val="none"/>
              </w:rPr>
              <w:br w:type="textWrapping"/>
            </w:r>
            <w:r>
              <w:rPr>
                <w:rFonts w:hint="eastAsia" w:ascii="宋体" w:hAnsi="宋体"/>
                <w:highlight w:val="none"/>
              </w:rPr>
              <w:t>（3）</w:t>
            </w:r>
          </w:p>
        </w:tc>
        <w:tc>
          <w:tcPr>
            <w:tcW w:w="1342" w:type="dxa"/>
            <w:vAlign w:val="center"/>
          </w:tcPr>
          <w:p w14:paraId="4F3DF9B9">
            <w:pPr>
              <w:adjustRightInd w:val="0"/>
              <w:snapToGrid w:val="0"/>
              <w:jc w:val="center"/>
              <w:rPr>
                <w:rFonts w:hint="eastAsia" w:ascii="宋体" w:hAnsi="宋体"/>
                <w:highlight w:val="none"/>
              </w:rPr>
            </w:pPr>
            <w:r>
              <w:rPr>
                <w:rFonts w:ascii="宋体" w:hAnsi="宋体"/>
                <w:highlight w:val="none"/>
              </w:rPr>
              <w:t>评标价</w:t>
            </w:r>
          </w:p>
        </w:tc>
        <w:tc>
          <w:tcPr>
            <w:tcW w:w="1143" w:type="dxa"/>
            <w:vAlign w:val="center"/>
          </w:tcPr>
          <w:p w14:paraId="17A2031B">
            <w:pPr>
              <w:adjustRightInd w:val="0"/>
              <w:snapToGrid w:val="0"/>
              <w:jc w:val="center"/>
              <w:rPr>
                <w:rFonts w:hint="eastAsia" w:ascii="宋体" w:hAnsi="宋体"/>
                <w:highlight w:val="none"/>
              </w:rPr>
            </w:pPr>
            <w:r>
              <w:rPr>
                <w:rFonts w:hint="eastAsia" w:ascii="宋体" w:hAnsi="宋体"/>
                <w:highlight w:val="none"/>
              </w:rPr>
              <w:t>10分</w:t>
            </w:r>
          </w:p>
        </w:tc>
        <w:tc>
          <w:tcPr>
            <w:tcW w:w="6425" w:type="dxa"/>
            <w:gridSpan w:val="3"/>
            <w:vAlign w:val="center"/>
          </w:tcPr>
          <w:p w14:paraId="3D5DCE91">
            <w:pPr>
              <w:adjustRightInd w:val="0"/>
              <w:snapToGrid w:val="0"/>
              <w:spacing w:line="340" w:lineRule="exact"/>
              <w:ind w:firstLine="420" w:firstLineChars="200"/>
              <w:textAlignment w:val="baseline"/>
              <w:rPr>
                <w:rFonts w:hint="eastAsia" w:ascii="宋体" w:hAnsi="宋体"/>
                <w:szCs w:val="21"/>
                <w:highlight w:val="none"/>
              </w:rPr>
            </w:pPr>
            <w:r>
              <w:rPr>
                <w:rFonts w:hint="eastAsia" w:ascii="宋体" w:hAnsi="宋体"/>
                <w:szCs w:val="21"/>
                <w:highlight w:val="none"/>
              </w:rPr>
              <w:t>评标价得分计算公式示例：</w:t>
            </w:r>
          </w:p>
          <w:p w14:paraId="52CA6D83">
            <w:pPr>
              <w:adjustRightInd w:val="0"/>
              <w:snapToGrid w:val="0"/>
              <w:spacing w:line="340" w:lineRule="exact"/>
              <w:ind w:firstLine="420" w:firstLineChars="200"/>
              <w:textAlignment w:val="baseline"/>
              <w:rPr>
                <w:rFonts w:hint="eastAsia" w:ascii="宋体" w:hAnsi="宋体"/>
                <w:szCs w:val="21"/>
                <w:highlight w:val="none"/>
              </w:rPr>
            </w:pPr>
            <w:r>
              <w:rPr>
                <w:rFonts w:hint="eastAsia" w:ascii="宋体" w:hAnsi="宋体"/>
                <w:szCs w:val="21"/>
                <w:highlight w:val="none"/>
              </w:rPr>
              <w:t>（1）如果投标人的评标价＞评标基准价，则评标价得分=</w:t>
            </w:r>
            <w:r>
              <w:rPr>
                <w:rFonts w:hint="eastAsia" w:ascii="宋体" w:hAnsi="宋体"/>
                <w:i/>
                <w:szCs w:val="21"/>
                <w:highlight w:val="none"/>
              </w:rPr>
              <w:t>F</w:t>
            </w:r>
            <w:r>
              <w:rPr>
                <w:rFonts w:hint="eastAsia" w:ascii="宋体" w:hAnsi="宋体"/>
                <w:szCs w:val="21"/>
                <w:highlight w:val="none"/>
              </w:rPr>
              <w:t>-偏差率×100×</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w:t>
            </w:r>
          </w:p>
          <w:p w14:paraId="3AD81674">
            <w:pPr>
              <w:adjustRightInd w:val="0"/>
              <w:snapToGrid w:val="0"/>
              <w:spacing w:line="340" w:lineRule="exact"/>
              <w:ind w:firstLine="420" w:firstLineChars="200"/>
              <w:textAlignment w:val="baseline"/>
              <w:rPr>
                <w:rFonts w:hint="eastAsia" w:ascii="宋体" w:hAnsi="宋体"/>
                <w:szCs w:val="21"/>
                <w:highlight w:val="none"/>
              </w:rPr>
            </w:pPr>
            <w:r>
              <w:rPr>
                <w:rFonts w:hint="eastAsia" w:ascii="宋体" w:hAnsi="宋体"/>
                <w:szCs w:val="21"/>
                <w:highlight w:val="none"/>
              </w:rPr>
              <w:t>（2）如果投标人的评标价≤评标基准价，则评标价得分=</w:t>
            </w:r>
            <w:r>
              <w:rPr>
                <w:rFonts w:hint="eastAsia" w:ascii="宋体" w:hAnsi="宋体"/>
                <w:i/>
                <w:szCs w:val="21"/>
                <w:highlight w:val="none"/>
              </w:rPr>
              <w:t>F</w:t>
            </w:r>
            <w:r>
              <w:rPr>
                <w:rFonts w:hint="eastAsia" w:ascii="宋体" w:hAnsi="宋体"/>
                <w:szCs w:val="21"/>
                <w:highlight w:val="none"/>
              </w:rPr>
              <w:t>+偏差率×100×</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w:t>
            </w:r>
          </w:p>
          <w:p w14:paraId="0EE22E25">
            <w:pPr>
              <w:adjustRightInd w:val="0"/>
              <w:snapToGrid w:val="0"/>
              <w:spacing w:line="340" w:lineRule="exact"/>
              <w:ind w:firstLine="420" w:firstLineChars="200"/>
              <w:rPr>
                <w:rFonts w:hint="eastAsia" w:ascii="宋体" w:hAnsi="宋体"/>
                <w:highlight w:val="none"/>
              </w:rPr>
            </w:pPr>
            <w:r>
              <w:rPr>
                <w:rFonts w:hint="eastAsia" w:ascii="宋体" w:hAnsi="宋体"/>
                <w:szCs w:val="21"/>
                <w:highlight w:val="none"/>
              </w:rPr>
              <w:t>其中，</w:t>
            </w:r>
            <w:r>
              <w:rPr>
                <w:rFonts w:hint="eastAsia" w:ascii="宋体" w:hAnsi="宋体"/>
                <w:i/>
                <w:szCs w:val="21"/>
                <w:highlight w:val="none"/>
              </w:rPr>
              <w:t>F</w:t>
            </w:r>
            <w:r>
              <w:rPr>
                <w:rFonts w:hint="eastAsia" w:ascii="宋体" w:hAnsi="宋体"/>
                <w:szCs w:val="21"/>
                <w:highlight w:val="none"/>
              </w:rPr>
              <w:t>是评标价所占的权重分值，</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是评标价每高于评标基准价一个百分点的扣分值</w:t>
            </w:r>
            <w:r>
              <w:rPr>
                <w:rFonts w:hint="eastAsia" w:ascii="宋体" w:hAnsi="宋体"/>
                <w:i/>
                <w:szCs w:val="21"/>
                <w:highlight w:val="none"/>
              </w:rPr>
              <w:t>E</w:t>
            </w:r>
            <w:r>
              <w:rPr>
                <w:rFonts w:hint="eastAsia" w:ascii="宋体" w:hAnsi="宋体"/>
                <w:szCs w:val="21"/>
                <w:highlight w:val="none"/>
                <w:vertAlign w:val="subscript"/>
              </w:rPr>
              <w:t>1</w:t>
            </w:r>
            <w:r>
              <w:rPr>
                <w:rFonts w:hint="eastAsia" w:ascii="宋体" w:hAnsi="宋体"/>
                <w:szCs w:val="21"/>
                <w:highlight w:val="none"/>
              </w:rPr>
              <w:t>=0.1，</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是评标价每低于评标基准价一个百分点的扣分值</w:t>
            </w:r>
            <w:r>
              <w:rPr>
                <w:rFonts w:hint="eastAsia" w:ascii="宋体" w:hAnsi="宋体"/>
                <w:i/>
                <w:szCs w:val="21"/>
                <w:highlight w:val="none"/>
              </w:rPr>
              <w:t>E</w:t>
            </w:r>
            <w:r>
              <w:rPr>
                <w:rFonts w:hint="eastAsia" w:ascii="宋体" w:hAnsi="宋体"/>
                <w:szCs w:val="21"/>
                <w:highlight w:val="none"/>
                <w:vertAlign w:val="subscript"/>
              </w:rPr>
              <w:t>2</w:t>
            </w:r>
            <w:r>
              <w:rPr>
                <w:rFonts w:hint="eastAsia" w:ascii="宋体" w:hAnsi="宋体"/>
                <w:szCs w:val="21"/>
                <w:highlight w:val="none"/>
              </w:rPr>
              <w:t>=0.05。</w:t>
            </w:r>
          </w:p>
        </w:tc>
      </w:tr>
    </w:tbl>
    <w:p w14:paraId="2412073A">
      <w:pPr>
        <w:adjustRightInd w:val="0"/>
        <w:snapToGrid w:val="0"/>
        <w:ind w:firstLine="7560" w:firstLineChars="3600"/>
        <w:jc w:val="right"/>
        <w:rPr>
          <w:rFonts w:hint="eastAsia" w:ascii="宋体" w:hAnsi="宋体"/>
          <w:highlight w:val="none"/>
        </w:rPr>
      </w:pPr>
      <w:r>
        <w:rPr>
          <w:highlight w:val="none"/>
        </w:rPr>
        <w:br w:type="page"/>
      </w:r>
      <w:r>
        <w:rPr>
          <w:rFonts w:ascii="宋体" w:hAnsi="宋体"/>
          <w:highlight w:val="none"/>
        </w:rPr>
        <w:t>续上表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09"/>
        <w:gridCol w:w="709"/>
        <w:gridCol w:w="1134"/>
        <w:gridCol w:w="1134"/>
        <w:gridCol w:w="708"/>
        <w:gridCol w:w="4643"/>
      </w:tblGrid>
      <w:tr w14:paraId="1B9F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2ABF577">
            <w:pPr>
              <w:adjustRightInd w:val="0"/>
              <w:snapToGrid w:val="0"/>
              <w:jc w:val="center"/>
              <w:rPr>
                <w:rFonts w:hint="eastAsia" w:ascii="宋体" w:hAnsi="宋体"/>
                <w:highlight w:val="none"/>
              </w:rPr>
            </w:pPr>
            <w:r>
              <w:rPr>
                <w:rFonts w:ascii="宋体" w:hAnsi="宋体"/>
                <w:highlight w:val="none"/>
              </w:rPr>
              <w:t>条款号</w:t>
            </w:r>
          </w:p>
        </w:tc>
        <w:tc>
          <w:tcPr>
            <w:tcW w:w="4394" w:type="dxa"/>
            <w:gridSpan w:val="5"/>
            <w:vAlign w:val="center"/>
          </w:tcPr>
          <w:p w14:paraId="79F4B550">
            <w:pPr>
              <w:adjustRightInd w:val="0"/>
              <w:snapToGrid w:val="0"/>
              <w:jc w:val="center"/>
              <w:rPr>
                <w:rFonts w:hint="eastAsia" w:ascii="宋体" w:hAnsi="宋体"/>
                <w:highlight w:val="none"/>
              </w:rPr>
            </w:pPr>
            <w:r>
              <w:rPr>
                <w:rFonts w:ascii="宋体" w:hAnsi="宋体"/>
                <w:highlight w:val="none"/>
              </w:rPr>
              <w:t>评分因素与权重分值</w:t>
            </w:r>
          </w:p>
        </w:tc>
        <w:tc>
          <w:tcPr>
            <w:tcW w:w="4643" w:type="dxa"/>
            <w:vMerge w:val="restart"/>
            <w:vAlign w:val="center"/>
          </w:tcPr>
          <w:p w14:paraId="3BDCAB29">
            <w:pPr>
              <w:adjustRightInd w:val="0"/>
              <w:snapToGrid w:val="0"/>
              <w:jc w:val="center"/>
              <w:rPr>
                <w:rFonts w:hint="eastAsia" w:ascii="宋体" w:hAnsi="宋体"/>
                <w:highlight w:val="none"/>
              </w:rPr>
            </w:pPr>
            <w:r>
              <w:rPr>
                <w:rFonts w:ascii="宋体" w:hAnsi="宋体"/>
                <w:highlight w:val="none"/>
              </w:rPr>
              <w:t>评分标准</w:t>
            </w:r>
          </w:p>
        </w:tc>
      </w:tr>
      <w:tr w14:paraId="7AAA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F36AA25">
            <w:pPr>
              <w:adjustRightInd w:val="0"/>
              <w:snapToGrid w:val="0"/>
              <w:jc w:val="center"/>
              <w:rPr>
                <w:rFonts w:hint="eastAsia" w:ascii="宋体" w:hAnsi="宋体"/>
                <w:highlight w:val="none"/>
              </w:rPr>
            </w:pPr>
          </w:p>
        </w:tc>
        <w:tc>
          <w:tcPr>
            <w:tcW w:w="1418" w:type="dxa"/>
            <w:gridSpan w:val="2"/>
            <w:vAlign w:val="center"/>
          </w:tcPr>
          <w:p w14:paraId="2F2A2F39">
            <w:pPr>
              <w:adjustRightInd w:val="0"/>
              <w:snapToGrid w:val="0"/>
              <w:jc w:val="center"/>
              <w:rPr>
                <w:rFonts w:hint="eastAsia" w:ascii="宋体" w:hAnsi="宋体"/>
                <w:highlight w:val="none"/>
              </w:rPr>
            </w:pPr>
            <w:r>
              <w:rPr>
                <w:rFonts w:ascii="宋体" w:hAnsi="宋体"/>
                <w:highlight w:val="none"/>
              </w:rPr>
              <w:t>评分因素</w:t>
            </w:r>
          </w:p>
        </w:tc>
        <w:tc>
          <w:tcPr>
            <w:tcW w:w="1134" w:type="dxa"/>
            <w:vAlign w:val="center"/>
          </w:tcPr>
          <w:p w14:paraId="00627920">
            <w:pPr>
              <w:adjustRightInd w:val="0"/>
              <w:snapToGrid w:val="0"/>
              <w:jc w:val="center"/>
              <w:rPr>
                <w:rFonts w:hint="eastAsia" w:ascii="宋体" w:hAnsi="宋体"/>
                <w:highlight w:val="none"/>
              </w:rPr>
            </w:pPr>
            <w:r>
              <w:rPr>
                <w:rFonts w:ascii="宋体" w:hAnsi="宋体"/>
                <w:highlight w:val="none"/>
              </w:rPr>
              <w:t>评分因素</w:t>
            </w:r>
            <w:r>
              <w:rPr>
                <w:rFonts w:hint="eastAsia" w:ascii="宋体" w:hAnsi="宋体"/>
                <w:highlight w:val="none"/>
              </w:rPr>
              <w:br w:type="textWrapping"/>
            </w:r>
            <w:r>
              <w:rPr>
                <w:rFonts w:ascii="宋体" w:hAnsi="宋体"/>
                <w:highlight w:val="none"/>
              </w:rPr>
              <w:t>权重分值</w:t>
            </w:r>
          </w:p>
        </w:tc>
        <w:tc>
          <w:tcPr>
            <w:tcW w:w="1134" w:type="dxa"/>
            <w:vAlign w:val="center"/>
          </w:tcPr>
          <w:p w14:paraId="5CCD64D0">
            <w:pPr>
              <w:adjustRightInd w:val="0"/>
              <w:snapToGrid w:val="0"/>
              <w:jc w:val="center"/>
              <w:rPr>
                <w:rFonts w:hint="eastAsia" w:ascii="宋体" w:hAnsi="宋体"/>
                <w:highlight w:val="none"/>
              </w:rPr>
            </w:pPr>
            <w:r>
              <w:rPr>
                <w:rFonts w:ascii="宋体" w:hAnsi="宋体"/>
                <w:highlight w:val="none"/>
              </w:rPr>
              <w:t>各评分因</w:t>
            </w:r>
          </w:p>
          <w:p w14:paraId="4EA17580">
            <w:pPr>
              <w:adjustRightInd w:val="0"/>
              <w:snapToGrid w:val="0"/>
              <w:jc w:val="center"/>
              <w:rPr>
                <w:rFonts w:hint="eastAsia" w:ascii="宋体" w:hAnsi="宋体"/>
                <w:highlight w:val="none"/>
              </w:rPr>
            </w:pPr>
            <w:r>
              <w:rPr>
                <w:rFonts w:ascii="宋体" w:hAnsi="宋体"/>
                <w:highlight w:val="none"/>
              </w:rPr>
              <w:t>素细分项</w:t>
            </w:r>
          </w:p>
        </w:tc>
        <w:tc>
          <w:tcPr>
            <w:tcW w:w="708" w:type="dxa"/>
            <w:vAlign w:val="center"/>
          </w:tcPr>
          <w:p w14:paraId="232593FB">
            <w:pPr>
              <w:adjustRightInd w:val="0"/>
              <w:snapToGrid w:val="0"/>
              <w:jc w:val="center"/>
              <w:rPr>
                <w:rFonts w:hint="eastAsia" w:ascii="宋体" w:hAnsi="宋体"/>
                <w:highlight w:val="none"/>
              </w:rPr>
            </w:pPr>
            <w:r>
              <w:rPr>
                <w:rFonts w:ascii="宋体" w:hAnsi="宋体"/>
                <w:highlight w:val="none"/>
              </w:rPr>
              <w:t>分值</w:t>
            </w:r>
          </w:p>
        </w:tc>
        <w:tc>
          <w:tcPr>
            <w:tcW w:w="4643" w:type="dxa"/>
            <w:vMerge w:val="continue"/>
          </w:tcPr>
          <w:p w14:paraId="73AACDE9">
            <w:pPr>
              <w:adjustRightInd w:val="0"/>
              <w:snapToGrid w:val="0"/>
              <w:jc w:val="center"/>
              <w:rPr>
                <w:rFonts w:hint="eastAsia" w:ascii="宋体" w:hAnsi="宋体"/>
                <w:highlight w:val="none"/>
              </w:rPr>
            </w:pPr>
          </w:p>
        </w:tc>
      </w:tr>
      <w:tr w14:paraId="0D87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43E5F2A">
            <w:pPr>
              <w:adjustRightInd w:val="0"/>
              <w:snapToGrid w:val="0"/>
              <w:jc w:val="center"/>
              <w:rPr>
                <w:rFonts w:hint="eastAsia" w:ascii="宋体" w:hAnsi="宋体"/>
                <w:highlight w:val="none"/>
              </w:rPr>
            </w:pPr>
            <w:r>
              <w:rPr>
                <w:rFonts w:hint="eastAsia" w:ascii="宋体" w:hAnsi="宋体"/>
                <w:highlight w:val="none"/>
              </w:rPr>
              <w:t>2.2.4</w:t>
            </w:r>
            <w:r>
              <w:rPr>
                <w:rFonts w:ascii="宋体" w:hAnsi="宋体"/>
                <w:highlight w:val="none"/>
              </w:rPr>
              <w:br w:type="textWrapping"/>
            </w:r>
            <w:r>
              <w:rPr>
                <w:rFonts w:hint="eastAsia" w:ascii="宋体" w:hAnsi="宋体"/>
                <w:highlight w:val="none"/>
              </w:rPr>
              <w:t>（4）</w:t>
            </w:r>
          </w:p>
        </w:tc>
        <w:tc>
          <w:tcPr>
            <w:tcW w:w="709" w:type="dxa"/>
            <w:vMerge w:val="restart"/>
            <w:vAlign w:val="center"/>
          </w:tcPr>
          <w:p w14:paraId="17D5C612">
            <w:pPr>
              <w:adjustRightInd w:val="0"/>
              <w:snapToGrid w:val="0"/>
              <w:jc w:val="center"/>
              <w:rPr>
                <w:rFonts w:hint="eastAsia" w:ascii="宋体" w:hAnsi="宋体"/>
                <w:highlight w:val="none"/>
              </w:rPr>
            </w:pPr>
            <w:r>
              <w:rPr>
                <w:rFonts w:ascii="宋体" w:hAnsi="宋体"/>
                <w:highlight w:val="none"/>
              </w:rPr>
              <w:t>其他因素</w:t>
            </w:r>
          </w:p>
        </w:tc>
        <w:tc>
          <w:tcPr>
            <w:tcW w:w="709" w:type="dxa"/>
            <w:vAlign w:val="center"/>
          </w:tcPr>
          <w:p w14:paraId="7F1C6518">
            <w:pPr>
              <w:adjustRightInd w:val="0"/>
              <w:snapToGrid w:val="0"/>
              <w:jc w:val="center"/>
              <w:rPr>
                <w:rFonts w:hint="eastAsia" w:ascii="宋体" w:hAnsi="宋体"/>
                <w:highlight w:val="none"/>
              </w:rPr>
            </w:pPr>
            <w:r>
              <w:rPr>
                <w:rFonts w:ascii="宋体" w:hAnsi="宋体"/>
                <w:highlight w:val="none"/>
              </w:rPr>
              <w:t>业绩</w:t>
            </w:r>
          </w:p>
        </w:tc>
        <w:tc>
          <w:tcPr>
            <w:tcW w:w="1134" w:type="dxa"/>
            <w:vAlign w:val="center"/>
          </w:tcPr>
          <w:p w14:paraId="7F5F51A3">
            <w:pPr>
              <w:adjustRightInd w:val="0"/>
              <w:snapToGrid w:val="0"/>
              <w:spacing w:line="340" w:lineRule="exact"/>
              <w:jc w:val="center"/>
              <w:rPr>
                <w:rFonts w:hint="eastAsia" w:ascii="宋体" w:hAnsi="宋体"/>
                <w:highlight w:val="none"/>
              </w:rPr>
            </w:pPr>
            <w:r>
              <w:rPr>
                <w:rFonts w:hint="eastAsia" w:ascii="宋体" w:hAnsi="宋体"/>
                <w:highlight w:val="none"/>
              </w:rPr>
              <w:t>20分</w:t>
            </w:r>
          </w:p>
        </w:tc>
        <w:tc>
          <w:tcPr>
            <w:tcW w:w="1134" w:type="dxa"/>
            <w:vAlign w:val="center"/>
          </w:tcPr>
          <w:p w14:paraId="06CBC73D">
            <w:pPr>
              <w:adjustRightInd w:val="0"/>
              <w:snapToGrid w:val="0"/>
              <w:spacing w:line="340" w:lineRule="exact"/>
              <w:jc w:val="center"/>
              <w:rPr>
                <w:rFonts w:hint="eastAsia" w:ascii="宋体" w:hAnsi="宋体"/>
                <w:highlight w:val="none"/>
              </w:rPr>
            </w:pPr>
            <w:r>
              <w:rPr>
                <w:rFonts w:hint="eastAsia" w:ascii="宋体" w:hAnsi="宋体"/>
                <w:highlight w:val="none"/>
              </w:rPr>
              <w:t>设计业绩</w:t>
            </w:r>
          </w:p>
        </w:tc>
        <w:tc>
          <w:tcPr>
            <w:tcW w:w="708" w:type="dxa"/>
            <w:vAlign w:val="center"/>
          </w:tcPr>
          <w:p w14:paraId="52A72DB9">
            <w:pPr>
              <w:adjustRightInd w:val="0"/>
              <w:snapToGrid w:val="0"/>
              <w:spacing w:line="340" w:lineRule="exact"/>
              <w:jc w:val="center"/>
              <w:rPr>
                <w:rFonts w:hint="eastAsia" w:ascii="宋体" w:hAnsi="宋体"/>
                <w:highlight w:val="none"/>
              </w:rPr>
            </w:pPr>
            <w:r>
              <w:rPr>
                <w:rFonts w:hint="eastAsia" w:ascii="宋体" w:hAnsi="宋体"/>
                <w:highlight w:val="none"/>
              </w:rPr>
              <w:t>20分</w:t>
            </w:r>
          </w:p>
        </w:tc>
        <w:tc>
          <w:tcPr>
            <w:tcW w:w="4643" w:type="dxa"/>
            <w:vAlign w:val="center"/>
          </w:tcPr>
          <w:p w14:paraId="66F34DAC">
            <w:pPr>
              <w:adjustRightInd w:val="0"/>
              <w:snapToGrid w:val="0"/>
              <w:spacing w:line="360" w:lineRule="exact"/>
              <w:rPr>
                <w:rFonts w:hint="eastAsia" w:ascii="宋体" w:hAnsi="宋体"/>
                <w:highlight w:val="none"/>
              </w:rPr>
            </w:pPr>
            <w:r>
              <w:rPr>
                <w:rFonts w:hint="eastAsia" w:ascii="宋体" w:hAnsi="宋体"/>
                <w:highlight w:val="none"/>
              </w:rPr>
              <w:t>满足最低资格条件得12分；投标人2021年1月1日至投标截止时间(</w:t>
            </w:r>
            <w:r>
              <w:rPr>
                <w:rFonts w:hint="eastAsia" w:ascii="宋体" w:hAnsi="宋体"/>
                <w:color w:val="000000" w:themeColor="text1"/>
                <w:szCs w:val="21"/>
                <w:highlight w:val="none"/>
                <w14:textFill>
                  <w14:solidFill>
                    <w14:schemeClr w14:val="tx1"/>
                  </w14:solidFill>
                </w14:textFill>
              </w:rPr>
              <w:t>以相应的批复时间为准),</w:t>
            </w:r>
            <w:r>
              <w:rPr>
                <w:rFonts w:hint="eastAsia" w:ascii="宋体" w:hAnsi="宋体"/>
                <w:highlight w:val="none"/>
              </w:rPr>
              <w:t>已批复的二级或二级以上公路特大桥梁（单跨</w:t>
            </w:r>
            <w:r>
              <w:rPr>
                <w:rFonts w:hint="eastAsia" w:ascii="宋体" w:hAnsi="宋体"/>
                <w:szCs w:val="21"/>
                <w:highlight w:val="none"/>
              </w:rPr>
              <w:t>最大跨径150米及以上或最大墩高80米及以上）的</w:t>
            </w:r>
            <w:r>
              <w:rPr>
                <w:rFonts w:hint="eastAsia" w:ascii="宋体" w:hAnsi="宋体"/>
                <w:highlight w:val="none"/>
              </w:rPr>
              <w:t>设计业绩每有</w:t>
            </w:r>
            <w:r>
              <w:rPr>
                <w:rFonts w:ascii="宋体" w:hAnsi="宋体"/>
                <w:highlight w:val="none"/>
              </w:rPr>
              <w:t>1</w:t>
            </w:r>
            <w:r>
              <w:rPr>
                <w:rFonts w:hint="eastAsia" w:ascii="宋体" w:hAnsi="宋体"/>
                <w:highlight w:val="none"/>
              </w:rPr>
              <w:t>项（</w:t>
            </w:r>
            <w:r>
              <w:rPr>
                <w:rFonts w:hint="eastAsia" w:ascii="楷体" w:hAnsi="楷体" w:eastAsia="楷体"/>
                <w:szCs w:val="21"/>
                <w:highlight w:val="none"/>
              </w:rPr>
              <w:t>指一个合同）</w:t>
            </w:r>
            <w:r>
              <w:rPr>
                <w:rFonts w:hint="eastAsia" w:ascii="宋体" w:hAnsi="宋体"/>
                <w:highlight w:val="none"/>
              </w:rPr>
              <w:t>加</w:t>
            </w:r>
            <w:r>
              <w:rPr>
                <w:rFonts w:ascii="宋体" w:hAnsi="宋体"/>
                <w:highlight w:val="none"/>
              </w:rPr>
              <w:t>4</w:t>
            </w:r>
            <w:r>
              <w:rPr>
                <w:rFonts w:hint="eastAsia" w:ascii="宋体" w:hAnsi="宋体"/>
                <w:highlight w:val="none"/>
              </w:rPr>
              <w:t>分，最多加8分。</w:t>
            </w:r>
          </w:p>
          <w:p w14:paraId="2C18AE37">
            <w:pPr>
              <w:tabs>
                <w:tab w:val="left" w:pos="540"/>
              </w:tabs>
              <w:spacing w:line="360" w:lineRule="exact"/>
              <w:rPr>
                <w:rFonts w:hint="eastAsia" w:ascii="楷体" w:hAnsi="楷体" w:eastAsia="楷体"/>
                <w:szCs w:val="21"/>
                <w:highlight w:val="none"/>
              </w:rPr>
            </w:pPr>
            <w:r>
              <w:rPr>
                <w:rFonts w:hint="eastAsia" w:ascii="宋体" w:hAnsi="宋体"/>
                <w:highlight w:val="none"/>
              </w:rPr>
              <w:t>注：</w:t>
            </w:r>
            <w:r>
              <w:rPr>
                <w:rFonts w:hint="eastAsia" w:ascii="楷体" w:hAnsi="楷体" w:eastAsia="楷体"/>
                <w:szCs w:val="21"/>
                <w:highlight w:val="none"/>
              </w:rPr>
              <w:t>①设计业绩应为国内新建、改扩建公路工程的业绩，养护工程业绩不予认定。</w:t>
            </w:r>
          </w:p>
          <w:p w14:paraId="49E0311F">
            <w:pPr>
              <w:tabs>
                <w:tab w:val="left" w:pos="540"/>
              </w:tabs>
              <w:spacing w:line="360" w:lineRule="exact"/>
              <w:ind w:left="-14" w:firstLine="420" w:firstLineChars="200"/>
              <w:rPr>
                <w:rFonts w:hint="eastAsia" w:ascii="楷体" w:hAnsi="楷体" w:eastAsia="楷体"/>
                <w:szCs w:val="21"/>
                <w:highlight w:val="none"/>
              </w:rPr>
            </w:pPr>
            <w:r>
              <w:rPr>
                <w:rFonts w:hint="eastAsia" w:ascii="楷体" w:hAnsi="楷体" w:eastAsia="楷体"/>
                <w:szCs w:val="21"/>
                <w:highlight w:val="none"/>
              </w:rPr>
              <w:t>②设计业绩同一项目包括初步设计和施工图设计的，</w:t>
            </w:r>
            <w:r>
              <w:rPr>
                <w:rFonts w:hint="eastAsia" w:ascii="楷体" w:hAnsi="楷体" w:eastAsia="楷体"/>
                <w:highlight w:val="none"/>
              </w:rPr>
              <w:t>当设计段落重复时不重复计算</w:t>
            </w:r>
            <w:r>
              <w:rPr>
                <w:rFonts w:hint="eastAsia" w:ascii="楷体" w:hAnsi="楷体" w:eastAsia="楷体"/>
                <w:szCs w:val="21"/>
                <w:highlight w:val="none"/>
              </w:rPr>
              <w:t>。</w:t>
            </w:r>
          </w:p>
          <w:p w14:paraId="38C9547E">
            <w:pPr>
              <w:tabs>
                <w:tab w:val="left" w:pos="540"/>
              </w:tabs>
              <w:spacing w:line="360" w:lineRule="exact"/>
              <w:ind w:firstLine="420" w:firstLineChars="200"/>
              <w:rPr>
                <w:rFonts w:hint="eastAsia" w:ascii="楷体" w:hAnsi="楷体" w:eastAsia="楷体"/>
                <w:szCs w:val="21"/>
                <w:highlight w:val="none"/>
              </w:rPr>
            </w:pPr>
            <w:r>
              <w:rPr>
                <w:rFonts w:hint="eastAsia" w:ascii="楷体" w:hAnsi="楷体" w:eastAsia="楷体"/>
                <w:szCs w:val="21"/>
                <w:highlight w:val="none"/>
              </w:rPr>
              <w:t>③设计业绩应为已列入交通运输部“全国公路建设市场监督管理系统”或省级交通运输主管部门“公路建设市场信用信息管理系统” 并公开的主包或分包业绩。</w:t>
            </w:r>
          </w:p>
          <w:p w14:paraId="1844413B">
            <w:pPr>
              <w:tabs>
                <w:tab w:val="left" w:pos="540"/>
              </w:tabs>
              <w:spacing w:line="400" w:lineRule="exact"/>
              <w:ind w:left="-14" w:firstLine="420" w:firstLineChars="200"/>
              <w:jc w:val="left"/>
              <w:rPr>
                <w:rFonts w:hint="eastAsia" w:ascii="宋体" w:hAnsi="宋体"/>
                <w:highlight w:val="none"/>
              </w:rPr>
            </w:pPr>
            <w:r>
              <w:rPr>
                <w:rFonts w:hint="eastAsia" w:ascii="楷体" w:hAnsi="楷体" w:eastAsia="楷体"/>
                <w:szCs w:val="21"/>
                <w:highlight w:val="none"/>
              </w:rPr>
              <w:t>④</w:t>
            </w:r>
            <w:r>
              <w:rPr>
                <w:rFonts w:hint="eastAsia" w:ascii="黑体" w:hAnsi="黑体" w:eastAsia="黑体"/>
                <w:szCs w:val="18"/>
                <w:highlight w:val="none"/>
              </w:rPr>
              <w:t>以联合体形式参与投标的，资格审查最低资格要求的</w:t>
            </w:r>
            <w:r>
              <w:rPr>
                <w:rFonts w:hint="eastAsia" w:ascii="黑体" w:hAnsi="黑体" w:eastAsia="黑体"/>
                <w:color w:val="000000" w:themeColor="text1"/>
                <w:szCs w:val="21"/>
                <w:highlight w:val="none"/>
                <w14:textFill>
                  <w14:solidFill>
                    <w14:schemeClr w14:val="tx1"/>
                  </w14:solidFill>
                </w14:textFill>
              </w:rPr>
              <w:t>公路工程设计业绩按牵头人业绩计算，特大桥梁加分业绩按联合体协议书中承担特大桥梁设计的联合体成员业绩计算</w:t>
            </w:r>
            <w:r>
              <w:rPr>
                <w:rFonts w:hint="eastAsia" w:ascii="楷体" w:hAnsi="楷体" w:eastAsia="楷体"/>
                <w:color w:val="000000" w:themeColor="text1"/>
                <w:szCs w:val="21"/>
                <w:highlight w:val="none"/>
                <w14:textFill>
                  <w14:solidFill>
                    <w14:schemeClr w14:val="tx1"/>
                  </w14:solidFill>
                </w14:textFill>
              </w:rPr>
              <w:t>。</w:t>
            </w:r>
          </w:p>
        </w:tc>
      </w:tr>
      <w:tr w14:paraId="46F8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17" w:type="dxa"/>
            <w:vMerge w:val="continue"/>
            <w:vAlign w:val="center"/>
          </w:tcPr>
          <w:p w14:paraId="142731ED">
            <w:pPr>
              <w:adjustRightInd w:val="0"/>
              <w:snapToGrid w:val="0"/>
              <w:jc w:val="center"/>
              <w:rPr>
                <w:rFonts w:hint="eastAsia" w:ascii="宋体" w:hAnsi="宋体"/>
                <w:highlight w:val="none"/>
              </w:rPr>
            </w:pPr>
          </w:p>
        </w:tc>
        <w:tc>
          <w:tcPr>
            <w:tcW w:w="709" w:type="dxa"/>
            <w:vMerge w:val="continue"/>
            <w:vAlign w:val="center"/>
          </w:tcPr>
          <w:p w14:paraId="3EB2FCC8">
            <w:pPr>
              <w:adjustRightInd w:val="0"/>
              <w:snapToGrid w:val="0"/>
              <w:jc w:val="center"/>
              <w:rPr>
                <w:rFonts w:hint="eastAsia" w:ascii="宋体" w:hAnsi="宋体"/>
                <w:highlight w:val="none"/>
              </w:rPr>
            </w:pPr>
          </w:p>
        </w:tc>
        <w:tc>
          <w:tcPr>
            <w:tcW w:w="709" w:type="dxa"/>
            <w:vAlign w:val="center"/>
          </w:tcPr>
          <w:p w14:paraId="73985A85">
            <w:pPr>
              <w:adjustRightInd w:val="0"/>
              <w:snapToGrid w:val="0"/>
              <w:jc w:val="center"/>
              <w:rPr>
                <w:rFonts w:hint="eastAsia" w:ascii="宋体" w:hAnsi="宋体"/>
                <w:highlight w:val="none"/>
              </w:rPr>
            </w:pPr>
            <w:r>
              <w:rPr>
                <w:rFonts w:ascii="宋体" w:hAnsi="宋体"/>
                <w:highlight w:val="none"/>
              </w:rPr>
              <w:t>履约信誉</w:t>
            </w:r>
          </w:p>
        </w:tc>
        <w:tc>
          <w:tcPr>
            <w:tcW w:w="1134" w:type="dxa"/>
            <w:vAlign w:val="center"/>
          </w:tcPr>
          <w:p w14:paraId="36D5A6AA">
            <w:pPr>
              <w:adjustRightInd w:val="0"/>
              <w:snapToGrid w:val="0"/>
              <w:spacing w:line="340" w:lineRule="exact"/>
              <w:jc w:val="center"/>
              <w:rPr>
                <w:rFonts w:hint="eastAsia" w:ascii="宋体" w:hAnsi="宋体"/>
                <w:highlight w:val="none"/>
              </w:rPr>
            </w:pPr>
            <w:r>
              <w:rPr>
                <w:rFonts w:hint="eastAsia" w:ascii="宋体" w:hAnsi="宋体"/>
                <w:highlight w:val="none"/>
              </w:rPr>
              <w:t>5分</w:t>
            </w:r>
          </w:p>
        </w:tc>
        <w:tc>
          <w:tcPr>
            <w:tcW w:w="1134" w:type="dxa"/>
            <w:vAlign w:val="center"/>
          </w:tcPr>
          <w:p w14:paraId="3D679575">
            <w:pPr>
              <w:adjustRightInd w:val="0"/>
              <w:snapToGrid w:val="0"/>
              <w:spacing w:line="340" w:lineRule="exact"/>
              <w:jc w:val="center"/>
              <w:rPr>
                <w:rFonts w:hint="eastAsia" w:ascii="宋体" w:hAnsi="宋体"/>
                <w:highlight w:val="none"/>
              </w:rPr>
            </w:pPr>
            <w:r>
              <w:rPr>
                <w:rFonts w:hint="eastAsia" w:ascii="宋体" w:hAnsi="宋体"/>
                <w:highlight w:val="none"/>
              </w:rPr>
              <w:t>信用</w:t>
            </w:r>
          </w:p>
          <w:p w14:paraId="49DD9134">
            <w:pPr>
              <w:adjustRightInd w:val="0"/>
              <w:snapToGrid w:val="0"/>
              <w:spacing w:line="340" w:lineRule="exact"/>
              <w:jc w:val="center"/>
              <w:rPr>
                <w:rFonts w:hint="eastAsia" w:ascii="宋体" w:hAnsi="宋体"/>
                <w:highlight w:val="none"/>
              </w:rPr>
            </w:pPr>
            <w:r>
              <w:rPr>
                <w:rFonts w:hint="eastAsia" w:ascii="宋体" w:hAnsi="宋体"/>
                <w:highlight w:val="none"/>
              </w:rPr>
              <w:t>评价等级</w:t>
            </w:r>
          </w:p>
        </w:tc>
        <w:tc>
          <w:tcPr>
            <w:tcW w:w="708" w:type="dxa"/>
            <w:vAlign w:val="center"/>
          </w:tcPr>
          <w:p w14:paraId="541860B7">
            <w:pPr>
              <w:adjustRightInd w:val="0"/>
              <w:snapToGrid w:val="0"/>
              <w:spacing w:line="340" w:lineRule="exact"/>
              <w:jc w:val="center"/>
              <w:rPr>
                <w:rFonts w:hint="eastAsia" w:ascii="宋体" w:hAnsi="宋体"/>
                <w:highlight w:val="none"/>
              </w:rPr>
            </w:pPr>
            <w:r>
              <w:rPr>
                <w:rFonts w:hint="eastAsia" w:ascii="宋体" w:hAnsi="宋体"/>
                <w:highlight w:val="none"/>
              </w:rPr>
              <w:t>5分</w:t>
            </w:r>
          </w:p>
        </w:tc>
        <w:tc>
          <w:tcPr>
            <w:tcW w:w="4643" w:type="dxa"/>
            <w:vAlign w:val="center"/>
          </w:tcPr>
          <w:p w14:paraId="46432ABD">
            <w:pPr>
              <w:adjustRightInd w:val="0"/>
              <w:snapToGrid w:val="0"/>
              <w:spacing w:line="340" w:lineRule="exact"/>
              <w:rPr>
                <w:rFonts w:hint="eastAsia" w:ascii="宋体" w:hAnsi="宋体"/>
                <w:highlight w:val="none"/>
              </w:rPr>
            </w:pPr>
            <w:r>
              <w:rPr>
                <w:rFonts w:hint="eastAsia" w:ascii="宋体" w:hAnsi="宋体"/>
                <w:highlight w:val="none"/>
              </w:rPr>
              <w:t>信用评价AA级得5分；信用评价A级得4</w:t>
            </w:r>
            <w:r>
              <w:rPr>
                <w:rFonts w:ascii="宋体" w:hAnsi="宋体"/>
                <w:highlight w:val="none"/>
              </w:rPr>
              <w:t>.</w:t>
            </w:r>
            <w:r>
              <w:rPr>
                <w:rFonts w:hint="eastAsia" w:ascii="宋体" w:hAnsi="宋体"/>
                <w:highlight w:val="none"/>
              </w:rPr>
              <w:t>5分；信用评价B级得3分；信用评价C级或D级得0分。</w:t>
            </w:r>
          </w:p>
          <w:p w14:paraId="19CB81D5">
            <w:pPr>
              <w:adjustRightInd w:val="0"/>
              <w:snapToGrid w:val="0"/>
              <w:spacing w:line="340" w:lineRule="exact"/>
              <w:rPr>
                <w:rFonts w:hint="eastAsia" w:ascii="宋体" w:hAnsi="宋体"/>
                <w:highlight w:val="none"/>
              </w:rPr>
            </w:pPr>
            <w:r>
              <w:rPr>
                <w:rFonts w:hint="eastAsia" w:ascii="宋体" w:hAnsi="宋体"/>
                <w:highlight w:val="none"/>
              </w:rPr>
              <w:t>投标人的信用评价等级按照以下优先顺序采用：</w:t>
            </w:r>
          </w:p>
          <w:p w14:paraId="2F4094CF">
            <w:pPr>
              <w:pStyle w:val="49"/>
              <w:numPr>
                <w:ilvl w:val="0"/>
                <w:numId w:val="2"/>
              </w:numPr>
              <w:adjustRightInd w:val="0"/>
              <w:snapToGrid w:val="0"/>
              <w:spacing w:line="340" w:lineRule="exact"/>
              <w:ind w:left="0" w:firstLine="0" w:firstLineChars="0"/>
              <w:rPr>
                <w:rFonts w:hint="eastAsia" w:ascii="宋体" w:hAnsi="宋体"/>
                <w:highlight w:val="none"/>
              </w:rPr>
            </w:pPr>
            <w:r>
              <w:rPr>
                <w:rFonts w:hint="eastAsia" w:ascii="宋体" w:hAnsi="宋体"/>
                <w:highlight w:val="none"/>
              </w:rPr>
              <w:t>投标人在《关于发布吉林省2024年公路建设市场省级信用评价结果的通告》中的设计企业信用评价结果</w:t>
            </w:r>
            <w:r>
              <w:rPr>
                <w:rFonts w:hint="eastAsia" w:ascii="楷体" w:hAnsi="楷体" w:eastAsia="楷体" w:cs="楷体"/>
                <w:bCs/>
                <w:szCs w:val="21"/>
                <w:highlight w:val="none"/>
              </w:rPr>
              <w:t>（如在投标截止时间前发布了2025年信用评价结果通告，则以最新发布的信用评价结果通告为准）</w:t>
            </w:r>
            <w:r>
              <w:rPr>
                <w:rFonts w:hint="eastAsia" w:ascii="宋体" w:hAnsi="宋体"/>
                <w:highlight w:val="none"/>
              </w:rPr>
              <w:t>；</w:t>
            </w:r>
          </w:p>
          <w:p w14:paraId="3BC498F1">
            <w:pPr>
              <w:pStyle w:val="49"/>
              <w:numPr>
                <w:ilvl w:val="0"/>
                <w:numId w:val="2"/>
              </w:numPr>
              <w:adjustRightInd w:val="0"/>
              <w:snapToGrid w:val="0"/>
              <w:spacing w:line="340" w:lineRule="exact"/>
              <w:ind w:left="0" w:firstLine="0" w:firstLineChars="0"/>
              <w:rPr>
                <w:rFonts w:hint="eastAsia" w:ascii="宋体" w:hAnsi="宋体"/>
                <w:highlight w:val="none"/>
              </w:rPr>
            </w:pPr>
            <w:r>
              <w:rPr>
                <w:rFonts w:hint="eastAsia" w:ascii="宋体" w:hAnsi="宋体"/>
                <w:highlight w:val="none"/>
              </w:rPr>
              <w:t>投标人在交通运输部“全国公路建设市场监督管理系统”设计企业2024年度吉林省企业信用等级或2024年度全国综合评价企业信用等级，二者都有的，采用等级较低的评价结果；</w:t>
            </w:r>
          </w:p>
          <w:p w14:paraId="5B99872A">
            <w:pPr>
              <w:adjustRightInd w:val="0"/>
              <w:snapToGrid w:val="0"/>
              <w:spacing w:line="340" w:lineRule="exact"/>
              <w:rPr>
                <w:rFonts w:hint="eastAsia" w:ascii="宋体" w:hAnsi="宋体"/>
                <w:highlight w:val="none"/>
              </w:rPr>
            </w:pPr>
            <w:r>
              <w:rPr>
                <w:rFonts w:hint="eastAsia" w:ascii="宋体" w:hAnsi="宋体"/>
                <w:highlight w:val="none"/>
              </w:rPr>
              <w:t>③无以上信用评价等级的，根据“全国公路建设市场监督管理系统--不良行为记录”查询结果，若无不良信用记录，按A级对待，如有不良信用记录，视其严重程度按B级或以下对待。</w:t>
            </w:r>
          </w:p>
          <w:p w14:paraId="2BE3386A">
            <w:pPr>
              <w:adjustRightInd w:val="0"/>
              <w:snapToGrid w:val="0"/>
              <w:spacing w:line="340" w:lineRule="exact"/>
              <w:rPr>
                <w:rFonts w:hint="eastAsia" w:ascii="宋体" w:hAnsi="宋体"/>
                <w:highlight w:val="none"/>
              </w:rPr>
            </w:pPr>
            <w:r>
              <w:rPr>
                <w:rFonts w:hint="eastAsia" w:ascii="宋体" w:hAnsi="宋体"/>
                <w:highlight w:val="none"/>
              </w:rPr>
              <w:t>注：</w:t>
            </w:r>
            <w:r>
              <w:rPr>
                <w:rFonts w:hint="eastAsia" w:ascii="黑体" w:hAnsi="黑体" w:eastAsia="黑体"/>
                <w:highlight w:val="none"/>
              </w:rPr>
              <w:t>以联合体形式投标的，采用联合体成员中信用评价等级最低的评价结果。</w:t>
            </w:r>
          </w:p>
        </w:tc>
      </w:tr>
      <w:tr w14:paraId="4EF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7"/>
            <w:vAlign w:val="center"/>
          </w:tcPr>
          <w:p w14:paraId="35E6AF5E">
            <w:pPr>
              <w:adjustRightInd w:val="0"/>
              <w:snapToGrid w:val="0"/>
              <w:spacing w:line="340" w:lineRule="exact"/>
              <w:rPr>
                <w:rFonts w:hint="eastAsia" w:ascii="宋体" w:hAnsi="宋体"/>
                <w:highlight w:val="none"/>
              </w:rPr>
            </w:pPr>
            <w:r>
              <w:rPr>
                <w:rFonts w:hint="eastAsia" w:ascii="宋体" w:hAnsi="宋体"/>
                <w:highlight w:val="none"/>
              </w:rPr>
              <w:t>需要补充的其他内容：</w:t>
            </w:r>
          </w:p>
          <w:p w14:paraId="6DE27A98">
            <w:pPr>
              <w:adjustRightInd w:val="0"/>
              <w:snapToGrid w:val="0"/>
              <w:spacing w:line="340" w:lineRule="exact"/>
              <w:ind w:firstLine="420" w:firstLineChars="200"/>
              <w:textAlignment w:val="baseline"/>
              <w:rPr>
                <w:rFonts w:hint="eastAsia" w:ascii="宋体" w:hAnsi="宋体"/>
                <w:highlight w:val="none"/>
              </w:rPr>
            </w:pPr>
            <w:r>
              <w:rPr>
                <w:rFonts w:hint="eastAsia" w:ascii="宋体" w:hAnsi="宋体"/>
                <w:highlight w:val="none"/>
              </w:rPr>
              <w:t>一、按照投标人的商务和技术得分，评标委员会对投标人的第一个信封（商务及技术文件）评审得分由高到低的顺序进行排名。如第一个信封（商务及技术文件）评审得分相同，则依次按照以下优先顺序进行排序：</w:t>
            </w:r>
          </w:p>
          <w:p w14:paraId="24860412">
            <w:pPr>
              <w:numPr>
                <w:ilvl w:val="0"/>
                <w:numId w:val="3"/>
              </w:numPr>
              <w:adjustRightInd w:val="0"/>
              <w:snapToGrid w:val="0"/>
              <w:spacing w:line="340" w:lineRule="exact"/>
              <w:textAlignment w:val="baseline"/>
              <w:rPr>
                <w:rFonts w:hint="eastAsia" w:ascii="宋体" w:hAnsi="宋体"/>
                <w:highlight w:val="none"/>
              </w:rPr>
            </w:pPr>
            <w:r>
              <w:rPr>
                <w:rFonts w:hint="eastAsia" w:ascii="宋体" w:hAnsi="宋体"/>
                <w:szCs w:val="21"/>
                <w:highlight w:val="none"/>
              </w:rPr>
              <w:t>履约信誉得分高的投标人优先</w:t>
            </w:r>
            <w:r>
              <w:rPr>
                <w:rFonts w:hint="eastAsia" w:ascii="宋体" w:hAnsi="宋体"/>
                <w:highlight w:val="none"/>
              </w:rPr>
              <w:t>；</w:t>
            </w:r>
          </w:p>
          <w:p w14:paraId="4456DAEA">
            <w:pPr>
              <w:numPr>
                <w:ilvl w:val="0"/>
                <w:numId w:val="3"/>
              </w:numPr>
              <w:adjustRightInd w:val="0"/>
              <w:snapToGrid w:val="0"/>
              <w:spacing w:line="340" w:lineRule="exact"/>
              <w:textAlignment w:val="baseline"/>
              <w:rPr>
                <w:rFonts w:hint="eastAsia" w:ascii="宋体" w:hAnsi="宋体"/>
                <w:highlight w:val="none"/>
              </w:rPr>
            </w:pPr>
            <w:r>
              <w:rPr>
                <w:rFonts w:hint="eastAsia" w:ascii="宋体" w:hAnsi="宋体"/>
                <w:szCs w:val="21"/>
                <w:highlight w:val="none"/>
              </w:rPr>
              <w:t>技术建议书得分高的投标人优先</w:t>
            </w:r>
            <w:r>
              <w:rPr>
                <w:rFonts w:hint="eastAsia" w:ascii="宋体" w:hAnsi="宋体"/>
                <w:highlight w:val="none"/>
              </w:rPr>
              <w:t>；</w:t>
            </w:r>
          </w:p>
          <w:p w14:paraId="53191B92">
            <w:pPr>
              <w:numPr>
                <w:ilvl w:val="0"/>
                <w:numId w:val="3"/>
              </w:numPr>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主要人员得分高的投标人优先；</w:t>
            </w:r>
          </w:p>
          <w:p w14:paraId="0543A4B5">
            <w:pPr>
              <w:numPr>
                <w:ilvl w:val="0"/>
                <w:numId w:val="3"/>
              </w:numPr>
              <w:adjustRightInd w:val="0"/>
              <w:snapToGrid w:val="0"/>
              <w:spacing w:line="340" w:lineRule="exact"/>
              <w:textAlignment w:val="baseline"/>
              <w:rPr>
                <w:rFonts w:hint="eastAsia" w:ascii="宋体" w:hAnsi="宋体"/>
                <w:szCs w:val="21"/>
                <w:highlight w:val="none"/>
              </w:rPr>
            </w:pPr>
            <w:r>
              <w:rPr>
                <w:rFonts w:hint="eastAsia" w:ascii="宋体" w:hAnsi="宋体"/>
                <w:szCs w:val="21"/>
                <w:highlight w:val="none"/>
              </w:rPr>
              <w:t>评标委员会投票表决，票数多的投标人优先。</w:t>
            </w:r>
          </w:p>
          <w:p w14:paraId="5C4D5B8D">
            <w:pPr>
              <w:adjustRightInd w:val="0"/>
              <w:snapToGrid w:val="0"/>
              <w:spacing w:line="340" w:lineRule="exact"/>
              <w:ind w:firstLine="420" w:firstLineChars="200"/>
              <w:textAlignment w:val="baseline"/>
              <w:rPr>
                <w:rFonts w:hint="eastAsia" w:ascii="宋体" w:hAnsi="宋体"/>
                <w:highlight w:val="none"/>
              </w:rPr>
            </w:pPr>
            <w:r>
              <w:rPr>
                <w:rFonts w:hint="eastAsia" w:ascii="宋体" w:hAnsi="宋体"/>
                <w:highlight w:val="none"/>
              </w:rPr>
              <w:t>二、各评分因素（评标价和履约信誉评分项除外）得分一般不得低于其权重分值的60%，且各评分因素得分应以评标委员会各成员的打分平均值确定，评标委员会成员总数为7人以上（含7人）时，该平均值以去掉一个最高分和一个最低分后计算。评标委员会成员对某一项评分因素的评分低于权重分值60%的，应在评标报告中作出说明。</w:t>
            </w:r>
          </w:p>
          <w:p w14:paraId="0F12601D">
            <w:pPr>
              <w:adjustRightInd w:val="0"/>
              <w:snapToGrid w:val="0"/>
              <w:spacing w:line="340" w:lineRule="exact"/>
              <w:ind w:firstLine="420" w:firstLineChars="200"/>
              <w:textAlignment w:val="baseline"/>
              <w:rPr>
                <w:rFonts w:hint="eastAsia" w:ascii="宋体" w:hAnsi="宋体"/>
                <w:highlight w:val="none"/>
              </w:rPr>
            </w:pPr>
            <w:r>
              <w:rPr>
                <w:rFonts w:hint="eastAsia" w:ascii="黑体" w:hAnsi="黑体" w:eastAsia="黑体"/>
                <w:highlight w:val="none"/>
              </w:rPr>
              <w:t>三、投标文件的技术建议书部分采用“暗标”形式，如果技术建议书出现能识别投标人的内容，经评标委员会确定后，将否决其投标</w:t>
            </w:r>
            <w:r>
              <w:rPr>
                <w:rFonts w:hint="eastAsia" w:ascii="宋体" w:hAnsi="宋体"/>
                <w:highlight w:val="none"/>
              </w:rPr>
              <w:t>。</w:t>
            </w:r>
          </w:p>
        </w:tc>
      </w:tr>
    </w:tbl>
    <w:p w14:paraId="640DE551">
      <w:pPr>
        <w:pStyle w:val="64"/>
        <w:keepNext/>
        <w:keepLines/>
        <w:shd w:val="clear" w:color="auto" w:fill="auto"/>
        <w:spacing w:before="120" w:beforeLines="50" w:after="120" w:afterLines="50" w:line="400" w:lineRule="exact"/>
        <w:ind w:left="0" w:leftChars="0" w:firstLine="0" w:firstLineChars="0"/>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lang w:val="en-US" w:eastAsia="zh-CN"/>
        </w:rPr>
        <w:t>9</w:t>
      </w:r>
      <w:r>
        <w:rPr>
          <w:rFonts w:hint="eastAsia" w:ascii="黑体" w:hAnsi="黑体" w:eastAsia="黑体"/>
          <w:color w:val="auto"/>
          <w:sz w:val="28"/>
          <w:szCs w:val="28"/>
          <w:highlight w:val="none"/>
        </w:rPr>
        <w:t>.公开时间</w:t>
      </w:r>
    </w:p>
    <w:p w14:paraId="1E794C4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招标文件关键内容信息公开时间至</w:t>
      </w:r>
      <w:r>
        <w:rPr>
          <w:rFonts w:hint="eastAsia" w:ascii="宋体" w:hAnsi="宋体" w:eastAsia="宋体" w:cs="宋体"/>
          <w:color w:val="auto"/>
          <w:szCs w:val="21"/>
          <w:highlight w:val="none"/>
          <w:lang w:val="en-US" w:eastAsia="zh-CN"/>
        </w:rPr>
        <w:t>投标截止前10天</w:t>
      </w:r>
      <w:r>
        <w:rPr>
          <w:rFonts w:hint="eastAsia" w:ascii="宋体" w:hAnsi="宋体" w:eastAsia="宋体" w:cs="宋体"/>
          <w:color w:val="auto"/>
          <w:szCs w:val="21"/>
          <w:highlight w:val="none"/>
        </w:rPr>
        <w:t>。</w:t>
      </w:r>
    </w:p>
    <w:p w14:paraId="301329EF">
      <w:pPr>
        <w:adjustRightInd w:val="0"/>
        <w:snapToGrid w:val="0"/>
        <w:spacing w:before="156" w:beforeLines="50" w:after="156" w:afterLines="50" w:line="400" w:lineRule="exact"/>
        <w:rPr>
          <w:rFonts w:ascii="黑体" w:eastAsia="黑体"/>
          <w:sz w:val="24"/>
          <w:highlight w:val="none"/>
        </w:rPr>
      </w:pPr>
      <w:bookmarkStart w:id="32" w:name="_Toc327432503"/>
      <w:r>
        <w:rPr>
          <w:rFonts w:hint="eastAsia" w:ascii="黑体" w:eastAsia="黑体"/>
          <w:sz w:val="24"/>
          <w:highlight w:val="none"/>
          <w:lang w:val="en-US" w:eastAsia="zh-CN"/>
        </w:rPr>
        <w:t>10</w:t>
      </w:r>
      <w:r>
        <w:rPr>
          <w:rFonts w:hint="eastAsia" w:ascii="黑体" w:eastAsia="黑体"/>
          <w:sz w:val="24"/>
          <w:highlight w:val="none"/>
        </w:rPr>
        <w:t>.联系方式</w:t>
      </w:r>
      <w:bookmarkEnd w:id="32"/>
    </w:p>
    <w:p w14:paraId="3EBFCEED">
      <w:pPr>
        <w:adjustRightInd w:val="0"/>
        <w:snapToGrid w:val="0"/>
        <w:spacing w:line="400" w:lineRule="exact"/>
        <w:ind w:firstLine="420" w:firstLineChars="200"/>
        <w:rPr>
          <w:rFonts w:hint="eastAsia" w:ascii="黑体" w:hAnsi="黑体" w:eastAsia="黑体"/>
          <w:szCs w:val="21"/>
          <w:highlight w:val="none"/>
        </w:rPr>
      </w:pPr>
      <w:r>
        <w:rPr>
          <w:rFonts w:hint="eastAsia" w:ascii="黑体" w:hAnsi="黑体" w:eastAsia="黑体"/>
          <w:szCs w:val="21"/>
          <w:highlight w:val="none"/>
        </w:rPr>
        <w:t>招标人：抚松县公路建设管理中心</w:t>
      </w:r>
    </w:p>
    <w:p w14:paraId="28C24B21">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地址：抚松县香江路300号</w:t>
      </w:r>
    </w:p>
    <w:p w14:paraId="28FB240F">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联系人：相洪海</w:t>
      </w:r>
    </w:p>
    <w:p w14:paraId="478F4382">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电话：0439-</w:t>
      </w:r>
      <w:r>
        <w:rPr>
          <w:rFonts w:ascii="宋体" w:hAnsi="宋体"/>
          <w:szCs w:val="21"/>
          <w:highlight w:val="none"/>
        </w:rPr>
        <w:t>6217500</w:t>
      </w:r>
    </w:p>
    <w:p w14:paraId="7056FA2B">
      <w:pPr>
        <w:adjustRightInd w:val="0"/>
        <w:snapToGrid w:val="0"/>
        <w:spacing w:line="400" w:lineRule="exact"/>
        <w:ind w:firstLine="420" w:firstLineChars="200"/>
        <w:rPr>
          <w:rFonts w:hint="eastAsia" w:ascii="黑体" w:hAnsi="黑体" w:eastAsia="黑体"/>
          <w:szCs w:val="21"/>
          <w:highlight w:val="none"/>
        </w:rPr>
      </w:pPr>
      <w:r>
        <w:rPr>
          <w:rFonts w:hint="eastAsia" w:ascii="黑体" w:hAnsi="黑体" w:eastAsia="黑体"/>
          <w:szCs w:val="21"/>
          <w:highlight w:val="none"/>
        </w:rPr>
        <w:t>招标代理机构：吉林省伟邦公路技术有限公司</w:t>
      </w:r>
    </w:p>
    <w:p w14:paraId="619706F8">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地址：长春净月高新技术产业开发区擎天树街855号</w:t>
      </w:r>
    </w:p>
    <w:p w14:paraId="1CE5DC72">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联系人：赵鑫  刘世远</w:t>
      </w:r>
    </w:p>
    <w:p w14:paraId="2E74FC72">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电话：0431-88655555</w:t>
      </w:r>
    </w:p>
    <w:p w14:paraId="506796B6">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项目负责人：李金波</w:t>
      </w:r>
    </w:p>
    <w:p w14:paraId="7076AEC6">
      <w:pPr>
        <w:adjustRightInd w:val="0"/>
        <w:snapToGrid w:val="0"/>
        <w:spacing w:line="400" w:lineRule="exact"/>
        <w:ind w:firstLine="420" w:firstLineChars="200"/>
        <w:rPr>
          <w:rFonts w:hint="eastAsia" w:ascii="宋体" w:hAnsi="宋体"/>
          <w:sz w:val="24"/>
          <w:highlight w:val="none"/>
        </w:rPr>
      </w:pPr>
      <w:r>
        <w:rPr>
          <w:rFonts w:hint="eastAsia" w:ascii="黑体" w:hAnsi="黑体" w:eastAsia="黑体"/>
          <w:szCs w:val="21"/>
          <w:highlight w:val="none"/>
        </w:rPr>
        <w:t>监督部门：白山市交通运输局</w:t>
      </w:r>
    </w:p>
    <w:p w14:paraId="3378691B">
      <w:pPr>
        <w:adjustRightInd w:val="0"/>
        <w:snapToGrid w:val="0"/>
        <w:jc w:val="both"/>
        <w:rPr>
          <w:highlight w:val="none"/>
        </w:rPr>
      </w:pPr>
    </w:p>
    <w:sectPr>
      <w:headerReference r:id="rId4" w:type="first"/>
      <w:footnotePr>
        <w:numFmt w:val="decimalEnclosedCircleChinese"/>
        <w:numRestart w:val="eachPage"/>
      </w:footnotePr>
      <w:pgSz w:w="11906" w:h="16838"/>
      <w:pgMar w:top="1134" w:right="1134" w:bottom="1134" w:left="1134" w:header="0"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00"/>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988F51B">
      <w:pPr>
        <w:pStyle w:val="17"/>
        <w:rPr>
          <w:rFonts w:hint="eastAsia" w:ascii="楷体" w:hAnsi="楷体" w:eastAsia="楷体"/>
        </w:rPr>
      </w:pPr>
      <w:r>
        <w:rPr>
          <w:rStyle w:val="30"/>
          <w:rFonts w:ascii="楷体" w:hAnsi="楷体" w:eastAsia="楷体"/>
        </w:rPr>
        <w:footnoteRef/>
      </w:r>
      <w:r>
        <w:rPr>
          <w:rFonts w:ascii="楷体" w:hAnsi="楷体" w:eastAsia="楷体"/>
        </w:rPr>
        <w:t xml:space="preserve"> </w:t>
      </w:r>
      <w:r>
        <w:rPr>
          <w:rFonts w:hint="eastAsia" w:ascii="楷体" w:hAnsi="楷体" w:eastAsia="楷体"/>
        </w:rPr>
        <w:t>a.“投标人须知前附表”用于进一步明确正文中的未尽事宜，如与投标人须知内容不一致，以前附表为准。</w:t>
      </w:r>
    </w:p>
    <w:p w14:paraId="46300033">
      <w:pPr>
        <w:pStyle w:val="17"/>
        <w:ind w:firstLine="180" w:firstLineChars="100"/>
        <w:rPr>
          <w:rFonts w:hint="eastAsia" w:ascii="楷体" w:hAnsi="楷体" w:eastAsia="楷体"/>
        </w:rPr>
      </w:pPr>
      <w:r>
        <w:rPr>
          <w:rFonts w:hint="eastAsia" w:ascii="楷体" w:hAnsi="楷体" w:eastAsia="楷体"/>
        </w:rPr>
        <w:t>b.“投标人须知前附表”中的附录表格同属“投标人须知前附表”内容，具有同等效力。</w:t>
      </w:r>
    </w:p>
  </w:footnote>
  <w:footnote w:id="1">
    <w:p w14:paraId="68C741FC">
      <w:pPr>
        <w:pStyle w:val="17"/>
      </w:pPr>
      <w:r>
        <w:rPr>
          <w:rStyle w:val="30"/>
        </w:rPr>
        <w:footnoteRef/>
      </w:r>
      <w:r>
        <w:t xml:space="preserve"> </w:t>
      </w:r>
      <w:r>
        <w:rPr>
          <w:rFonts w:hint="eastAsia"/>
        </w:rPr>
        <w:t>“评标办法前附表”用于明确评标的方法、因素、标准和程序，如与正文不一致，则以“评标办法前附表”内容为准。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442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61386"/>
    <w:multiLevelType w:val="multilevel"/>
    <w:tmpl w:val="18261386"/>
    <w:lvl w:ilvl="0" w:tentative="0">
      <w:start w:val="1"/>
      <w:numFmt w:val="upperLetter"/>
      <w:pStyle w:val="2"/>
      <w:lvlText w:val="%1．"/>
      <w:lvlJc w:val="left"/>
      <w:pPr>
        <w:tabs>
          <w:tab w:val="left" w:pos="1305"/>
        </w:tabs>
        <w:ind w:left="1305" w:hanging="360"/>
      </w:pPr>
      <w:rPr>
        <w:rFonts w:hint="default"/>
      </w:rPr>
    </w:lvl>
    <w:lvl w:ilvl="1" w:tentative="0">
      <w:start w:val="1"/>
      <w:numFmt w:val="decimal"/>
      <w:lvlText w:val="%2．"/>
      <w:lvlJc w:val="left"/>
      <w:pPr>
        <w:tabs>
          <w:tab w:val="left" w:pos="2175"/>
        </w:tabs>
        <w:ind w:left="2175" w:hanging="810"/>
      </w:pPr>
      <w:rPr>
        <w:rFonts w:hint="default"/>
      </w:rPr>
    </w:lvl>
    <w:lvl w:ilvl="2" w:tentative="0">
      <w:start w:val="1"/>
      <w:numFmt w:val="lowerRoman"/>
      <w:lvlText w:val="%3."/>
      <w:lvlJc w:val="right"/>
      <w:pPr>
        <w:tabs>
          <w:tab w:val="left" w:pos="2205"/>
        </w:tabs>
        <w:ind w:left="2205" w:hanging="420"/>
      </w:pPr>
    </w:lvl>
    <w:lvl w:ilvl="3" w:tentative="0">
      <w:start w:val="1"/>
      <w:numFmt w:val="decimal"/>
      <w:lvlText w:val="%4."/>
      <w:lvlJc w:val="left"/>
      <w:pPr>
        <w:tabs>
          <w:tab w:val="left" w:pos="2625"/>
        </w:tabs>
        <w:ind w:left="2625" w:hanging="420"/>
      </w:pPr>
    </w:lvl>
    <w:lvl w:ilvl="4" w:tentative="0">
      <w:start w:val="1"/>
      <w:numFmt w:val="lowerLetter"/>
      <w:lvlText w:val="%5)"/>
      <w:lvlJc w:val="left"/>
      <w:pPr>
        <w:tabs>
          <w:tab w:val="left" w:pos="3045"/>
        </w:tabs>
        <w:ind w:left="3045" w:hanging="420"/>
      </w:pPr>
    </w:lvl>
    <w:lvl w:ilvl="5" w:tentative="0">
      <w:start w:val="1"/>
      <w:numFmt w:val="lowerRoman"/>
      <w:lvlText w:val="%6."/>
      <w:lvlJc w:val="right"/>
      <w:pPr>
        <w:tabs>
          <w:tab w:val="left" w:pos="3465"/>
        </w:tabs>
        <w:ind w:left="3465" w:hanging="420"/>
      </w:pPr>
    </w:lvl>
    <w:lvl w:ilvl="6" w:tentative="0">
      <w:start w:val="1"/>
      <w:numFmt w:val="decimal"/>
      <w:lvlText w:val="%7."/>
      <w:lvlJc w:val="left"/>
      <w:pPr>
        <w:tabs>
          <w:tab w:val="left" w:pos="3885"/>
        </w:tabs>
        <w:ind w:left="3885" w:hanging="420"/>
      </w:pPr>
    </w:lvl>
    <w:lvl w:ilvl="7" w:tentative="0">
      <w:start w:val="1"/>
      <w:numFmt w:val="lowerLetter"/>
      <w:lvlText w:val="%8)"/>
      <w:lvlJc w:val="left"/>
      <w:pPr>
        <w:tabs>
          <w:tab w:val="left" w:pos="4305"/>
        </w:tabs>
        <w:ind w:left="4305" w:hanging="420"/>
      </w:pPr>
    </w:lvl>
    <w:lvl w:ilvl="8" w:tentative="0">
      <w:start w:val="1"/>
      <w:numFmt w:val="lowerRoman"/>
      <w:lvlText w:val="%9."/>
      <w:lvlJc w:val="right"/>
      <w:pPr>
        <w:tabs>
          <w:tab w:val="left" w:pos="4725"/>
        </w:tabs>
        <w:ind w:left="4725" w:hanging="420"/>
      </w:pPr>
    </w:lvl>
  </w:abstractNum>
  <w:abstractNum w:abstractNumId="1">
    <w:nsid w:val="1E7E7D1C"/>
    <w:multiLevelType w:val="multilevel"/>
    <w:tmpl w:val="1E7E7D1C"/>
    <w:lvl w:ilvl="0" w:tentative="0">
      <w:start w:val="1"/>
      <w:numFmt w:val="decimal"/>
      <w:suff w:val="nothing"/>
      <w:lvlText w:val="（%1）"/>
      <w:lvlJc w:val="left"/>
      <w:pPr>
        <w:ind w:left="42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6D05C0A"/>
    <w:multiLevelType w:val="multilevel"/>
    <w:tmpl w:val="76D05C0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5A"/>
    <w:rsid w:val="00000F5B"/>
    <w:rsid w:val="0000187A"/>
    <w:rsid w:val="00001BEC"/>
    <w:rsid w:val="00001FB4"/>
    <w:rsid w:val="000025DB"/>
    <w:rsid w:val="0000273E"/>
    <w:rsid w:val="00003285"/>
    <w:rsid w:val="0000330F"/>
    <w:rsid w:val="00003506"/>
    <w:rsid w:val="000035A1"/>
    <w:rsid w:val="0000400F"/>
    <w:rsid w:val="0000444B"/>
    <w:rsid w:val="000044F2"/>
    <w:rsid w:val="000046C0"/>
    <w:rsid w:val="000046CD"/>
    <w:rsid w:val="00004A37"/>
    <w:rsid w:val="00004CA8"/>
    <w:rsid w:val="00004ED8"/>
    <w:rsid w:val="00005127"/>
    <w:rsid w:val="00005212"/>
    <w:rsid w:val="00005983"/>
    <w:rsid w:val="00005F76"/>
    <w:rsid w:val="000077D3"/>
    <w:rsid w:val="00007A67"/>
    <w:rsid w:val="0001024B"/>
    <w:rsid w:val="00010C1B"/>
    <w:rsid w:val="000113E6"/>
    <w:rsid w:val="00011809"/>
    <w:rsid w:val="00011B8F"/>
    <w:rsid w:val="00011D99"/>
    <w:rsid w:val="0001214B"/>
    <w:rsid w:val="0001245E"/>
    <w:rsid w:val="00013CC6"/>
    <w:rsid w:val="000143BB"/>
    <w:rsid w:val="000144CC"/>
    <w:rsid w:val="00014DA9"/>
    <w:rsid w:val="00014DDD"/>
    <w:rsid w:val="00015259"/>
    <w:rsid w:val="00015710"/>
    <w:rsid w:val="000158D2"/>
    <w:rsid w:val="00015AB4"/>
    <w:rsid w:val="00016348"/>
    <w:rsid w:val="00016885"/>
    <w:rsid w:val="000169E8"/>
    <w:rsid w:val="00016D06"/>
    <w:rsid w:val="00016DF5"/>
    <w:rsid w:val="00017B44"/>
    <w:rsid w:val="000202FF"/>
    <w:rsid w:val="000209FD"/>
    <w:rsid w:val="00021713"/>
    <w:rsid w:val="00021787"/>
    <w:rsid w:val="00021964"/>
    <w:rsid w:val="00021E5E"/>
    <w:rsid w:val="00022FE5"/>
    <w:rsid w:val="0002371C"/>
    <w:rsid w:val="00023793"/>
    <w:rsid w:val="00023A0F"/>
    <w:rsid w:val="00024144"/>
    <w:rsid w:val="0002484D"/>
    <w:rsid w:val="0002490D"/>
    <w:rsid w:val="00024C27"/>
    <w:rsid w:val="00025DA8"/>
    <w:rsid w:val="00026F20"/>
    <w:rsid w:val="00030385"/>
    <w:rsid w:val="0003061D"/>
    <w:rsid w:val="0003075D"/>
    <w:rsid w:val="000316AE"/>
    <w:rsid w:val="000328E2"/>
    <w:rsid w:val="00032A5C"/>
    <w:rsid w:val="00033E00"/>
    <w:rsid w:val="000343DF"/>
    <w:rsid w:val="0003445A"/>
    <w:rsid w:val="00034CCE"/>
    <w:rsid w:val="000350B0"/>
    <w:rsid w:val="0003595A"/>
    <w:rsid w:val="00035DBD"/>
    <w:rsid w:val="00036146"/>
    <w:rsid w:val="0003624E"/>
    <w:rsid w:val="000368A8"/>
    <w:rsid w:val="00036D5E"/>
    <w:rsid w:val="00036E63"/>
    <w:rsid w:val="00037AD4"/>
    <w:rsid w:val="00037B86"/>
    <w:rsid w:val="00040050"/>
    <w:rsid w:val="00040453"/>
    <w:rsid w:val="00040CD8"/>
    <w:rsid w:val="00040F00"/>
    <w:rsid w:val="0004139B"/>
    <w:rsid w:val="000418CE"/>
    <w:rsid w:val="00042668"/>
    <w:rsid w:val="00043E20"/>
    <w:rsid w:val="00043EC1"/>
    <w:rsid w:val="0004422C"/>
    <w:rsid w:val="000444E6"/>
    <w:rsid w:val="00044CA9"/>
    <w:rsid w:val="0004535F"/>
    <w:rsid w:val="000457CA"/>
    <w:rsid w:val="00045984"/>
    <w:rsid w:val="00045ED2"/>
    <w:rsid w:val="00046795"/>
    <w:rsid w:val="00046DDF"/>
    <w:rsid w:val="00046ED1"/>
    <w:rsid w:val="00046F32"/>
    <w:rsid w:val="0004727F"/>
    <w:rsid w:val="000479D7"/>
    <w:rsid w:val="00047E98"/>
    <w:rsid w:val="00051176"/>
    <w:rsid w:val="00051800"/>
    <w:rsid w:val="0005248E"/>
    <w:rsid w:val="00052FA3"/>
    <w:rsid w:val="00053483"/>
    <w:rsid w:val="00053534"/>
    <w:rsid w:val="0005406C"/>
    <w:rsid w:val="0005487C"/>
    <w:rsid w:val="000549E9"/>
    <w:rsid w:val="000552F9"/>
    <w:rsid w:val="00056242"/>
    <w:rsid w:val="00056ACE"/>
    <w:rsid w:val="00057EBC"/>
    <w:rsid w:val="00061029"/>
    <w:rsid w:val="00061378"/>
    <w:rsid w:val="000614B7"/>
    <w:rsid w:val="00062B8B"/>
    <w:rsid w:val="00062BED"/>
    <w:rsid w:val="000634F9"/>
    <w:rsid w:val="00063A7D"/>
    <w:rsid w:val="00063BDE"/>
    <w:rsid w:val="0006523C"/>
    <w:rsid w:val="00065876"/>
    <w:rsid w:val="000659A0"/>
    <w:rsid w:val="00065E10"/>
    <w:rsid w:val="00066ABC"/>
    <w:rsid w:val="00066C0A"/>
    <w:rsid w:val="000673B5"/>
    <w:rsid w:val="00070AB9"/>
    <w:rsid w:val="00071982"/>
    <w:rsid w:val="00071CF3"/>
    <w:rsid w:val="000723FF"/>
    <w:rsid w:val="00073118"/>
    <w:rsid w:val="00073AC1"/>
    <w:rsid w:val="00073D1A"/>
    <w:rsid w:val="00074D2E"/>
    <w:rsid w:val="00074E8C"/>
    <w:rsid w:val="00076E6A"/>
    <w:rsid w:val="00077667"/>
    <w:rsid w:val="0008004E"/>
    <w:rsid w:val="00080722"/>
    <w:rsid w:val="00080F11"/>
    <w:rsid w:val="00081063"/>
    <w:rsid w:val="00081765"/>
    <w:rsid w:val="00081C25"/>
    <w:rsid w:val="00083120"/>
    <w:rsid w:val="00083D8A"/>
    <w:rsid w:val="0008425B"/>
    <w:rsid w:val="00084486"/>
    <w:rsid w:val="00084BA0"/>
    <w:rsid w:val="00085798"/>
    <w:rsid w:val="00085852"/>
    <w:rsid w:val="00086680"/>
    <w:rsid w:val="00086AB6"/>
    <w:rsid w:val="00086D48"/>
    <w:rsid w:val="00087A15"/>
    <w:rsid w:val="00087C58"/>
    <w:rsid w:val="00087F0E"/>
    <w:rsid w:val="0009028F"/>
    <w:rsid w:val="0009140F"/>
    <w:rsid w:val="00091445"/>
    <w:rsid w:val="00092253"/>
    <w:rsid w:val="00092EDE"/>
    <w:rsid w:val="00093448"/>
    <w:rsid w:val="00093E79"/>
    <w:rsid w:val="00093F36"/>
    <w:rsid w:val="0009437D"/>
    <w:rsid w:val="00094699"/>
    <w:rsid w:val="00094CB0"/>
    <w:rsid w:val="00095D67"/>
    <w:rsid w:val="00096112"/>
    <w:rsid w:val="00096203"/>
    <w:rsid w:val="000A056D"/>
    <w:rsid w:val="000A0966"/>
    <w:rsid w:val="000A09FD"/>
    <w:rsid w:val="000A11FF"/>
    <w:rsid w:val="000A18F8"/>
    <w:rsid w:val="000A1A20"/>
    <w:rsid w:val="000A1B7B"/>
    <w:rsid w:val="000A21B0"/>
    <w:rsid w:val="000A2347"/>
    <w:rsid w:val="000A25F2"/>
    <w:rsid w:val="000A2878"/>
    <w:rsid w:val="000A3D45"/>
    <w:rsid w:val="000A42A4"/>
    <w:rsid w:val="000A501C"/>
    <w:rsid w:val="000A5089"/>
    <w:rsid w:val="000A516D"/>
    <w:rsid w:val="000A54A2"/>
    <w:rsid w:val="000A560F"/>
    <w:rsid w:val="000A589D"/>
    <w:rsid w:val="000A59DC"/>
    <w:rsid w:val="000A63D5"/>
    <w:rsid w:val="000A6D6C"/>
    <w:rsid w:val="000A7096"/>
    <w:rsid w:val="000B09D3"/>
    <w:rsid w:val="000B261D"/>
    <w:rsid w:val="000B263E"/>
    <w:rsid w:val="000B28B7"/>
    <w:rsid w:val="000B3256"/>
    <w:rsid w:val="000B4843"/>
    <w:rsid w:val="000B6540"/>
    <w:rsid w:val="000B6635"/>
    <w:rsid w:val="000B6816"/>
    <w:rsid w:val="000B6951"/>
    <w:rsid w:val="000B6E4F"/>
    <w:rsid w:val="000B7578"/>
    <w:rsid w:val="000B7597"/>
    <w:rsid w:val="000B7760"/>
    <w:rsid w:val="000B797A"/>
    <w:rsid w:val="000B7F44"/>
    <w:rsid w:val="000C016A"/>
    <w:rsid w:val="000C0E98"/>
    <w:rsid w:val="000C1151"/>
    <w:rsid w:val="000C1889"/>
    <w:rsid w:val="000C1D2F"/>
    <w:rsid w:val="000C22C4"/>
    <w:rsid w:val="000C25EA"/>
    <w:rsid w:val="000C314F"/>
    <w:rsid w:val="000C3B69"/>
    <w:rsid w:val="000C5B20"/>
    <w:rsid w:val="000C6DC2"/>
    <w:rsid w:val="000D010D"/>
    <w:rsid w:val="000D075D"/>
    <w:rsid w:val="000D0C5B"/>
    <w:rsid w:val="000D1301"/>
    <w:rsid w:val="000D1928"/>
    <w:rsid w:val="000D19C4"/>
    <w:rsid w:val="000D26A1"/>
    <w:rsid w:val="000D2F00"/>
    <w:rsid w:val="000D3453"/>
    <w:rsid w:val="000D376A"/>
    <w:rsid w:val="000D5497"/>
    <w:rsid w:val="000D5BBC"/>
    <w:rsid w:val="000D6738"/>
    <w:rsid w:val="000D7A03"/>
    <w:rsid w:val="000D7F9A"/>
    <w:rsid w:val="000E0205"/>
    <w:rsid w:val="000E0C6D"/>
    <w:rsid w:val="000E0C94"/>
    <w:rsid w:val="000E0D68"/>
    <w:rsid w:val="000E133B"/>
    <w:rsid w:val="000E157A"/>
    <w:rsid w:val="000E2C84"/>
    <w:rsid w:val="000E2CBE"/>
    <w:rsid w:val="000E2CC1"/>
    <w:rsid w:val="000E3837"/>
    <w:rsid w:val="000E3D9F"/>
    <w:rsid w:val="000E3ED0"/>
    <w:rsid w:val="000E420C"/>
    <w:rsid w:val="000E6767"/>
    <w:rsid w:val="000E6ADB"/>
    <w:rsid w:val="000E7341"/>
    <w:rsid w:val="000E7BF8"/>
    <w:rsid w:val="000E7F85"/>
    <w:rsid w:val="000F00DA"/>
    <w:rsid w:val="000F1079"/>
    <w:rsid w:val="000F16DD"/>
    <w:rsid w:val="000F1B5D"/>
    <w:rsid w:val="000F1E88"/>
    <w:rsid w:val="000F1EDF"/>
    <w:rsid w:val="000F2099"/>
    <w:rsid w:val="000F2271"/>
    <w:rsid w:val="000F2382"/>
    <w:rsid w:val="000F2648"/>
    <w:rsid w:val="000F2D92"/>
    <w:rsid w:val="000F327F"/>
    <w:rsid w:val="000F3382"/>
    <w:rsid w:val="000F36F6"/>
    <w:rsid w:val="000F3B31"/>
    <w:rsid w:val="000F4543"/>
    <w:rsid w:val="000F4B02"/>
    <w:rsid w:val="000F5459"/>
    <w:rsid w:val="000F672A"/>
    <w:rsid w:val="000F6F58"/>
    <w:rsid w:val="000F70BF"/>
    <w:rsid w:val="001001AF"/>
    <w:rsid w:val="00100FC9"/>
    <w:rsid w:val="001010AC"/>
    <w:rsid w:val="00101971"/>
    <w:rsid w:val="00101CA0"/>
    <w:rsid w:val="00102B01"/>
    <w:rsid w:val="001031D0"/>
    <w:rsid w:val="00103450"/>
    <w:rsid w:val="001037FB"/>
    <w:rsid w:val="001042FF"/>
    <w:rsid w:val="00104590"/>
    <w:rsid w:val="00104889"/>
    <w:rsid w:val="00104A3A"/>
    <w:rsid w:val="00104AB4"/>
    <w:rsid w:val="00104E7D"/>
    <w:rsid w:val="00105275"/>
    <w:rsid w:val="00105334"/>
    <w:rsid w:val="0010550A"/>
    <w:rsid w:val="00105751"/>
    <w:rsid w:val="00106493"/>
    <w:rsid w:val="00110201"/>
    <w:rsid w:val="00111276"/>
    <w:rsid w:val="0011173A"/>
    <w:rsid w:val="00111D12"/>
    <w:rsid w:val="00112835"/>
    <w:rsid w:val="001135C4"/>
    <w:rsid w:val="001140E7"/>
    <w:rsid w:val="00114374"/>
    <w:rsid w:val="0011513D"/>
    <w:rsid w:val="001164BD"/>
    <w:rsid w:val="00117888"/>
    <w:rsid w:val="00120179"/>
    <w:rsid w:val="001206B7"/>
    <w:rsid w:val="00120A5D"/>
    <w:rsid w:val="0012195D"/>
    <w:rsid w:val="00121BD6"/>
    <w:rsid w:val="00121DCF"/>
    <w:rsid w:val="0012228A"/>
    <w:rsid w:val="00123A95"/>
    <w:rsid w:val="00124413"/>
    <w:rsid w:val="00125628"/>
    <w:rsid w:val="00125C21"/>
    <w:rsid w:val="0012688B"/>
    <w:rsid w:val="00126C67"/>
    <w:rsid w:val="001272C2"/>
    <w:rsid w:val="001276DE"/>
    <w:rsid w:val="00127E96"/>
    <w:rsid w:val="00127EE3"/>
    <w:rsid w:val="001301B6"/>
    <w:rsid w:val="001301FB"/>
    <w:rsid w:val="00131BA3"/>
    <w:rsid w:val="00131BD9"/>
    <w:rsid w:val="00131C0A"/>
    <w:rsid w:val="001327F0"/>
    <w:rsid w:val="00132E28"/>
    <w:rsid w:val="00133061"/>
    <w:rsid w:val="00133485"/>
    <w:rsid w:val="0013388B"/>
    <w:rsid w:val="00134646"/>
    <w:rsid w:val="001352BE"/>
    <w:rsid w:val="0013548E"/>
    <w:rsid w:val="001355EC"/>
    <w:rsid w:val="00137A7F"/>
    <w:rsid w:val="00137C27"/>
    <w:rsid w:val="001406D1"/>
    <w:rsid w:val="00140981"/>
    <w:rsid w:val="00141B46"/>
    <w:rsid w:val="00142C43"/>
    <w:rsid w:val="00142EE6"/>
    <w:rsid w:val="0014368A"/>
    <w:rsid w:val="00143B4E"/>
    <w:rsid w:val="001444D5"/>
    <w:rsid w:val="00145258"/>
    <w:rsid w:val="00145672"/>
    <w:rsid w:val="0014578F"/>
    <w:rsid w:val="00145C04"/>
    <w:rsid w:val="00146037"/>
    <w:rsid w:val="00146E5F"/>
    <w:rsid w:val="00147030"/>
    <w:rsid w:val="001476D7"/>
    <w:rsid w:val="00147C09"/>
    <w:rsid w:val="00150329"/>
    <w:rsid w:val="001507A7"/>
    <w:rsid w:val="00150819"/>
    <w:rsid w:val="00150942"/>
    <w:rsid w:val="00150A63"/>
    <w:rsid w:val="00151268"/>
    <w:rsid w:val="00151CBB"/>
    <w:rsid w:val="00152274"/>
    <w:rsid w:val="00152461"/>
    <w:rsid w:val="001527C9"/>
    <w:rsid w:val="00153E53"/>
    <w:rsid w:val="00153EA2"/>
    <w:rsid w:val="0015457F"/>
    <w:rsid w:val="00154A91"/>
    <w:rsid w:val="00154F4B"/>
    <w:rsid w:val="0015689B"/>
    <w:rsid w:val="0015698E"/>
    <w:rsid w:val="001572D7"/>
    <w:rsid w:val="00157AAA"/>
    <w:rsid w:val="00157D0C"/>
    <w:rsid w:val="001605CB"/>
    <w:rsid w:val="00160E14"/>
    <w:rsid w:val="001614D8"/>
    <w:rsid w:val="001617FF"/>
    <w:rsid w:val="00161942"/>
    <w:rsid w:val="00161AF1"/>
    <w:rsid w:val="00161DA3"/>
    <w:rsid w:val="00163036"/>
    <w:rsid w:val="001635F3"/>
    <w:rsid w:val="00164570"/>
    <w:rsid w:val="00164598"/>
    <w:rsid w:val="0016473A"/>
    <w:rsid w:val="00164A8D"/>
    <w:rsid w:val="0016504B"/>
    <w:rsid w:val="00165402"/>
    <w:rsid w:val="00165AED"/>
    <w:rsid w:val="00165BCA"/>
    <w:rsid w:val="00165D87"/>
    <w:rsid w:val="001663F0"/>
    <w:rsid w:val="001676C5"/>
    <w:rsid w:val="00167A58"/>
    <w:rsid w:val="00170173"/>
    <w:rsid w:val="001705C8"/>
    <w:rsid w:val="0017079A"/>
    <w:rsid w:val="0017090A"/>
    <w:rsid w:val="00170FB3"/>
    <w:rsid w:val="00171E7A"/>
    <w:rsid w:val="001728E3"/>
    <w:rsid w:val="001736F7"/>
    <w:rsid w:val="001742E1"/>
    <w:rsid w:val="0017449A"/>
    <w:rsid w:val="001745A9"/>
    <w:rsid w:val="001747ED"/>
    <w:rsid w:val="00174804"/>
    <w:rsid w:val="00174F6E"/>
    <w:rsid w:val="00175B3A"/>
    <w:rsid w:val="00176002"/>
    <w:rsid w:val="001763EE"/>
    <w:rsid w:val="00177C39"/>
    <w:rsid w:val="001800BA"/>
    <w:rsid w:val="0018074A"/>
    <w:rsid w:val="00180D40"/>
    <w:rsid w:val="001812C8"/>
    <w:rsid w:val="00181481"/>
    <w:rsid w:val="00181859"/>
    <w:rsid w:val="00181B2A"/>
    <w:rsid w:val="0018221E"/>
    <w:rsid w:val="001823A7"/>
    <w:rsid w:val="00182775"/>
    <w:rsid w:val="00182940"/>
    <w:rsid w:val="001835F2"/>
    <w:rsid w:val="00183EA6"/>
    <w:rsid w:val="00183FA7"/>
    <w:rsid w:val="001843B9"/>
    <w:rsid w:val="00185001"/>
    <w:rsid w:val="00185198"/>
    <w:rsid w:val="001862DF"/>
    <w:rsid w:val="00190316"/>
    <w:rsid w:val="00190938"/>
    <w:rsid w:val="00190A51"/>
    <w:rsid w:val="00190FF3"/>
    <w:rsid w:val="00191A34"/>
    <w:rsid w:val="00191C66"/>
    <w:rsid w:val="00191D79"/>
    <w:rsid w:val="00191F90"/>
    <w:rsid w:val="001935D4"/>
    <w:rsid w:val="00193914"/>
    <w:rsid w:val="0019467D"/>
    <w:rsid w:val="00194738"/>
    <w:rsid w:val="00195138"/>
    <w:rsid w:val="00195514"/>
    <w:rsid w:val="00196105"/>
    <w:rsid w:val="00196167"/>
    <w:rsid w:val="001966B6"/>
    <w:rsid w:val="0019673C"/>
    <w:rsid w:val="00196DC3"/>
    <w:rsid w:val="001974D2"/>
    <w:rsid w:val="00197547"/>
    <w:rsid w:val="001979A9"/>
    <w:rsid w:val="00197E21"/>
    <w:rsid w:val="001A0905"/>
    <w:rsid w:val="001A0A4C"/>
    <w:rsid w:val="001A179E"/>
    <w:rsid w:val="001A17F8"/>
    <w:rsid w:val="001A1CAC"/>
    <w:rsid w:val="001A1DAF"/>
    <w:rsid w:val="001A1E92"/>
    <w:rsid w:val="001A22AE"/>
    <w:rsid w:val="001A29E7"/>
    <w:rsid w:val="001A2DD2"/>
    <w:rsid w:val="001A2E60"/>
    <w:rsid w:val="001A30D4"/>
    <w:rsid w:val="001A336C"/>
    <w:rsid w:val="001A45EB"/>
    <w:rsid w:val="001A4866"/>
    <w:rsid w:val="001A50C7"/>
    <w:rsid w:val="001A5299"/>
    <w:rsid w:val="001A5FAA"/>
    <w:rsid w:val="001A6883"/>
    <w:rsid w:val="001A6EE9"/>
    <w:rsid w:val="001A7632"/>
    <w:rsid w:val="001B0CEB"/>
    <w:rsid w:val="001B0CFF"/>
    <w:rsid w:val="001B26D8"/>
    <w:rsid w:val="001B282C"/>
    <w:rsid w:val="001B2A20"/>
    <w:rsid w:val="001B2AF3"/>
    <w:rsid w:val="001B2B2D"/>
    <w:rsid w:val="001B346C"/>
    <w:rsid w:val="001B3618"/>
    <w:rsid w:val="001B4241"/>
    <w:rsid w:val="001B4274"/>
    <w:rsid w:val="001B4DF4"/>
    <w:rsid w:val="001B5C17"/>
    <w:rsid w:val="001B6120"/>
    <w:rsid w:val="001B686C"/>
    <w:rsid w:val="001B6B37"/>
    <w:rsid w:val="001B711D"/>
    <w:rsid w:val="001B7A55"/>
    <w:rsid w:val="001B7A8B"/>
    <w:rsid w:val="001B7CBF"/>
    <w:rsid w:val="001B7EFD"/>
    <w:rsid w:val="001C03AF"/>
    <w:rsid w:val="001C06B6"/>
    <w:rsid w:val="001C0DA8"/>
    <w:rsid w:val="001C1186"/>
    <w:rsid w:val="001C1529"/>
    <w:rsid w:val="001C1B5C"/>
    <w:rsid w:val="001C1C0B"/>
    <w:rsid w:val="001C2552"/>
    <w:rsid w:val="001C298A"/>
    <w:rsid w:val="001C3547"/>
    <w:rsid w:val="001C3CAB"/>
    <w:rsid w:val="001C3D65"/>
    <w:rsid w:val="001C4C9D"/>
    <w:rsid w:val="001C4CDC"/>
    <w:rsid w:val="001C4F6B"/>
    <w:rsid w:val="001C5F34"/>
    <w:rsid w:val="001C605D"/>
    <w:rsid w:val="001C6D6B"/>
    <w:rsid w:val="001C7D44"/>
    <w:rsid w:val="001C7F70"/>
    <w:rsid w:val="001D0224"/>
    <w:rsid w:val="001D04CB"/>
    <w:rsid w:val="001D0FA0"/>
    <w:rsid w:val="001D10F4"/>
    <w:rsid w:val="001D23C7"/>
    <w:rsid w:val="001D2A58"/>
    <w:rsid w:val="001D2AD0"/>
    <w:rsid w:val="001D3200"/>
    <w:rsid w:val="001D32CE"/>
    <w:rsid w:val="001D34C1"/>
    <w:rsid w:val="001D3A8E"/>
    <w:rsid w:val="001D3C52"/>
    <w:rsid w:val="001D437A"/>
    <w:rsid w:val="001D4A95"/>
    <w:rsid w:val="001D4FC8"/>
    <w:rsid w:val="001D5C3E"/>
    <w:rsid w:val="001D6F43"/>
    <w:rsid w:val="001D6F91"/>
    <w:rsid w:val="001D758E"/>
    <w:rsid w:val="001D7EDF"/>
    <w:rsid w:val="001E03EB"/>
    <w:rsid w:val="001E0931"/>
    <w:rsid w:val="001E0CB4"/>
    <w:rsid w:val="001E0F2E"/>
    <w:rsid w:val="001E10B3"/>
    <w:rsid w:val="001E123E"/>
    <w:rsid w:val="001E181E"/>
    <w:rsid w:val="001E1C39"/>
    <w:rsid w:val="001E2777"/>
    <w:rsid w:val="001E311E"/>
    <w:rsid w:val="001E36F1"/>
    <w:rsid w:val="001E4135"/>
    <w:rsid w:val="001E4266"/>
    <w:rsid w:val="001E4495"/>
    <w:rsid w:val="001E4CAD"/>
    <w:rsid w:val="001E4CD4"/>
    <w:rsid w:val="001E5BDB"/>
    <w:rsid w:val="001E5E2D"/>
    <w:rsid w:val="001E651B"/>
    <w:rsid w:val="001E675B"/>
    <w:rsid w:val="001E6D9A"/>
    <w:rsid w:val="001E6F80"/>
    <w:rsid w:val="001E7F32"/>
    <w:rsid w:val="001F024E"/>
    <w:rsid w:val="001F03C1"/>
    <w:rsid w:val="001F0C09"/>
    <w:rsid w:val="001F14EA"/>
    <w:rsid w:val="001F19FA"/>
    <w:rsid w:val="001F1E9A"/>
    <w:rsid w:val="001F3AFD"/>
    <w:rsid w:val="001F3D54"/>
    <w:rsid w:val="001F517E"/>
    <w:rsid w:val="001F5352"/>
    <w:rsid w:val="001F5671"/>
    <w:rsid w:val="001F5874"/>
    <w:rsid w:val="001F5C7E"/>
    <w:rsid w:val="001F6095"/>
    <w:rsid w:val="001F6D78"/>
    <w:rsid w:val="001F708F"/>
    <w:rsid w:val="00200BB3"/>
    <w:rsid w:val="002018B0"/>
    <w:rsid w:val="0020209A"/>
    <w:rsid w:val="002023A7"/>
    <w:rsid w:val="00202682"/>
    <w:rsid w:val="0020388B"/>
    <w:rsid w:val="002038F8"/>
    <w:rsid w:val="002046FB"/>
    <w:rsid w:val="00204CD0"/>
    <w:rsid w:val="00204ED9"/>
    <w:rsid w:val="00204F43"/>
    <w:rsid w:val="002050B5"/>
    <w:rsid w:val="002050FE"/>
    <w:rsid w:val="00205928"/>
    <w:rsid w:val="00205F90"/>
    <w:rsid w:val="0020652C"/>
    <w:rsid w:val="00206A38"/>
    <w:rsid w:val="00206E6A"/>
    <w:rsid w:val="00206F57"/>
    <w:rsid w:val="00207306"/>
    <w:rsid w:val="0020790D"/>
    <w:rsid w:val="00207A2C"/>
    <w:rsid w:val="00211186"/>
    <w:rsid w:val="0021137C"/>
    <w:rsid w:val="00211D69"/>
    <w:rsid w:val="0021255D"/>
    <w:rsid w:val="00213260"/>
    <w:rsid w:val="00213F08"/>
    <w:rsid w:val="0021464F"/>
    <w:rsid w:val="00214AE2"/>
    <w:rsid w:val="00214ED6"/>
    <w:rsid w:val="00214F5D"/>
    <w:rsid w:val="00214F8F"/>
    <w:rsid w:val="00215086"/>
    <w:rsid w:val="00215F7C"/>
    <w:rsid w:val="00216745"/>
    <w:rsid w:val="002168BB"/>
    <w:rsid w:val="00216BD1"/>
    <w:rsid w:val="00217519"/>
    <w:rsid w:val="00217AB6"/>
    <w:rsid w:val="002207E0"/>
    <w:rsid w:val="0022092C"/>
    <w:rsid w:val="00220CAF"/>
    <w:rsid w:val="00220D74"/>
    <w:rsid w:val="00221BB6"/>
    <w:rsid w:val="00221C97"/>
    <w:rsid w:val="00221E6F"/>
    <w:rsid w:val="00222171"/>
    <w:rsid w:val="00222491"/>
    <w:rsid w:val="0022276B"/>
    <w:rsid w:val="0022305F"/>
    <w:rsid w:val="002232BB"/>
    <w:rsid w:val="00223574"/>
    <w:rsid w:val="0022433C"/>
    <w:rsid w:val="00224472"/>
    <w:rsid w:val="0022487E"/>
    <w:rsid w:val="00225E6A"/>
    <w:rsid w:val="002261E2"/>
    <w:rsid w:val="0022667B"/>
    <w:rsid w:val="0022701D"/>
    <w:rsid w:val="002271AA"/>
    <w:rsid w:val="002275C0"/>
    <w:rsid w:val="002277FC"/>
    <w:rsid w:val="00230161"/>
    <w:rsid w:val="00230446"/>
    <w:rsid w:val="00230C13"/>
    <w:rsid w:val="00230D61"/>
    <w:rsid w:val="00230F98"/>
    <w:rsid w:val="00231979"/>
    <w:rsid w:val="00232182"/>
    <w:rsid w:val="00233E20"/>
    <w:rsid w:val="002342B3"/>
    <w:rsid w:val="002342CE"/>
    <w:rsid w:val="00234AD3"/>
    <w:rsid w:val="00234EA3"/>
    <w:rsid w:val="00234EF0"/>
    <w:rsid w:val="00234F76"/>
    <w:rsid w:val="00235399"/>
    <w:rsid w:val="00235F31"/>
    <w:rsid w:val="00236EC0"/>
    <w:rsid w:val="00240008"/>
    <w:rsid w:val="0024135B"/>
    <w:rsid w:val="00241C9A"/>
    <w:rsid w:val="00242A45"/>
    <w:rsid w:val="00242BEB"/>
    <w:rsid w:val="002430DD"/>
    <w:rsid w:val="002431A6"/>
    <w:rsid w:val="00243851"/>
    <w:rsid w:val="00243D8B"/>
    <w:rsid w:val="002443C3"/>
    <w:rsid w:val="0024629A"/>
    <w:rsid w:val="00247B78"/>
    <w:rsid w:val="00250B05"/>
    <w:rsid w:val="002511B9"/>
    <w:rsid w:val="00251B69"/>
    <w:rsid w:val="00253BAD"/>
    <w:rsid w:val="00254D2F"/>
    <w:rsid w:val="002559FF"/>
    <w:rsid w:val="0025651B"/>
    <w:rsid w:val="00256A7D"/>
    <w:rsid w:val="00257178"/>
    <w:rsid w:val="002600F0"/>
    <w:rsid w:val="0026026E"/>
    <w:rsid w:val="0026044C"/>
    <w:rsid w:val="00260709"/>
    <w:rsid w:val="0026126D"/>
    <w:rsid w:val="002615C8"/>
    <w:rsid w:val="00261F48"/>
    <w:rsid w:val="002629AB"/>
    <w:rsid w:val="00262C04"/>
    <w:rsid w:val="002630DC"/>
    <w:rsid w:val="00263D19"/>
    <w:rsid w:val="00263D69"/>
    <w:rsid w:val="002648E8"/>
    <w:rsid w:val="0026490A"/>
    <w:rsid w:val="002649D6"/>
    <w:rsid w:val="00264B00"/>
    <w:rsid w:val="00264FE8"/>
    <w:rsid w:val="00265AFB"/>
    <w:rsid w:val="002663E7"/>
    <w:rsid w:val="00266535"/>
    <w:rsid w:val="002665EF"/>
    <w:rsid w:val="00266706"/>
    <w:rsid w:val="002675B1"/>
    <w:rsid w:val="002677F6"/>
    <w:rsid w:val="00267B48"/>
    <w:rsid w:val="00267C90"/>
    <w:rsid w:val="0027002C"/>
    <w:rsid w:val="00270A0A"/>
    <w:rsid w:val="002711F7"/>
    <w:rsid w:val="00271456"/>
    <w:rsid w:val="00271827"/>
    <w:rsid w:val="0027260B"/>
    <w:rsid w:val="002736E2"/>
    <w:rsid w:val="00273DB5"/>
    <w:rsid w:val="0027404F"/>
    <w:rsid w:val="00275090"/>
    <w:rsid w:val="00275881"/>
    <w:rsid w:val="00275900"/>
    <w:rsid w:val="00275BFA"/>
    <w:rsid w:val="00275E88"/>
    <w:rsid w:val="0027697B"/>
    <w:rsid w:val="00276C69"/>
    <w:rsid w:val="002776A4"/>
    <w:rsid w:val="00277BFA"/>
    <w:rsid w:val="002806CF"/>
    <w:rsid w:val="00280ABB"/>
    <w:rsid w:val="00280DE3"/>
    <w:rsid w:val="0028109C"/>
    <w:rsid w:val="00281145"/>
    <w:rsid w:val="002816E6"/>
    <w:rsid w:val="00281B27"/>
    <w:rsid w:val="002827B3"/>
    <w:rsid w:val="00283C28"/>
    <w:rsid w:val="002842DF"/>
    <w:rsid w:val="00284B1C"/>
    <w:rsid w:val="00284CE5"/>
    <w:rsid w:val="00284D03"/>
    <w:rsid w:val="002851CA"/>
    <w:rsid w:val="00285AC0"/>
    <w:rsid w:val="00285CE8"/>
    <w:rsid w:val="00286947"/>
    <w:rsid w:val="00287549"/>
    <w:rsid w:val="002905AA"/>
    <w:rsid w:val="00291096"/>
    <w:rsid w:val="002919DE"/>
    <w:rsid w:val="00291C92"/>
    <w:rsid w:val="00291D25"/>
    <w:rsid w:val="00291FC3"/>
    <w:rsid w:val="0029350D"/>
    <w:rsid w:val="0029364B"/>
    <w:rsid w:val="002937DC"/>
    <w:rsid w:val="00293A24"/>
    <w:rsid w:val="00294FBE"/>
    <w:rsid w:val="00295ABC"/>
    <w:rsid w:val="00295BAC"/>
    <w:rsid w:val="002960B5"/>
    <w:rsid w:val="002962A7"/>
    <w:rsid w:val="00296795"/>
    <w:rsid w:val="00296D28"/>
    <w:rsid w:val="00297086"/>
    <w:rsid w:val="00297257"/>
    <w:rsid w:val="002973A4"/>
    <w:rsid w:val="00297C2A"/>
    <w:rsid w:val="00297DE2"/>
    <w:rsid w:val="002A1411"/>
    <w:rsid w:val="002A1478"/>
    <w:rsid w:val="002A328C"/>
    <w:rsid w:val="002A3323"/>
    <w:rsid w:val="002A43B9"/>
    <w:rsid w:val="002A601F"/>
    <w:rsid w:val="002A64DC"/>
    <w:rsid w:val="002A6548"/>
    <w:rsid w:val="002A6564"/>
    <w:rsid w:val="002A66AA"/>
    <w:rsid w:val="002A6700"/>
    <w:rsid w:val="002A716F"/>
    <w:rsid w:val="002A7889"/>
    <w:rsid w:val="002B0294"/>
    <w:rsid w:val="002B13B0"/>
    <w:rsid w:val="002B1427"/>
    <w:rsid w:val="002B1E97"/>
    <w:rsid w:val="002B365B"/>
    <w:rsid w:val="002B36EE"/>
    <w:rsid w:val="002B40A0"/>
    <w:rsid w:val="002B4D58"/>
    <w:rsid w:val="002B4DF1"/>
    <w:rsid w:val="002B52D1"/>
    <w:rsid w:val="002B53CD"/>
    <w:rsid w:val="002B5481"/>
    <w:rsid w:val="002B57ED"/>
    <w:rsid w:val="002B6BBB"/>
    <w:rsid w:val="002B6C67"/>
    <w:rsid w:val="002B6F67"/>
    <w:rsid w:val="002C08EF"/>
    <w:rsid w:val="002C11E7"/>
    <w:rsid w:val="002C1EC3"/>
    <w:rsid w:val="002C221F"/>
    <w:rsid w:val="002C339E"/>
    <w:rsid w:val="002C346B"/>
    <w:rsid w:val="002C37D5"/>
    <w:rsid w:val="002C3BB0"/>
    <w:rsid w:val="002C460B"/>
    <w:rsid w:val="002C49DB"/>
    <w:rsid w:val="002C4C70"/>
    <w:rsid w:val="002C58EF"/>
    <w:rsid w:val="002C5C4A"/>
    <w:rsid w:val="002C677B"/>
    <w:rsid w:val="002C6953"/>
    <w:rsid w:val="002D1171"/>
    <w:rsid w:val="002D1428"/>
    <w:rsid w:val="002D1814"/>
    <w:rsid w:val="002D26A6"/>
    <w:rsid w:val="002D2D73"/>
    <w:rsid w:val="002D2D86"/>
    <w:rsid w:val="002D3CC1"/>
    <w:rsid w:val="002D4375"/>
    <w:rsid w:val="002D4D49"/>
    <w:rsid w:val="002D50E6"/>
    <w:rsid w:val="002D528B"/>
    <w:rsid w:val="002D544C"/>
    <w:rsid w:val="002D5680"/>
    <w:rsid w:val="002D591F"/>
    <w:rsid w:val="002D593C"/>
    <w:rsid w:val="002D5CF9"/>
    <w:rsid w:val="002D5F00"/>
    <w:rsid w:val="002D6145"/>
    <w:rsid w:val="002D7CA7"/>
    <w:rsid w:val="002D7EAB"/>
    <w:rsid w:val="002E001A"/>
    <w:rsid w:val="002E0A7B"/>
    <w:rsid w:val="002E0B77"/>
    <w:rsid w:val="002E127E"/>
    <w:rsid w:val="002E138A"/>
    <w:rsid w:val="002E1F38"/>
    <w:rsid w:val="002E2CF9"/>
    <w:rsid w:val="002E30D0"/>
    <w:rsid w:val="002E3907"/>
    <w:rsid w:val="002E3A6B"/>
    <w:rsid w:val="002E42C4"/>
    <w:rsid w:val="002E52A3"/>
    <w:rsid w:val="002E54BD"/>
    <w:rsid w:val="002E5615"/>
    <w:rsid w:val="002E58CD"/>
    <w:rsid w:val="002E5E3B"/>
    <w:rsid w:val="002E6B3B"/>
    <w:rsid w:val="002E7764"/>
    <w:rsid w:val="002F0987"/>
    <w:rsid w:val="002F118B"/>
    <w:rsid w:val="002F12DD"/>
    <w:rsid w:val="002F2058"/>
    <w:rsid w:val="002F2614"/>
    <w:rsid w:val="002F3351"/>
    <w:rsid w:val="002F335E"/>
    <w:rsid w:val="002F3380"/>
    <w:rsid w:val="002F3594"/>
    <w:rsid w:val="002F40BC"/>
    <w:rsid w:val="002F48DD"/>
    <w:rsid w:val="002F4A70"/>
    <w:rsid w:val="002F4C3D"/>
    <w:rsid w:val="002F553B"/>
    <w:rsid w:val="002F659E"/>
    <w:rsid w:val="002F710C"/>
    <w:rsid w:val="002F73EB"/>
    <w:rsid w:val="002F764D"/>
    <w:rsid w:val="00300367"/>
    <w:rsid w:val="0030072D"/>
    <w:rsid w:val="00301135"/>
    <w:rsid w:val="00301574"/>
    <w:rsid w:val="00301A24"/>
    <w:rsid w:val="00301BFF"/>
    <w:rsid w:val="00301F65"/>
    <w:rsid w:val="00302070"/>
    <w:rsid w:val="00302CA3"/>
    <w:rsid w:val="00303078"/>
    <w:rsid w:val="003030EC"/>
    <w:rsid w:val="0030402E"/>
    <w:rsid w:val="00304409"/>
    <w:rsid w:val="00304486"/>
    <w:rsid w:val="00304623"/>
    <w:rsid w:val="003053F2"/>
    <w:rsid w:val="003062ED"/>
    <w:rsid w:val="00306819"/>
    <w:rsid w:val="00307890"/>
    <w:rsid w:val="0031033C"/>
    <w:rsid w:val="0031099B"/>
    <w:rsid w:val="003109AA"/>
    <w:rsid w:val="00311E05"/>
    <w:rsid w:val="003128CE"/>
    <w:rsid w:val="00312F67"/>
    <w:rsid w:val="00312FA0"/>
    <w:rsid w:val="00313366"/>
    <w:rsid w:val="003139AE"/>
    <w:rsid w:val="00313D1E"/>
    <w:rsid w:val="003146F4"/>
    <w:rsid w:val="003147F1"/>
    <w:rsid w:val="00314F6B"/>
    <w:rsid w:val="00315142"/>
    <w:rsid w:val="003154AF"/>
    <w:rsid w:val="00316370"/>
    <w:rsid w:val="00316F1C"/>
    <w:rsid w:val="0031723A"/>
    <w:rsid w:val="00317A87"/>
    <w:rsid w:val="00317E88"/>
    <w:rsid w:val="00321855"/>
    <w:rsid w:val="00321875"/>
    <w:rsid w:val="00321BEE"/>
    <w:rsid w:val="0032216E"/>
    <w:rsid w:val="00322487"/>
    <w:rsid w:val="003226EB"/>
    <w:rsid w:val="00322885"/>
    <w:rsid w:val="00322C11"/>
    <w:rsid w:val="00323D96"/>
    <w:rsid w:val="00323FFD"/>
    <w:rsid w:val="0032418E"/>
    <w:rsid w:val="003245D2"/>
    <w:rsid w:val="003247B3"/>
    <w:rsid w:val="00324ED1"/>
    <w:rsid w:val="00324F35"/>
    <w:rsid w:val="003269E0"/>
    <w:rsid w:val="003269F5"/>
    <w:rsid w:val="0033095D"/>
    <w:rsid w:val="0033139D"/>
    <w:rsid w:val="0033174D"/>
    <w:rsid w:val="0033184F"/>
    <w:rsid w:val="00331A43"/>
    <w:rsid w:val="0033238E"/>
    <w:rsid w:val="0033370B"/>
    <w:rsid w:val="00333C8B"/>
    <w:rsid w:val="00333D64"/>
    <w:rsid w:val="0033442D"/>
    <w:rsid w:val="00336DC6"/>
    <w:rsid w:val="00336FE0"/>
    <w:rsid w:val="0033773B"/>
    <w:rsid w:val="00337867"/>
    <w:rsid w:val="00337F4F"/>
    <w:rsid w:val="00340B1E"/>
    <w:rsid w:val="00341041"/>
    <w:rsid w:val="00341F33"/>
    <w:rsid w:val="00342955"/>
    <w:rsid w:val="00343A55"/>
    <w:rsid w:val="00343EC2"/>
    <w:rsid w:val="00344070"/>
    <w:rsid w:val="00344338"/>
    <w:rsid w:val="00344546"/>
    <w:rsid w:val="00344D35"/>
    <w:rsid w:val="00344F9B"/>
    <w:rsid w:val="00345676"/>
    <w:rsid w:val="0034578D"/>
    <w:rsid w:val="00346333"/>
    <w:rsid w:val="003465E1"/>
    <w:rsid w:val="003500BD"/>
    <w:rsid w:val="00350AF0"/>
    <w:rsid w:val="00350DDF"/>
    <w:rsid w:val="00350E70"/>
    <w:rsid w:val="00351578"/>
    <w:rsid w:val="00352626"/>
    <w:rsid w:val="00353D34"/>
    <w:rsid w:val="0035486A"/>
    <w:rsid w:val="00354E48"/>
    <w:rsid w:val="003555FB"/>
    <w:rsid w:val="00355920"/>
    <w:rsid w:val="00355EA2"/>
    <w:rsid w:val="00355F96"/>
    <w:rsid w:val="0035657A"/>
    <w:rsid w:val="0035685C"/>
    <w:rsid w:val="00356FC1"/>
    <w:rsid w:val="00357459"/>
    <w:rsid w:val="00357712"/>
    <w:rsid w:val="00357983"/>
    <w:rsid w:val="00357A87"/>
    <w:rsid w:val="0036051A"/>
    <w:rsid w:val="0036071A"/>
    <w:rsid w:val="00360E0E"/>
    <w:rsid w:val="00361FE2"/>
    <w:rsid w:val="003621E4"/>
    <w:rsid w:val="0036287D"/>
    <w:rsid w:val="003629AF"/>
    <w:rsid w:val="00363285"/>
    <w:rsid w:val="00363465"/>
    <w:rsid w:val="003637D1"/>
    <w:rsid w:val="003639E5"/>
    <w:rsid w:val="00363F30"/>
    <w:rsid w:val="00363FA6"/>
    <w:rsid w:val="00365161"/>
    <w:rsid w:val="0036557D"/>
    <w:rsid w:val="00365714"/>
    <w:rsid w:val="003657F4"/>
    <w:rsid w:val="00365E01"/>
    <w:rsid w:val="00366149"/>
    <w:rsid w:val="00366360"/>
    <w:rsid w:val="00366539"/>
    <w:rsid w:val="003667C9"/>
    <w:rsid w:val="00366E23"/>
    <w:rsid w:val="00366EC5"/>
    <w:rsid w:val="00367A63"/>
    <w:rsid w:val="00367E13"/>
    <w:rsid w:val="00370C0E"/>
    <w:rsid w:val="00370C9D"/>
    <w:rsid w:val="003714D0"/>
    <w:rsid w:val="00372310"/>
    <w:rsid w:val="00372337"/>
    <w:rsid w:val="00372D34"/>
    <w:rsid w:val="003738FC"/>
    <w:rsid w:val="00373A2F"/>
    <w:rsid w:val="00374013"/>
    <w:rsid w:val="003745C0"/>
    <w:rsid w:val="00374A28"/>
    <w:rsid w:val="00374BAC"/>
    <w:rsid w:val="0037539A"/>
    <w:rsid w:val="0037557F"/>
    <w:rsid w:val="00375593"/>
    <w:rsid w:val="0037568C"/>
    <w:rsid w:val="003759BC"/>
    <w:rsid w:val="0037745F"/>
    <w:rsid w:val="0037780C"/>
    <w:rsid w:val="00380048"/>
    <w:rsid w:val="00380CC2"/>
    <w:rsid w:val="00380E7A"/>
    <w:rsid w:val="003814D1"/>
    <w:rsid w:val="003814E8"/>
    <w:rsid w:val="003815FB"/>
    <w:rsid w:val="003819AF"/>
    <w:rsid w:val="0038249F"/>
    <w:rsid w:val="00383350"/>
    <w:rsid w:val="003834BF"/>
    <w:rsid w:val="0038407C"/>
    <w:rsid w:val="00384663"/>
    <w:rsid w:val="003847BF"/>
    <w:rsid w:val="00385E3B"/>
    <w:rsid w:val="00385F34"/>
    <w:rsid w:val="00386509"/>
    <w:rsid w:val="00391CA7"/>
    <w:rsid w:val="00391ECC"/>
    <w:rsid w:val="0039208F"/>
    <w:rsid w:val="003922A9"/>
    <w:rsid w:val="00392578"/>
    <w:rsid w:val="00392777"/>
    <w:rsid w:val="00393651"/>
    <w:rsid w:val="0039397C"/>
    <w:rsid w:val="003945FE"/>
    <w:rsid w:val="00394949"/>
    <w:rsid w:val="00396269"/>
    <w:rsid w:val="00396E26"/>
    <w:rsid w:val="003972A9"/>
    <w:rsid w:val="00397830"/>
    <w:rsid w:val="00397EAA"/>
    <w:rsid w:val="003A2B64"/>
    <w:rsid w:val="003A2F6F"/>
    <w:rsid w:val="003A3CD2"/>
    <w:rsid w:val="003A40BB"/>
    <w:rsid w:val="003A482A"/>
    <w:rsid w:val="003A48C4"/>
    <w:rsid w:val="003A4DED"/>
    <w:rsid w:val="003A569E"/>
    <w:rsid w:val="003A5DF3"/>
    <w:rsid w:val="003A6AD8"/>
    <w:rsid w:val="003A6C79"/>
    <w:rsid w:val="003A750F"/>
    <w:rsid w:val="003B0B64"/>
    <w:rsid w:val="003B0D5A"/>
    <w:rsid w:val="003B149C"/>
    <w:rsid w:val="003B14F3"/>
    <w:rsid w:val="003B1536"/>
    <w:rsid w:val="003B1A3C"/>
    <w:rsid w:val="003B2076"/>
    <w:rsid w:val="003B22D3"/>
    <w:rsid w:val="003B3A95"/>
    <w:rsid w:val="003B3BB9"/>
    <w:rsid w:val="003B3DBE"/>
    <w:rsid w:val="003B41B6"/>
    <w:rsid w:val="003B4F0C"/>
    <w:rsid w:val="003B7AA0"/>
    <w:rsid w:val="003B7B27"/>
    <w:rsid w:val="003B7E59"/>
    <w:rsid w:val="003C0491"/>
    <w:rsid w:val="003C0D99"/>
    <w:rsid w:val="003C0E71"/>
    <w:rsid w:val="003C1483"/>
    <w:rsid w:val="003C167C"/>
    <w:rsid w:val="003C1858"/>
    <w:rsid w:val="003C1884"/>
    <w:rsid w:val="003C1923"/>
    <w:rsid w:val="003C2317"/>
    <w:rsid w:val="003C2A9A"/>
    <w:rsid w:val="003C31E4"/>
    <w:rsid w:val="003C39AC"/>
    <w:rsid w:val="003C3ED5"/>
    <w:rsid w:val="003C55EE"/>
    <w:rsid w:val="003C5B5D"/>
    <w:rsid w:val="003C784F"/>
    <w:rsid w:val="003C7A63"/>
    <w:rsid w:val="003C7BA6"/>
    <w:rsid w:val="003C7E5A"/>
    <w:rsid w:val="003D053D"/>
    <w:rsid w:val="003D249F"/>
    <w:rsid w:val="003D2CAA"/>
    <w:rsid w:val="003D3176"/>
    <w:rsid w:val="003D5246"/>
    <w:rsid w:val="003D547E"/>
    <w:rsid w:val="003D5520"/>
    <w:rsid w:val="003D6AFF"/>
    <w:rsid w:val="003D72DA"/>
    <w:rsid w:val="003D7B78"/>
    <w:rsid w:val="003E0DF6"/>
    <w:rsid w:val="003E112F"/>
    <w:rsid w:val="003E1A88"/>
    <w:rsid w:val="003E23DF"/>
    <w:rsid w:val="003E24D0"/>
    <w:rsid w:val="003E3330"/>
    <w:rsid w:val="003E3AFE"/>
    <w:rsid w:val="003E3E24"/>
    <w:rsid w:val="003E51B1"/>
    <w:rsid w:val="003E54F5"/>
    <w:rsid w:val="003E5EDD"/>
    <w:rsid w:val="003E5EE2"/>
    <w:rsid w:val="003E61A9"/>
    <w:rsid w:val="003E65FE"/>
    <w:rsid w:val="003E6C93"/>
    <w:rsid w:val="003E704E"/>
    <w:rsid w:val="003E7152"/>
    <w:rsid w:val="003E7444"/>
    <w:rsid w:val="003E7983"/>
    <w:rsid w:val="003F043B"/>
    <w:rsid w:val="003F055A"/>
    <w:rsid w:val="003F085B"/>
    <w:rsid w:val="003F0A82"/>
    <w:rsid w:val="003F0AEB"/>
    <w:rsid w:val="003F31E4"/>
    <w:rsid w:val="003F3D2B"/>
    <w:rsid w:val="003F3F1E"/>
    <w:rsid w:val="003F4001"/>
    <w:rsid w:val="003F4293"/>
    <w:rsid w:val="003F5425"/>
    <w:rsid w:val="003F5518"/>
    <w:rsid w:val="003F5593"/>
    <w:rsid w:val="003F5D61"/>
    <w:rsid w:val="003F7AC3"/>
    <w:rsid w:val="003F7E25"/>
    <w:rsid w:val="0040010D"/>
    <w:rsid w:val="00400EA6"/>
    <w:rsid w:val="004012F5"/>
    <w:rsid w:val="004018C3"/>
    <w:rsid w:val="00402C59"/>
    <w:rsid w:val="0040338F"/>
    <w:rsid w:val="004036EC"/>
    <w:rsid w:val="00403E04"/>
    <w:rsid w:val="00404687"/>
    <w:rsid w:val="004046BA"/>
    <w:rsid w:val="004046EF"/>
    <w:rsid w:val="00404F0F"/>
    <w:rsid w:val="00405529"/>
    <w:rsid w:val="004067BC"/>
    <w:rsid w:val="00406846"/>
    <w:rsid w:val="00406C16"/>
    <w:rsid w:val="004077B9"/>
    <w:rsid w:val="0040788A"/>
    <w:rsid w:val="004078D8"/>
    <w:rsid w:val="00407EE5"/>
    <w:rsid w:val="0041030F"/>
    <w:rsid w:val="0041063D"/>
    <w:rsid w:val="00413038"/>
    <w:rsid w:val="004130CC"/>
    <w:rsid w:val="00413A87"/>
    <w:rsid w:val="004151A3"/>
    <w:rsid w:val="0041549C"/>
    <w:rsid w:val="00415793"/>
    <w:rsid w:val="00417B85"/>
    <w:rsid w:val="00420764"/>
    <w:rsid w:val="00420FF4"/>
    <w:rsid w:val="0042112F"/>
    <w:rsid w:val="00421867"/>
    <w:rsid w:val="00421AB5"/>
    <w:rsid w:val="00421B12"/>
    <w:rsid w:val="00421CF6"/>
    <w:rsid w:val="00421D09"/>
    <w:rsid w:val="004224CA"/>
    <w:rsid w:val="004226C0"/>
    <w:rsid w:val="00423554"/>
    <w:rsid w:val="00423953"/>
    <w:rsid w:val="00423CEA"/>
    <w:rsid w:val="0042406B"/>
    <w:rsid w:val="00424B86"/>
    <w:rsid w:val="00425028"/>
    <w:rsid w:val="0042637A"/>
    <w:rsid w:val="00426723"/>
    <w:rsid w:val="004279E9"/>
    <w:rsid w:val="00427BB8"/>
    <w:rsid w:val="00427EF3"/>
    <w:rsid w:val="004302EF"/>
    <w:rsid w:val="00430516"/>
    <w:rsid w:val="00430DB0"/>
    <w:rsid w:val="00430DCB"/>
    <w:rsid w:val="00431281"/>
    <w:rsid w:val="0043128F"/>
    <w:rsid w:val="004315CB"/>
    <w:rsid w:val="00431878"/>
    <w:rsid w:val="004319E2"/>
    <w:rsid w:val="00432EAE"/>
    <w:rsid w:val="00433232"/>
    <w:rsid w:val="00433317"/>
    <w:rsid w:val="00433618"/>
    <w:rsid w:val="00433BBD"/>
    <w:rsid w:val="00434382"/>
    <w:rsid w:val="00434523"/>
    <w:rsid w:val="0043486D"/>
    <w:rsid w:val="00434F58"/>
    <w:rsid w:val="0043543E"/>
    <w:rsid w:val="00435D9E"/>
    <w:rsid w:val="004363D7"/>
    <w:rsid w:val="0043707B"/>
    <w:rsid w:val="004372A6"/>
    <w:rsid w:val="00437442"/>
    <w:rsid w:val="00437A49"/>
    <w:rsid w:val="00437D1E"/>
    <w:rsid w:val="004401E7"/>
    <w:rsid w:val="0044055D"/>
    <w:rsid w:val="004408C8"/>
    <w:rsid w:val="00440D47"/>
    <w:rsid w:val="004422AB"/>
    <w:rsid w:val="00442DC1"/>
    <w:rsid w:val="004437FF"/>
    <w:rsid w:val="00443CFE"/>
    <w:rsid w:val="00444140"/>
    <w:rsid w:val="0044474C"/>
    <w:rsid w:val="00444D02"/>
    <w:rsid w:val="00444DD8"/>
    <w:rsid w:val="0044658B"/>
    <w:rsid w:val="00446B96"/>
    <w:rsid w:val="004474EB"/>
    <w:rsid w:val="00451533"/>
    <w:rsid w:val="0045158C"/>
    <w:rsid w:val="00451BA5"/>
    <w:rsid w:val="0045276D"/>
    <w:rsid w:val="00453647"/>
    <w:rsid w:val="004542E3"/>
    <w:rsid w:val="004543FB"/>
    <w:rsid w:val="004551AC"/>
    <w:rsid w:val="004555CB"/>
    <w:rsid w:val="0045680C"/>
    <w:rsid w:val="00456847"/>
    <w:rsid w:val="0045694C"/>
    <w:rsid w:val="004572DA"/>
    <w:rsid w:val="004573B1"/>
    <w:rsid w:val="004577AD"/>
    <w:rsid w:val="0045786A"/>
    <w:rsid w:val="00457BE5"/>
    <w:rsid w:val="004602DA"/>
    <w:rsid w:val="0046031C"/>
    <w:rsid w:val="00460932"/>
    <w:rsid w:val="00460A2C"/>
    <w:rsid w:val="00460EEA"/>
    <w:rsid w:val="004631A4"/>
    <w:rsid w:val="00463211"/>
    <w:rsid w:val="004643FD"/>
    <w:rsid w:val="00464625"/>
    <w:rsid w:val="00466A95"/>
    <w:rsid w:val="00466DCA"/>
    <w:rsid w:val="00467983"/>
    <w:rsid w:val="00467B75"/>
    <w:rsid w:val="0047061B"/>
    <w:rsid w:val="00470A3B"/>
    <w:rsid w:val="00470D39"/>
    <w:rsid w:val="004711C0"/>
    <w:rsid w:val="00471756"/>
    <w:rsid w:val="00471982"/>
    <w:rsid w:val="00471A29"/>
    <w:rsid w:val="00471AB0"/>
    <w:rsid w:val="00471BCD"/>
    <w:rsid w:val="00473967"/>
    <w:rsid w:val="00474D47"/>
    <w:rsid w:val="00475946"/>
    <w:rsid w:val="00477860"/>
    <w:rsid w:val="004802B5"/>
    <w:rsid w:val="004807FC"/>
    <w:rsid w:val="00481517"/>
    <w:rsid w:val="004815E9"/>
    <w:rsid w:val="0048181C"/>
    <w:rsid w:val="00481C40"/>
    <w:rsid w:val="00481D27"/>
    <w:rsid w:val="00481E61"/>
    <w:rsid w:val="00481FD0"/>
    <w:rsid w:val="004822D0"/>
    <w:rsid w:val="00482D0F"/>
    <w:rsid w:val="004832F0"/>
    <w:rsid w:val="0048339C"/>
    <w:rsid w:val="0048355C"/>
    <w:rsid w:val="00483C8C"/>
    <w:rsid w:val="00483CCF"/>
    <w:rsid w:val="0048465A"/>
    <w:rsid w:val="004849AD"/>
    <w:rsid w:val="00484C91"/>
    <w:rsid w:val="00484DD5"/>
    <w:rsid w:val="004863CF"/>
    <w:rsid w:val="00486C3D"/>
    <w:rsid w:val="00487265"/>
    <w:rsid w:val="00487899"/>
    <w:rsid w:val="004879A4"/>
    <w:rsid w:val="00487CA3"/>
    <w:rsid w:val="00487F3C"/>
    <w:rsid w:val="00490539"/>
    <w:rsid w:val="004906A2"/>
    <w:rsid w:val="0049132F"/>
    <w:rsid w:val="00491366"/>
    <w:rsid w:val="004914D4"/>
    <w:rsid w:val="00492688"/>
    <w:rsid w:val="00493F71"/>
    <w:rsid w:val="004946D7"/>
    <w:rsid w:val="004948FA"/>
    <w:rsid w:val="00494E32"/>
    <w:rsid w:val="00495592"/>
    <w:rsid w:val="00495A9F"/>
    <w:rsid w:val="00495BAB"/>
    <w:rsid w:val="00495E1C"/>
    <w:rsid w:val="004966AE"/>
    <w:rsid w:val="0049685A"/>
    <w:rsid w:val="00496EF0"/>
    <w:rsid w:val="00497179"/>
    <w:rsid w:val="004977BE"/>
    <w:rsid w:val="00497E3E"/>
    <w:rsid w:val="004A02DE"/>
    <w:rsid w:val="004A1064"/>
    <w:rsid w:val="004A16F2"/>
    <w:rsid w:val="004A1D7F"/>
    <w:rsid w:val="004A2AAD"/>
    <w:rsid w:val="004A3BB2"/>
    <w:rsid w:val="004A3DAA"/>
    <w:rsid w:val="004A4CA1"/>
    <w:rsid w:val="004A527B"/>
    <w:rsid w:val="004A67AB"/>
    <w:rsid w:val="004A6E17"/>
    <w:rsid w:val="004A79A4"/>
    <w:rsid w:val="004A7A45"/>
    <w:rsid w:val="004B015B"/>
    <w:rsid w:val="004B052A"/>
    <w:rsid w:val="004B076F"/>
    <w:rsid w:val="004B15A6"/>
    <w:rsid w:val="004B3392"/>
    <w:rsid w:val="004B4443"/>
    <w:rsid w:val="004B4773"/>
    <w:rsid w:val="004B6229"/>
    <w:rsid w:val="004B6547"/>
    <w:rsid w:val="004B68AC"/>
    <w:rsid w:val="004B7176"/>
    <w:rsid w:val="004B732C"/>
    <w:rsid w:val="004B7F8C"/>
    <w:rsid w:val="004B7FA4"/>
    <w:rsid w:val="004C0390"/>
    <w:rsid w:val="004C07DE"/>
    <w:rsid w:val="004C09CF"/>
    <w:rsid w:val="004C142A"/>
    <w:rsid w:val="004C15B6"/>
    <w:rsid w:val="004C1BEA"/>
    <w:rsid w:val="004C22A0"/>
    <w:rsid w:val="004C22B9"/>
    <w:rsid w:val="004C2FC2"/>
    <w:rsid w:val="004C3C74"/>
    <w:rsid w:val="004C49F3"/>
    <w:rsid w:val="004C4A40"/>
    <w:rsid w:val="004C57B7"/>
    <w:rsid w:val="004C5918"/>
    <w:rsid w:val="004C63C3"/>
    <w:rsid w:val="004C6B8F"/>
    <w:rsid w:val="004C6E9C"/>
    <w:rsid w:val="004C6FBF"/>
    <w:rsid w:val="004C7604"/>
    <w:rsid w:val="004C7D95"/>
    <w:rsid w:val="004D009A"/>
    <w:rsid w:val="004D16DC"/>
    <w:rsid w:val="004D1A48"/>
    <w:rsid w:val="004D1E8F"/>
    <w:rsid w:val="004D2B9B"/>
    <w:rsid w:val="004D30BC"/>
    <w:rsid w:val="004D41E5"/>
    <w:rsid w:val="004D4E10"/>
    <w:rsid w:val="004D5401"/>
    <w:rsid w:val="004D5677"/>
    <w:rsid w:val="004D5CD4"/>
    <w:rsid w:val="004D7025"/>
    <w:rsid w:val="004D70F2"/>
    <w:rsid w:val="004D7302"/>
    <w:rsid w:val="004D7539"/>
    <w:rsid w:val="004D7E8C"/>
    <w:rsid w:val="004E0CDE"/>
    <w:rsid w:val="004E150F"/>
    <w:rsid w:val="004E1867"/>
    <w:rsid w:val="004E1B76"/>
    <w:rsid w:val="004E1F2B"/>
    <w:rsid w:val="004E2D9A"/>
    <w:rsid w:val="004E2E3B"/>
    <w:rsid w:val="004E366C"/>
    <w:rsid w:val="004E43BA"/>
    <w:rsid w:val="004E4B41"/>
    <w:rsid w:val="004E4E05"/>
    <w:rsid w:val="004E4EF7"/>
    <w:rsid w:val="004E52BC"/>
    <w:rsid w:val="004E70EB"/>
    <w:rsid w:val="004E7547"/>
    <w:rsid w:val="004E7C3D"/>
    <w:rsid w:val="004E7CC3"/>
    <w:rsid w:val="004F127D"/>
    <w:rsid w:val="004F14AE"/>
    <w:rsid w:val="004F1E6E"/>
    <w:rsid w:val="004F22B2"/>
    <w:rsid w:val="004F2EDE"/>
    <w:rsid w:val="004F3107"/>
    <w:rsid w:val="004F3548"/>
    <w:rsid w:val="004F4486"/>
    <w:rsid w:val="004F5204"/>
    <w:rsid w:val="004F558E"/>
    <w:rsid w:val="004F60B8"/>
    <w:rsid w:val="004F6358"/>
    <w:rsid w:val="004F63F3"/>
    <w:rsid w:val="0050112D"/>
    <w:rsid w:val="005017C8"/>
    <w:rsid w:val="00501AF7"/>
    <w:rsid w:val="00502432"/>
    <w:rsid w:val="00502AA8"/>
    <w:rsid w:val="0050336C"/>
    <w:rsid w:val="005046AE"/>
    <w:rsid w:val="00504D9D"/>
    <w:rsid w:val="00506325"/>
    <w:rsid w:val="00506BD0"/>
    <w:rsid w:val="00506F27"/>
    <w:rsid w:val="00506FC8"/>
    <w:rsid w:val="00510110"/>
    <w:rsid w:val="0051096C"/>
    <w:rsid w:val="00510DFD"/>
    <w:rsid w:val="00511435"/>
    <w:rsid w:val="00511F9B"/>
    <w:rsid w:val="00512C8F"/>
    <w:rsid w:val="00512D46"/>
    <w:rsid w:val="00512DC6"/>
    <w:rsid w:val="0051348A"/>
    <w:rsid w:val="00513568"/>
    <w:rsid w:val="00513596"/>
    <w:rsid w:val="00514A52"/>
    <w:rsid w:val="005154D4"/>
    <w:rsid w:val="005167BE"/>
    <w:rsid w:val="00516D57"/>
    <w:rsid w:val="00517515"/>
    <w:rsid w:val="00517912"/>
    <w:rsid w:val="00517F12"/>
    <w:rsid w:val="00520016"/>
    <w:rsid w:val="00520333"/>
    <w:rsid w:val="00520579"/>
    <w:rsid w:val="005206DF"/>
    <w:rsid w:val="00520891"/>
    <w:rsid w:val="00522326"/>
    <w:rsid w:val="00523109"/>
    <w:rsid w:val="00523765"/>
    <w:rsid w:val="00523B05"/>
    <w:rsid w:val="00524129"/>
    <w:rsid w:val="00524331"/>
    <w:rsid w:val="005270AD"/>
    <w:rsid w:val="005304B9"/>
    <w:rsid w:val="00531324"/>
    <w:rsid w:val="005317BD"/>
    <w:rsid w:val="00531919"/>
    <w:rsid w:val="00532A7C"/>
    <w:rsid w:val="00532D2F"/>
    <w:rsid w:val="00532E1D"/>
    <w:rsid w:val="005337F5"/>
    <w:rsid w:val="00533AC4"/>
    <w:rsid w:val="00533BB3"/>
    <w:rsid w:val="00534630"/>
    <w:rsid w:val="0053529F"/>
    <w:rsid w:val="005358C7"/>
    <w:rsid w:val="00537044"/>
    <w:rsid w:val="005370D7"/>
    <w:rsid w:val="0053769C"/>
    <w:rsid w:val="00537F81"/>
    <w:rsid w:val="00540172"/>
    <w:rsid w:val="005406A0"/>
    <w:rsid w:val="00540F12"/>
    <w:rsid w:val="005410CA"/>
    <w:rsid w:val="005418A2"/>
    <w:rsid w:val="00541DC6"/>
    <w:rsid w:val="00543A2B"/>
    <w:rsid w:val="00544DEF"/>
    <w:rsid w:val="00545024"/>
    <w:rsid w:val="005454FC"/>
    <w:rsid w:val="005455D7"/>
    <w:rsid w:val="00545824"/>
    <w:rsid w:val="00545AFC"/>
    <w:rsid w:val="005461A4"/>
    <w:rsid w:val="0054640D"/>
    <w:rsid w:val="00546D47"/>
    <w:rsid w:val="00547FCC"/>
    <w:rsid w:val="0055027F"/>
    <w:rsid w:val="005508BB"/>
    <w:rsid w:val="00550F6D"/>
    <w:rsid w:val="005515F9"/>
    <w:rsid w:val="005516DA"/>
    <w:rsid w:val="0055253E"/>
    <w:rsid w:val="00552C58"/>
    <w:rsid w:val="005541C1"/>
    <w:rsid w:val="00554630"/>
    <w:rsid w:val="00554648"/>
    <w:rsid w:val="005561AB"/>
    <w:rsid w:val="005565CC"/>
    <w:rsid w:val="00560384"/>
    <w:rsid w:val="00560E4D"/>
    <w:rsid w:val="00561CAC"/>
    <w:rsid w:val="00561CAE"/>
    <w:rsid w:val="00561E4B"/>
    <w:rsid w:val="00562027"/>
    <w:rsid w:val="0056247A"/>
    <w:rsid w:val="00562971"/>
    <w:rsid w:val="00562C58"/>
    <w:rsid w:val="00563052"/>
    <w:rsid w:val="0056401A"/>
    <w:rsid w:val="00564F0D"/>
    <w:rsid w:val="00565B18"/>
    <w:rsid w:val="005666AC"/>
    <w:rsid w:val="00566D87"/>
    <w:rsid w:val="00566E34"/>
    <w:rsid w:val="005674B2"/>
    <w:rsid w:val="0056777A"/>
    <w:rsid w:val="0056780B"/>
    <w:rsid w:val="00567936"/>
    <w:rsid w:val="00570A35"/>
    <w:rsid w:val="005710AA"/>
    <w:rsid w:val="0057163C"/>
    <w:rsid w:val="00571745"/>
    <w:rsid w:val="005719CA"/>
    <w:rsid w:val="00571B80"/>
    <w:rsid w:val="00571E59"/>
    <w:rsid w:val="005720D9"/>
    <w:rsid w:val="0057219D"/>
    <w:rsid w:val="00572573"/>
    <w:rsid w:val="005732FA"/>
    <w:rsid w:val="005743EB"/>
    <w:rsid w:val="0057451A"/>
    <w:rsid w:val="00574A68"/>
    <w:rsid w:val="00574F7A"/>
    <w:rsid w:val="005751B4"/>
    <w:rsid w:val="005756AB"/>
    <w:rsid w:val="005760CD"/>
    <w:rsid w:val="00576225"/>
    <w:rsid w:val="005765D0"/>
    <w:rsid w:val="00576617"/>
    <w:rsid w:val="00577519"/>
    <w:rsid w:val="00580087"/>
    <w:rsid w:val="00581AEE"/>
    <w:rsid w:val="00582351"/>
    <w:rsid w:val="00582E63"/>
    <w:rsid w:val="00583B5A"/>
    <w:rsid w:val="00584184"/>
    <w:rsid w:val="00584188"/>
    <w:rsid w:val="0058460F"/>
    <w:rsid w:val="00585165"/>
    <w:rsid w:val="00585810"/>
    <w:rsid w:val="00585F32"/>
    <w:rsid w:val="00586C1B"/>
    <w:rsid w:val="00587A81"/>
    <w:rsid w:val="00592593"/>
    <w:rsid w:val="00592C88"/>
    <w:rsid w:val="00593239"/>
    <w:rsid w:val="00593D60"/>
    <w:rsid w:val="00593DD1"/>
    <w:rsid w:val="00593DF8"/>
    <w:rsid w:val="00593E46"/>
    <w:rsid w:val="005942D2"/>
    <w:rsid w:val="0059434C"/>
    <w:rsid w:val="00594365"/>
    <w:rsid w:val="0059478B"/>
    <w:rsid w:val="005969FB"/>
    <w:rsid w:val="00596CDA"/>
    <w:rsid w:val="005974FC"/>
    <w:rsid w:val="005975B4"/>
    <w:rsid w:val="005979F2"/>
    <w:rsid w:val="005A0392"/>
    <w:rsid w:val="005A09CE"/>
    <w:rsid w:val="005A0FAB"/>
    <w:rsid w:val="005A119F"/>
    <w:rsid w:val="005A1304"/>
    <w:rsid w:val="005A21C6"/>
    <w:rsid w:val="005A21CE"/>
    <w:rsid w:val="005A2927"/>
    <w:rsid w:val="005A3B41"/>
    <w:rsid w:val="005A3DC9"/>
    <w:rsid w:val="005A3FFA"/>
    <w:rsid w:val="005A4057"/>
    <w:rsid w:val="005A4373"/>
    <w:rsid w:val="005A4A84"/>
    <w:rsid w:val="005A4B93"/>
    <w:rsid w:val="005A541B"/>
    <w:rsid w:val="005A545C"/>
    <w:rsid w:val="005A5750"/>
    <w:rsid w:val="005A6963"/>
    <w:rsid w:val="005A6BC3"/>
    <w:rsid w:val="005A70FD"/>
    <w:rsid w:val="005A731B"/>
    <w:rsid w:val="005A7AB8"/>
    <w:rsid w:val="005A7F7A"/>
    <w:rsid w:val="005B1564"/>
    <w:rsid w:val="005B28C8"/>
    <w:rsid w:val="005B31DA"/>
    <w:rsid w:val="005B4360"/>
    <w:rsid w:val="005B436C"/>
    <w:rsid w:val="005B4793"/>
    <w:rsid w:val="005B4D72"/>
    <w:rsid w:val="005B507C"/>
    <w:rsid w:val="005B62BF"/>
    <w:rsid w:val="005B6415"/>
    <w:rsid w:val="005B69B7"/>
    <w:rsid w:val="005B7E65"/>
    <w:rsid w:val="005B7EB7"/>
    <w:rsid w:val="005C04F0"/>
    <w:rsid w:val="005C11AC"/>
    <w:rsid w:val="005C12FD"/>
    <w:rsid w:val="005C3183"/>
    <w:rsid w:val="005C33DA"/>
    <w:rsid w:val="005C4130"/>
    <w:rsid w:val="005C506C"/>
    <w:rsid w:val="005C51C9"/>
    <w:rsid w:val="005C5683"/>
    <w:rsid w:val="005C5BB3"/>
    <w:rsid w:val="005C688F"/>
    <w:rsid w:val="005C7E37"/>
    <w:rsid w:val="005D0215"/>
    <w:rsid w:val="005D03F2"/>
    <w:rsid w:val="005D0ABF"/>
    <w:rsid w:val="005D0F3B"/>
    <w:rsid w:val="005D12DB"/>
    <w:rsid w:val="005D19C3"/>
    <w:rsid w:val="005D1B98"/>
    <w:rsid w:val="005D2643"/>
    <w:rsid w:val="005D28F9"/>
    <w:rsid w:val="005D2F86"/>
    <w:rsid w:val="005D30E4"/>
    <w:rsid w:val="005D48B5"/>
    <w:rsid w:val="005D4AF1"/>
    <w:rsid w:val="005D5428"/>
    <w:rsid w:val="005D650F"/>
    <w:rsid w:val="005D68C1"/>
    <w:rsid w:val="005D725A"/>
    <w:rsid w:val="005D7337"/>
    <w:rsid w:val="005D74E8"/>
    <w:rsid w:val="005D7D2C"/>
    <w:rsid w:val="005D7FC3"/>
    <w:rsid w:val="005D7FD5"/>
    <w:rsid w:val="005D7FEF"/>
    <w:rsid w:val="005E0E6E"/>
    <w:rsid w:val="005E108F"/>
    <w:rsid w:val="005E10A4"/>
    <w:rsid w:val="005E1799"/>
    <w:rsid w:val="005E27BA"/>
    <w:rsid w:val="005E2F2B"/>
    <w:rsid w:val="005E3AE9"/>
    <w:rsid w:val="005E4043"/>
    <w:rsid w:val="005E41CC"/>
    <w:rsid w:val="005E6039"/>
    <w:rsid w:val="005E635A"/>
    <w:rsid w:val="005E6777"/>
    <w:rsid w:val="005E6CE0"/>
    <w:rsid w:val="005E7148"/>
    <w:rsid w:val="005E72D9"/>
    <w:rsid w:val="005E7B5E"/>
    <w:rsid w:val="005F0531"/>
    <w:rsid w:val="005F0D9F"/>
    <w:rsid w:val="005F115B"/>
    <w:rsid w:val="005F13E4"/>
    <w:rsid w:val="005F17B3"/>
    <w:rsid w:val="005F3F07"/>
    <w:rsid w:val="005F44AD"/>
    <w:rsid w:val="005F4E83"/>
    <w:rsid w:val="005F54B7"/>
    <w:rsid w:val="005F710D"/>
    <w:rsid w:val="005F781C"/>
    <w:rsid w:val="005F7DA5"/>
    <w:rsid w:val="0060009F"/>
    <w:rsid w:val="00600CB5"/>
    <w:rsid w:val="00601856"/>
    <w:rsid w:val="0060195C"/>
    <w:rsid w:val="00601E31"/>
    <w:rsid w:val="006027B0"/>
    <w:rsid w:val="006028B1"/>
    <w:rsid w:val="00602D33"/>
    <w:rsid w:val="00602EC7"/>
    <w:rsid w:val="0060306B"/>
    <w:rsid w:val="006030BB"/>
    <w:rsid w:val="00603EBA"/>
    <w:rsid w:val="00604589"/>
    <w:rsid w:val="0060487F"/>
    <w:rsid w:val="006048BE"/>
    <w:rsid w:val="00604BF6"/>
    <w:rsid w:val="00605897"/>
    <w:rsid w:val="00605CFC"/>
    <w:rsid w:val="006073F2"/>
    <w:rsid w:val="00607547"/>
    <w:rsid w:val="00607ACD"/>
    <w:rsid w:val="00607F4D"/>
    <w:rsid w:val="0061027F"/>
    <w:rsid w:val="00610D98"/>
    <w:rsid w:val="00610EC8"/>
    <w:rsid w:val="006115E8"/>
    <w:rsid w:val="0061164A"/>
    <w:rsid w:val="00611C02"/>
    <w:rsid w:val="006126BC"/>
    <w:rsid w:val="00612C08"/>
    <w:rsid w:val="00612F9B"/>
    <w:rsid w:val="00614411"/>
    <w:rsid w:val="00614862"/>
    <w:rsid w:val="00614CAB"/>
    <w:rsid w:val="0061747D"/>
    <w:rsid w:val="006202DD"/>
    <w:rsid w:val="00620B29"/>
    <w:rsid w:val="006211CC"/>
    <w:rsid w:val="00621440"/>
    <w:rsid w:val="00621584"/>
    <w:rsid w:val="006226A5"/>
    <w:rsid w:val="00622963"/>
    <w:rsid w:val="00622D9A"/>
    <w:rsid w:val="006230E8"/>
    <w:rsid w:val="0062332A"/>
    <w:rsid w:val="006234D2"/>
    <w:rsid w:val="0062410D"/>
    <w:rsid w:val="00624578"/>
    <w:rsid w:val="00624B1D"/>
    <w:rsid w:val="00625662"/>
    <w:rsid w:val="0062602A"/>
    <w:rsid w:val="006266C7"/>
    <w:rsid w:val="0062677D"/>
    <w:rsid w:val="00626BA9"/>
    <w:rsid w:val="006272B0"/>
    <w:rsid w:val="00627956"/>
    <w:rsid w:val="00627AD5"/>
    <w:rsid w:val="0063116E"/>
    <w:rsid w:val="006312E7"/>
    <w:rsid w:val="00632546"/>
    <w:rsid w:val="00632853"/>
    <w:rsid w:val="00634076"/>
    <w:rsid w:val="0063517D"/>
    <w:rsid w:val="0063569C"/>
    <w:rsid w:val="00635897"/>
    <w:rsid w:val="006359EF"/>
    <w:rsid w:val="00635E30"/>
    <w:rsid w:val="00635F24"/>
    <w:rsid w:val="00635F76"/>
    <w:rsid w:val="00635FB2"/>
    <w:rsid w:val="00636170"/>
    <w:rsid w:val="0063759E"/>
    <w:rsid w:val="00637891"/>
    <w:rsid w:val="00637B3C"/>
    <w:rsid w:val="006405EE"/>
    <w:rsid w:val="006406F8"/>
    <w:rsid w:val="00640FC0"/>
    <w:rsid w:val="00641172"/>
    <w:rsid w:val="00641736"/>
    <w:rsid w:val="00641C90"/>
    <w:rsid w:val="0064239B"/>
    <w:rsid w:val="006423AD"/>
    <w:rsid w:val="0064262B"/>
    <w:rsid w:val="00643632"/>
    <w:rsid w:val="00643C17"/>
    <w:rsid w:val="00644226"/>
    <w:rsid w:val="00644560"/>
    <w:rsid w:val="0064577C"/>
    <w:rsid w:val="006467BB"/>
    <w:rsid w:val="0064743B"/>
    <w:rsid w:val="00647477"/>
    <w:rsid w:val="00647635"/>
    <w:rsid w:val="006476F9"/>
    <w:rsid w:val="00647C48"/>
    <w:rsid w:val="00650325"/>
    <w:rsid w:val="006504F6"/>
    <w:rsid w:val="00650A48"/>
    <w:rsid w:val="00652866"/>
    <w:rsid w:val="0065372F"/>
    <w:rsid w:val="00653A30"/>
    <w:rsid w:val="006549DE"/>
    <w:rsid w:val="00654ADC"/>
    <w:rsid w:val="00654EFA"/>
    <w:rsid w:val="00655896"/>
    <w:rsid w:val="0065626B"/>
    <w:rsid w:val="006564CC"/>
    <w:rsid w:val="006569B0"/>
    <w:rsid w:val="00657601"/>
    <w:rsid w:val="0066017C"/>
    <w:rsid w:val="006605AA"/>
    <w:rsid w:val="00660E2B"/>
    <w:rsid w:val="0066220C"/>
    <w:rsid w:val="006624A9"/>
    <w:rsid w:val="00662624"/>
    <w:rsid w:val="00662A8F"/>
    <w:rsid w:val="00663EF8"/>
    <w:rsid w:val="006642EA"/>
    <w:rsid w:val="00664606"/>
    <w:rsid w:val="0066560D"/>
    <w:rsid w:val="006670E1"/>
    <w:rsid w:val="00667410"/>
    <w:rsid w:val="00670296"/>
    <w:rsid w:val="0067066D"/>
    <w:rsid w:val="00671518"/>
    <w:rsid w:val="00671A68"/>
    <w:rsid w:val="00671AA5"/>
    <w:rsid w:val="00671CB4"/>
    <w:rsid w:val="00671E0F"/>
    <w:rsid w:val="006730B6"/>
    <w:rsid w:val="00673585"/>
    <w:rsid w:val="0067479D"/>
    <w:rsid w:val="0067546B"/>
    <w:rsid w:val="00675514"/>
    <w:rsid w:val="006756F5"/>
    <w:rsid w:val="00675D6D"/>
    <w:rsid w:val="00675E12"/>
    <w:rsid w:val="006764B2"/>
    <w:rsid w:val="00676936"/>
    <w:rsid w:val="0068064E"/>
    <w:rsid w:val="00681318"/>
    <w:rsid w:val="00681B16"/>
    <w:rsid w:val="0068227F"/>
    <w:rsid w:val="006825FF"/>
    <w:rsid w:val="00682E61"/>
    <w:rsid w:val="00682FEF"/>
    <w:rsid w:val="006830E4"/>
    <w:rsid w:val="00683189"/>
    <w:rsid w:val="00683E9F"/>
    <w:rsid w:val="006847FB"/>
    <w:rsid w:val="0068498D"/>
    <w:rsid w:val="00684FF0"/>
    <w:rsid w:val="006854E3"/>
    <w:rsid w:val="0068566A"/>
    <w:rsid w:val="00686675"/>
    <w:rsid w:val="00686691"/>
    <w:rsid w:val="0068693A"/>
    <w:rsid w:val="006875FC"/>
    <w:rsid w:val="00687853"/>
    <w:rsid w:val="00687D5E"/>
    <w:rsid w:val="00687DC1"/>
    <w:rsid w:val="00690DC2"/>
    <w:rsid w:val="00691924"/>
    <w:rsid w:val="006921B6"/>
    <w:rsid w:val="00692FC1"/>
    <w:rsid w:val="006950D4"/>
    <w:rsid w:val="0069724F"/>
    <w:rsid w:val="00697DA2"/>
    <w:rsid w:val="00697E07"/>
    <w:rsid w:val="006A0106"/>
    <w:rsid w:val="006A0C5C"/>
    <w:rsid w:val="006A2028"/>
    <w:rsid w:val="006A2310"/>
    <w:rsid w:val="006A3B10"/>
    <w:rsid w:val="006A4626"/>
    <w:rsid w:val="006A525B"/>
    <w:rsid w:val="006A55B4"/>
    <w:rsid w:val="006A5790"/>
    <w:rsid w:val="006A5C1E"/>
    <w:rsid w:val="006A5CC7"/>
    <w:rsid w:val="006A5E7E"/>
    <w:rsid w:val="006A7823"/>
    <w:rsid w:val="006A7B94"/>
    <w:rsid w:val="006B04FC"/>
    <w:rsid w:val="006B067E"/>
    <w:rsid w:val="006B0B49"/>
    <w:rsid w:val="006B1286"/>
    <w:rsid w:val="006B18C2"/>
    <w:rsid w:val="006B2DF6"/>
    <w:rsid w:val="006B375F"/>
    <w:rsid w:val="006B406D"/>
    <w:rsid w:val="006B4662"/>
    <w:rsid w:val="006B4BF3"/>
    <w:rsid w:val="006B4F5E"/>
    <w:rsid w:val="006B5FA2"/>
    <w:rsid w:val="006B6402"/>
    <w:rsid w:val="006B6546"/>
    <w:rsid w:val="006B65A5"/>
    <w:rsid w:val="006B6838"/>
    <w:rsid w:val="006B6C18"/>
    <w:rsid w:val="006B74CF"/>
    <w:rsid w:val="006B7FBD"/>
    <w:rsid w:val="006C02AF"/>
    <w:rsid w:val="006C118F"/>
    <w:rsid w:val="006C1ACF"/>
    <w:rsid w:val="006C2745"/>
    <w:rsid w:val="006C29B6"/>
    <w:rsid w:val="006C3409"/>
    <w:rsid w:val="006C34E1"/>
    <w:rsid w:val="006C3812"/>
    <w:rsid w:val="006C3D2A"/>
    <w:rsid w:val="006C41A0"/>
    <w:rsid w:val="006C4284"/>
    <w:rsid w:val="006C480C"/>
    <w:rsid w:val="006C4D92"/>
    <w:rsid w:val="006C56D4"/>
    <w:rsid w:val="006C667B"/>
    <w:rsid w:val="006C70AC"/>
    <w:rsid w:val="006C7165"/>
    <w:rsid w:val="006C71DC"/>
    <w:rsid w:val="006D08FF"/>
    <w:rsid w:val="006D128D"/>
    <w:rsid w:val="006D23F4"/>
    <w:rsid w:val="006D2A72"/>
    <w:rsid w:val="006D2C6E"/>
    <w:rsid w:val="006D2ECA"/>
    <w:rsid w:val="006D3129"/>
    <w:rsid w:val="006D3BB6"/>
    <w:rsid w:val="006D4537"/>
    <w:rsid w:val="006D47C3"/>
    <w:rsid w:val="006D4B20"/>
    <w:rsid w:val="006D565D"/>
    <w:rsid w:val="006D5C90"/>
    <w:rsid w:val="006D6206"/>
    <w:rsid w:val="006D65B0"/>
    <w:rsid w:val="006D7213"/>
    <w:rsid w:val="006D759F"/>
    <w:rsid w:val="006E0094"/>
    <w:rsid w:val="006E0265"/>
    <w:rsid w:val="006E0EDD"/>
    <w:rsid w:val="006E1128"/>
    <w:rsid w:val="006E1ED1"/>
    <w:rsid w:val="006E215A"/>
    <w:rsid w:val="006E40B2"/>
    <w:rsid w:val="006E410A"/>
    <w:rsid w:val="006E48A3"/>
    <w:rsid w:val="006E5B49"/>
    <w:rsid w:val="006E63BA"/>
    <w:rsid w:val="006E65FB"/>
    <w:rsid w:val="006E72E5"/>
    <w:rsid w:val="006F0CD5"/>
    <w:rsid w:val="006F1392"/>
    <w:rsid w:val="006F15F0"/>
    <w:rsid w:val="006F1A04"/>
    <w:rsid w:val="006F1EEE"/>
    <w:rsid w:val="006F242C"/>
    <w:rsid w:val="006F2BB3"/>
    <w:rsid w:val="006F2EAE"/>
    <w:rsid w:val="006F30FB"/>
    <w:rsid w:val="006F3CA1"/>
    <w:rsid w:val="006F4000"/>
    <w:rsid w:val="006F5F31"/>
    <w:rsid w:val="006F6BF2"/>
    <w:rsid w:val="006F6F55"/>
    <w:rsid w:val="006F71D4"/>
    <w:rsid w:val="006F7752"/>
    <w:rsid w:val="007001D1"/>
    <w:rsid w:val="007006FC"/>
    <w:rsid w:val="00700EC0"/>
    <w:rsid w:val="00701C7E"/>
    <w:rsid w:val="00701E68"/>
    <w:rsid w:val="00702292"/>
    <w:rsid w:val="007032A6"/>
    <w:rsid w:val="00703622"/>
    <w:rsid w:val="00703872"/>
    <w:rsid w:val="00703CD8"/>
    <w:rsid w:val="0070410C"/>
    <w:rsid w:val="00704AA2"/>
    <w:rsid w:val="0070585A"/>
    <w:rsid w:val="00705CB0"/>
    <w:rsid w:val="00706566"/>
    <w:rsid w:val="00706B27"/>
    <w:rsid w:val="00706EFA"/>
    <w:rsid w:val="00707200"/>
    <w:rsid w:val="00707321"/>
    <w:rsid w:val="0070754F"/>
    <w:rsid w:val="007076EF"/>
    <w:rsid w:val="00707BD3"/>
    <w:rsid w:val="00707DEB"/>
    <w:rsid w:val="007100FD"/>
    <w:rsid w:val="00711F4B"/>
    <w:rsid w:val="0071242E"/>
    <w:rsid w:val="00712453"/>
    <w:rsid w:val="00712AAA"/>
    <w:rsid w:val="0071325E"/>
    <w:rsid w:val="00713C91"/>
    <w:rsid w:val="00714168"/>
    <w:rsid w:val="00714F90"/>
    <w:rsid w:val="0071528C"/>
    <w:rsid w:val="00715EA1"/>
    <w:rsid w:val="00717622"/>
    <w:rsid w:val="00717626"/>
    <w:rsid w:val="0071772F"/>
    <w:rsid w:val="007177BA"/>
    <w:rsid w:val="007177FC"/>
    <w:rsid w:val="007209DE"/>
    <w:rsid w:val="00720D04"/>
    <w:rsid w:val="00720D59"/>
    <w:rsid w:val="00720F1F"/>
    <w:rsid w:val="00721A60"/>
    <w:rsid w:val="007228FD"/>
    <w:rsid w:val="00722EED"/>
    <w:rsid w:val="0072308B"/>
    <w:rsid w:val="007231DD"/>
    <w:rsid w:val="00723424"/>
    <w:rsid w:val="00723584"/>
    <w:rsid w:val="00724797"/>
    <w:rsid w:val="00724869"/>
    <w:rsid w:val="00724FEA"/>
    <w:rsid w:val="0072571D"/>
    <w:rsid w:val="0072584B"/>
    <w:rsid w:val="00725FF7"/>
    <w:rsid w:val="007261E6"/>
    <w:rsid w:val="00727992"/>
    <w:rsid w:val="00727AC7"/>
    <w:rsid w:val="0073077F"/>
    <w:rsid w:val="00730D16"/>
    <w:rsid w:val="007319BD"/>
    <w:rsid w:val="00731DDD"/>
    <w:rsid w:val="00732DDC"/>
    <w:rsid w:val="0073329F"/>
    <w:rsid w:val="00733A33"/>
    <w:rsid w:val="00733ED6"/>
    <w:rsid w:val="00733F46"/>
    <w:rsid w:val="00734CB9"/>
    <w:rsid w:val="00734DEE"/>
    <w:rsid w:val="0073509B"/>
    <w:rsid w:val="007354FC"/>
    <w:rsid w:val="00735813"/>
    <w:rsid w:val="007362A4"/>
    <w:rsid w:val="007365EC"/>
    <w:rsid w:val="0073698D"/>
    <w:rsid w:val="0073713A"/>
    <w:rsid w:val="0073738A"/>
    <w:rsid w:val="0074092B"/>
    <w:rsid w:val="00740F86"/>
    <w:rsid w:val="007417BA"/>
    <w:rsid w:val="007424A8"/>
    <w:rsid w:val="00742D62"/>
    <w:rsid w:val="00743A33"/>
    <w:rsid w:val="00743BD7"/>
    <w:rsid w:val="00743D22"/>
    <w:rsid w:val="00744867"/>
    <w:rsid w:val="00745801"/>
    <w:rsid w:val="00745A69"/>
    <w:rsid w:val="00745A77"/>
    <w:rsid w:val="00745E1C"/>
    <w:rsid w:val="00746088"/>
    <w:rsid w:val="00746B15"/>
    <w:rsid w:val="0074706E"/>
    <w:rsid w:val="00747272"/>
    <w:rsid w:val="00747286"/>
    <w:rsid w:val="007472D1"/>
    <w:rsid w:val="00747979"/>
    <w:rsid w:val="00747E8F"/>
    <w:rsid w:val="007500A8"/>
    <w:rsid w:val="00750920"/>
    <w:rsid w:val="00750990"/>
    <w:rsid w:val="00750D0F"/>
    <w:rsid w:val="00750EAC"/>
    <w:rsid w:val="007532A7"/>
    <w:rsid w:val="00753C51"/>
    <w:rsid w:val="0075461E"/>
    <w:rsid w:val="007548BD"/>
    <w:rsid w:val="00754E71"/>
    <w:rsid w:val="00754F47"/>
    <w:rsid w:val="007566B9"/>
    <w:rsid w:val="00756A9C"/>
    <w:rsid w:val="00756C42"/>
    <w:rsid w:val="00756E99"/>
    <w:rsid w:val="007570BD"/>
    <w:rsid w:val="00757DAB"/>
    <w:rsid w:val="00757FB7"/>
    <w:rsid w:val="00757FE2"/>
    <w:rsid w:val="00760089"/>
    <w:rsid w:val="00760B26"/>
    <w:rsid w:val="00760FD7"/>
    <w:rsid w:val="00762F98"/>
    <w:rsid w:val="007630BA"/>
    <w:rsid w:val="00763440"/>
    <w:rsid w:val="007639A6"/>
    <w:rsid w:val="007640DD"/>
    <w:rsid w:val="007644A5"/>
    <w:rsid w:val="007645E0"/>
    <w:rsid w:val="00764F6D"/>
    <w:rsid w:val="00765346"/>
    <w:rsid w:val="0076585E"/>
    <w:rsid w:val="007668FD"/>
    <w:rsid w:val="00766B69"/>
    <w:rsid w:val="00766F37"/>
    <w:rsid w:val="007670AC"/>
    <w:rsid w:val="007676D9"/>
    <w:rsid w:val="00767F7E"/>
    <w:rsid w:val="00770583"/>
    <w:rsid w:val="007708BB"/>
    <w:rsid w:val="00770AD8"/>
    <w:rsid w:val="00770C8B"/>
    <w:rsid w:val="00770E87"/>
    <w:rsid w:val="0077134E"/>
    <w:rsid w:val="00772BD2"/>
    <w:rsid w:val="00772DD4"/>
    <w:rsid w:val="00772E63"/>
    <w:rsid w:val="007732AE"/>
    <w:rsid w:val="007733C0"/>
    <w:rsid w:val="00773556"/>
    <w:rsid w:val="0077474F"/>
    <w:rsid w:val="0077517B"/>
    <w:rsid w:val="0077534B"/>
    <w:rsid w:val="007769D4"/>
    <w:rsid w:val="00776DA6"/>
    <w:rsid w:val="0077717D"/>
    <w:rsid w:val="007807B8"/>
    <w:rsid w:val="00780957"/>
    <w:rsid w:val="007814E9"/>
    <w:rsid w:val="00782D68"/>
    <w:rsid w:val="00783D67"/>
    <w:rsid w:val="00784B4C"/>
    <w:rsid w:val="007855A8"/>
    <w:rsid w:val="00785FA1"/>
    <w:rsid w:val="00786A78"/>
    <w:rsid w:val="007872B9"/>
    <w:rsid w:val="00787346"/>
    <w:rsid w:val="00787C8B"/>
    <w:rsid w:val="00790B42"/>
    <w:rsid w:val="00791703"/>
    <w:rsid w:val="007920B0"/>
    <w:rsid w:val="007931D6"/>
    <w:rsid w:val="0079522B"/>
    <w:rsid w:val="0079543C"/>
    <w:rsid w:val="00795671"/>
    <w:rsid w:val="00795DF7"/>
    <w:rsid w:val="007970A9"/>
    <w:rsid w:val="00797A65"/>
    <w:rsid w:val="007A044D"/>
    <w:rsid w:val="007A1644"/>
    <w:rsid w:val="007A18D5"/>
    <w:rsid w:val="007A2A0D"/>
    <w:rsid w:val="007A2CFC"/>
    <w:rsid w:val="007A2DFB"/>
    <w:rsid w:val="007A3729"/>
    <w:rsid w:val="007A443C"/>
    <w:rsid w:val="007A4620"/>
    <w:rsid w:val="007A485C"/>
    <w:rsid w:val="007A488A"/>
    <w:rsid w:val="007A4995"/>
    <w:rsid w:val="007A4D97"/>
    <w:rsid w:val="007A54A8"/>
    <w:rsid w:val="007A551D"/>
    <w:rsid w:val="007A5EC2"/>
    <w:rsid w:val="007A5F56"/>
    <w:rsid w:val="007B1598"/>
    <w:rsid w:val="007B169C"/>
    <w:rsid w:val="007B2106"/>
    <w:rsid w:val="007B26B0"/>
    <w:rsid w:val="007B2816"/>
    <w:rsid w:val="007B3433"/>
    <w:rsid w:val="007B449A"/>
    <w:rsid w:val="007B5D28"/>
    <w:rsid w:val="007B69CD"/>
    <w:rsid w:val="007B724B"/>
    <w:rsid w:val="007B7440"/>
    <w:rsid w:val="007B7C06"/>
    <w:rsid w:val="007C01BA"/>
    <w:rsid w:val="007C0288"/>
    <w:rsid w:val="007C108C"/>
    <w:rsid w:val="007C1161"/>
    <w:rsid w:val="007C2672"/>
    <w:rsid w:val="007C29FF"/>
    <w:rsid w:val="007C36E2"/>
    <w:rsid w:val="007C383F"/>
    <w:rsid w:val="007C3A28"/>
    <w:rsid w:val="007C4D9A"/>
    <w:rsid w:val="007C5478"/>
    <w:rsid w:val="007C5482"/>
    <w:rsid w:val="007C5C42"/>
    <w:rsid w:val="007C628D"/>
    <w:rsid w:val="007C6FC1"/>
    <w:rsid w:val="007C7E57"/>
    <w:rsid w:val="007D1468"/>
    <w:rsid w:val="007D14E4"/>
    <w:rsid w:val="007D2944"/>
    <w:rsid w:val="007D2B0F"/>
    <w:rsid w:val="007D2E7B"/>
    <w:rsid w:val="007D2ED5"/>
    <w:rsid w:val="007D2F72"/>
    <w:rsid w:val="007D480E"/>
    <w:rsid w:val="007D4994"/>
    <w:rsid w:val="007D4D19"/>
    <w:rsid w:val="007D4D93"/>
    <w:rsid w:val="007D5239"/>
    <w:rsid w:val="007D59F8"/>
    <w:rsid w:val="007D6C81"/>
    <w:rsid w:val="007D751B"/>
    <w:rsid w:val="007E0304"/>
    <w:rsid w:val="007E04E4"/>
    <w:rsid w:val="007E09A5"/>
    <w:rsid w:val="007E213D"/>
    <w:rsid w:val="007E3327"/>
    <w:rsid w:val="007E383C"/>
    <w:rsid w:val="007E3E09"/>
    <w:rsid w:val="007E4610"/>
    <w:rsid w:val="007E47CA"/>
    <w:rsid w:val="007E536B"/>
    <w:rsid w:val="007E5E3A"/>
    <w:rsid w:val="007E5E9F"/>
    <w:rsid w:val="007E63B4"/>
    <w:rsid w:val="007E67A7"/>
    <w:rsid w:val="007E6A26"/>
    <w:rsid w:val="007E6C4D"/>
    <w:rsid w:val="007E6E19"/>
    <w:rsid w:val="007E7151"/>
    <w:rsid w:val="007E71CC"/>
    <w:rsid w:val="007E72CB"/>
    <w:rsid w:val="007E73A7"/>
    <w:rsid w:val="007E7B1C"/>
    <w:rsid w:val="007F0005"/>
    <w:rsid w:val="007F09EA"/>
    <w:rsid w:val="007F12C3"/>
    <w:rsid w:val="007F13BA"/>
    <w:rsid w:val="007F22D3"/>
    <w:rsid w:val="007F2954"/>
    <w:rsid w:val="007F3320"/>
    <w:rsid w:val="007F368D"/>
    <w:rsid w:val="007F37B5"/>
    <w:rsid w:val="007F3A2A"/>
    <w:rsid w:val="007F463A"/>
    <w:rsid w:val="007F4649"/>
    <w:rsid w:val="007F517C"/>
    <w:rsid w:val="007F59E0"/>
    <w:rsid w:val="007F63CD"/>
    <w:rsid w:val="007F69DD"/>
    <w:rsid w:val="007F6C49"/>
    <w:rsid w:val="007F6D4C"/>
    <w:rsid w:val="007F6F00"/>
    <w:rsid w:val="007F746A"/>
    <w:rsid w:val="00800F83"/>
    <w:rsid w:val="008013E7"/>
    <w:rsid w:val="0080205C"/>
    <w:rsid w:val="00802633"/>
    <w:rsid w:val="00802B37"/>
    <w:rsid w:val="008037D9"/>
    <w:rsid w:val="00804B25"/>
    <w:rsid w:val="0080544F"/>
    <w:rsid w:val="00805BFE"/>
    <w:rsid w:val="00805EB1"/>
    <w:rsid w:val="008069FA"/>
    <w:rsid w:val="008076CF"/>
    <w:rsid w:val="008106A8"/>
    <w:rsid w:val="00811030"/>
    <w:rsid w:val="008113C6"/>
    <w:rsid w:val="0081159D"/>
    <w:rsid w:val="00811E07"/>
    <w:rsid w:val="00812084"/>
    <w:rsid w:val="008129FA"/>
    <w:rsid w:val="00812D37"/>
    <w:rsid w:val="00813647"/>
    <w:rsid w:val="0081391C"/>
    <w:rsid w:val="0081392A"/>
    <w:rsid w:val="00813E45"/>
    <w:rsid w:val="008142DB"/>
    <w:rsid w:val="0081482F"/>
    <w:rsid w:val="00815333"/>
    <w:rsid w:val="008159C3"/>
    <w:rsid w:val="00816680"/>
    <w:rsid w:val="00817321"/>
    <w:rsid w:val="00817581"/>
    <w:rsid w:val="0081785C"/>
    <w:rsid w:val="008179CE"/>
    <w:rsid w:val="00820011"/>
    <w:rsid w:val="008203BD"/>
    <w:rsid w:val="00820E1A"/>
    <w:rsid w:val="00820EF8"/>
    <w:rsid w:val="00821978"/>
    <w:rsid w:val="00821B00"/>
    <w:rsid w:val="0082237C"/>
    <w:rsid w:val="00823299"/>
    <w:rsid w:val="008238CA"/>
    <w:rsid w:val="00823BDD"/>
    <w:rsid w:val="00823D80"/>
    <w:rsid w:val="0082434E"/>
    <w:rsid w:val="00824BE1"/>
    <w:rsid w:val="00824BE8"/>
    <w:rsid w:val="00825CDA"/>
    <w:rsid w:val="00826001"/>
    <w:rsid w:val="008266FA"/>
    <w:rsid w:val="00826C33"/>
    <w:rsid w:val="008301CB"/>
    <w:rsid w:val="00831A74"/>
    <w:rsid w:val="00832914"/>
    <w:rsid w:val="008336E7"/>
    <w:rsid w:val="00833D1D"/>
    <w:rsid w:val="008340FD"/>
    <w:rsid w:val="00834D25"/>
    <w:rsid w:val="00834D5F"/>
    <w:rsid w:val="00835E2E"/>
    <w:rsid w:val="00836D52"/>
    <w:rsid w:val="00836D60"/>
    <w:rsid w:val="00837270"/>
    <w:rsid w:val="00837D84"/>
    <w:rsid w:val="008406A4"/>
    <w:rsid w:val="00840842"/>
    <w:rsid w:val="00840928"/>
    <w:rsid w:val="008409C7"/>
    <w:rsid w:val="008409E7"/>
    <w:rsid w:val="00840E4E"/>
    <w:rsid w:val="0084192B"/>
    <w:rsid w:val="00841BD4"/>
    <w:rsid w:val="0084211E"/>
    <w:rsid w:val="00842466"/>
    <w:rsid w:val="00842585"/>
    <w:rsid w:val="00842DAA"/>
    <w:rsid w:val="0084326B"/>
    <w:rsid w:val="008433BE"/>
    <w:rsid w:val="00843814"/>
    <w:rsid w:val="00843845"/>
    <w:rsid w:val="0084538F"/>
    <w:rsid w:val="00847EAE"/>
    <w:rsid w:val="00850692"/>
    <w:rsid w:val="0085106A"/>
    <w:rsid w:val="00851F62"/>
    <w:rsid w:val="008523D4"/>
    <w:rsid w:val="00852FE7"/>
    <w:rsid w:val="0085389F"/>
    <w:rsid w:val="00853C6B"/>
    <w:rsid w:val="00854355"/>
    <w:rsid w:val="00854756"/>
    <w:rsid w:val="00854A76"/>
    <w:rsid w:val="008551F5"/>
    <w:rsid w:val="0085560A"/>
    <w:rsid w:val="008557D3"/>
    <w:rsid w:val="00855C66"/>
    <w:rsid w:val="00855D38"/>
    <w:rsid w:val="00856146"/>
    <w:rsid w:val="008569F1"/>
    <w:rsid w:val="00856F32"/>
    <w:rsid w:val="0085713B"/>
    <w:rsid w:val="008574D2"/>
    <w:rsid w:val="00857966"/>
    <w:rsid w:val="00857E00"/>
    <w:rsid w:val="00860EB9"/>
    <w:rsid w:val="00861839"/>
    <w:rsid w:val="00862D08"/>
    <w:rsid w:val="008633BD"/>
    <w:rsid w:val="008633C3"/>
    <w:rsid w:val="00863804"/>
    <w:rsid w:val="00863B35"/>
    <w:rsid w:val="00865890"/>
    <w:rsid w:val="008659B4"/>
    <w:rsid w:val="00865DEA"/>
    <w:rsid w:val="0086740A"/>
    <w:rsid w:val="008703BE"/>
    <w:rsid w:val="008705B4"/>
    <w:rsid w:val="00870671"/>
    <w:rsid w:val="00870A23"/>
    <w:rsid w:val="00870AD8"/>
    <w:rsid w:val="00871183"/>
    <w:rsid w:val="0087335B"/>
    <w:rsid w:val="00873ECE"/>
    <w:rsid w:val="00874E35"/>
    <w:rsid w:val="008755EE"/>
    <w:rsid w:val="00875742"/>
    <w:rsid w:val="0087613A"/>
    <w:rsid w:val="0087650A"/>
    <w:rsid w:val="008767CD"/>
    <w:rsid w:val="00876C77"/>
    <w:rsid w:val="008770D1"/>
    <w:rsid w:val="00877230"/>
    <w:rsid w:val="008800E7"/>
    <w:rsid w:val="00880527"/>
    <w:rsid w:val="00880E4A"/>
    <w:rsid w:val="00880F38"/>
    <w:rsid w:val="008812DC"/>
    <w:rsid w:val="0088138D"/>
    <w:rsid w:val="00881901"/>
    <w:rsid w:val="00883264"/>
    <w:rsid w:val="008835DE"/>
    <w:rsid w:val="00883752"/>
    <w:rsid w:val="00884505"/>
    <w:rsid w:val="00884834"/>
    <w:rsid w:val="00885244"/>
    <w:rsid w:val="00885ACE"/>
    <w:rsid w:val="008862A1"/>
    <w:rsid w:val="00886386"/>
    <w:rsid w:val="00886F66"/>
    <w:rsid w:val="00887CB2"/>
    <w:rsid w:val="00890C5E"/>
    <w:rsid w:val="008911CE"/>
    <w:rsid w:val="0089130A"/>
    <w:rsid w:val="0089289B"/>
    <w:rsid w:val="00892BFB"/>
    <w:rsid w:val="008933CA"/>
    <w:rsid w:val="0089397F"/>
    <w:rsid w:val="008940BC"/>
    <w:rsid w:val="00895572"/>
    <w:rsid w:val="00895DB7"/>
    <w:rsid w:val="0089726E"/>
    <w:rsid w:val="008A0542"/>
    <w:rsid w:val="008A08D5"/>
    <w:rsid w:val="008A09FF"/>
    <w:rsid w:val="008A0C6E"/>
    <w:rsid w:val="008A1EC7"/>
    <w:rsid w:val="008A1F40"/>
    <w:rsid w:val="008A2168"/>
    <w:rsid w:val="008A2230"/>
    <w:rsid w:val="008A249D"/>
    <w:rsid w:val="008A2815"/>
    <w:rsid w:val="008A3671"/>
    <w:rsid w:val="008A39B1"/>
    <w:rsid w:val="008A3CC7"/>
    <w:rsid w:val="008A3E28"/>
    <w:rsid w:val="008A4302"/>
    <w:rsid w:val="008A440D"/>
    <w:rsid w:val="008A464D"/>
    <w:rsid w:val="008A4D88"/>
    <w:rsid w:val="008A5320"/>
    <w:rsid w:val="008A5D38"/>
    <w:rsid w:val="008A6E3B"/>
    <w:rsid w:val="008A6F2E"/>
    <w:rsid w:val="008A6F98"/>
    <w:rsid w:val="008A7B3C"/>
    <w:rsid w:val="008A7D39"/>
    <w:rsid w:val="008A7FA1"/>
    <w:rsid w:val="008B1453"/>
    <w:rsid w:val="008B1600"/>
    <w:rsid w:val="008B182C"/>
    <w:rsid w:val="008B1C6A"/>
    <w:rsid w:val="008B293D"/>
    <w:rsid w:val="008B2A73"/>
    <w:rsid w:val="008B2A81"/>
    <w:rsid w:val="008B3C7F"/>
    <w:rsid w:val="008B3E6E"/>
    <w:rsid w:val="008B3FEB"/>
    <w:rsid w:val="008B41CD"/>
    <w:rsid w:val="008B4389"/>
    <w:rsid w:val="008B5028"/>
    <w:rsid w:val="008B5C89"/>
    <w:rsid w:val="008B64BD"/>
    <w:rsid w:val="008B64CE"/>
    <w:rsid w:val="008B7A05"/>
    <w:rsid w:val="008B7CC9"/>
    <w:rsid w:val="008B7F77"/>
    <w:rsid w:val="008C10D2"/>
    <w:rsid w:val="008C21E2"/>
    <w:rsid w:val="008C2714"/>
    <w:rsid w:val="008C2C26"/>
    <w:rsid w:val="008C2EE0"/>
    <w:rsid w:val="008C2FDE"/>
    <w:rsid w:val="008C470B"/>
    <w:rsid w:val="008C50CE"/>
    <w:rsid w:val="008C59E2"/>
    <w:rsid w:val="008C69C0"/>
    <w:rsid w:val="008C75A0"/>
    <w:rsid w:val="008C7695"/>
    <w:rsid w:val="008C796C"/>
    <w:rsid w:val="008C7B80"/>
    <w:rsid w:val="008D03B3"/>
    <w:rsid w:val="008D0DE8"/>
    <w:rsid w:val="008D0DF6"/>
    <w:rsid w:val="008D11DA"/>
    <w:rsid w:val="008D1279"/>
    <w:rsid w:val="008D12B2"/>
    <w:rsid w:val="008D15A8"/>
    <w:rsid w:val="008D198F"/>
    <w:rsid w:val="008D1D2B"/>
    <w:rsid w:val="008D22B8"/>
    <w:rsid w:val="008D2980"/>
    <w:rsid w:val="008D381C"/>
    <w:rsid w:val="008D3A8E"/>
    <w:rsid w:val="008D4145"/>
    <w:rsid w:val="008D4CF0"/>
    <w:rsid w:val="008D5D86"/>
    <w:rsid w:val="008D6A53"/>
    <w:rsid w:val="008D7F05"/>
    <w:rsid w:val="008E0541"/>
    <w:rsid w:val="008E0729"/>
    <w:rsid w:val="008E16E4"/>
    <w:rsid w:val="008E1744"/>
    <w:rsid w:val="008E218B"/>
    <w:rsid w:val="008E33B9"/>
    <w:rsid w:val="008E33F9"/>
    <w:rsid w:val="008E3603"/>
    <w:rsid w:val="008E37B4"/>
    <w:rsid w:val="008E3DD9"/>
    <w:rsid w:val="008E3EF2"/>
    <w:rsid w:val="008E4169"/>
    <w:rsid w:val="008E45B6"/>
    <w:rsid w:val="008E48AA"/>
    <w:rsid w:val="008E5F7A"/>
    <w:rsid w:val="008E6461"/>
    <w:rsid w:val="008E6872"/>
    <w:rsid w:val="008E6CF6"/>
    <w:rsid w:val="008E754E"/>
    <w:rsid w:val="008E758A"/>
    <w:rsid w:val="008E7B09"/>
    <w:rsid w:val="008F00EE"/>
    <w:rsid w:val="008F0E90"/>
    <w:rsid w:val="008F1436"/>
    <w:rsid w:val="008F19AD"/>
    <w:rsid w:val="008F21D8"/>
    <w:rsid w:val="008F2569"/>
    <w:rsid w:val="008F48D6"/>
    <w:rsid w:val="008F4A9C"/>
    <w:rsid w:val="008F4BE3"/>
    <w:rsid w:val="008F4E7A"/>
    <w:rsid w:val="008F515A"/>
    <w:rsid w:val="008F5F18"/>
    <w:rsid w:val="008F5F71"/>
    <w:rsid w:val="008F62C7"/>
    <w:rsid w:val="008F64E7"/>
    <w:rsid w:val="008F7181"/>
    <w:rsid w:val="008F7235"/>
    <w:rsid w:val="0090029F"/>
    <w:rsid w:val="00900FFB"/>
    <w:rsid w:val="009017D8"/>
    <w:rsid w:val="00901AD0"/>
    <w:rsid w:val="00901B55"/>
    <w:rsid w:val="0090306F"/>
    <w:rsid w:val="00903278"/>
    <w:rsid w:val="0090369A"/>
    <w:rsid w:val="00904309"/>
    <w:rsid w:val="00905829"/>
    <w:rsid w:val="00905A31"/>
    <w:rsid w:val="00906280"/>
    <w:rsid w:val="00906B19"/>
    <w:rsid w:val="00906D1F"/>
    <w:rsid w:val="00906EAA"/>
    <w:rsid w:val="00906F6E"/>
    <w:rsid w:val="00907192"/>
    <w:rsid w:val="00907355"/>
    <w:rsid w:val="00907700"/>
    <w:rsid w:val="009079E2"/>
    <w:rsid w:val="009111C2"/>
    <w:rsid w:val="00911A96"/>
    <w:rsid w:val="00912CD6"/>
    <w:rsid w:val="00912FB0"/>
    <w:rsid w:val="00913D89"/>
    <w:rsid w:val="00914476"/>
    <w:rsid w:val="009148FB"/>
    <w:rsid w:val="00914F91"/>
    <w:rsid w:val="0091515D"/>
    <w:rsid w:val="00915776"/>
    <w:rsid w:val="00915C17"/>
    <w:rsid w:val="00915F93"/>
    <w:rsid w:val="0091631E"/>
    <w:rsid w:val="00917034"/>
    <w:rsid w:val="0091707C"/>
    <w:rsid w:val="00917114"/>
    <w:rsid w:val="00917C46"/>
    <w:rsid w:val="00917EA2"/>
    <w:rsid w:val="009201B6"/>
    <w:rsid w:val="0092173A"/>
    <w:rsid w:val="009229E4"/>
    <w:rsid w:val="00922A87"/>
    <w:rsid w:val="00922C67"/>
    <w:rsid w:val="00922F13"/>
    <w:rsid w:val="0092348F"/>
    <w:rsid w:val="00923863"/>
    <w:rsid w:val="0092480A"/>
    <w:rsid w:val="009249C3"/>
    <w:rsid w:val="0092523E"/>
    <w:rsid w:val="00925AF0"/>
    <w:rsid w:val="0092655D"/>
    <w:rsid w:val="0092703B"/>
    <w:rsid w:val="00930192"/>
    <w:rsid w:val="00930476"/>
    <w:rsid w:val="009304F1"/>
    <w:rsid w:val="00930F14"/>
    <w:rsid w:val="00931A37"/>
    <w:rsid w:val="00931AAD"/>
    <w:rsid w:val="009320D1"/>
    <w:rsid w:val="009329B2"/>
    <w:rsid w:val="00932CC5"/>
    <w:rsid w:val="00932D60"/>
    <w:rsid w:val="0093359C"/>
    <w:rsid w:val="00933D04"/>
    <w:rsid w:val="00933FA0"/>
    <w:rsid w:val="009340D0"/>
    <w:rsid w:val="00934AF7"/>
    <w:rsid w:val="00934D81"/>
    <w:rsid w:val="0093610A"/>
    <w:rsid w:val="009367CC"/>
    <w:rsid w:val="009369D0"/>
    <w:rsid w:val="00937735"/>
    <w:rsid w:val="0094045A"/>
    <w:rsid w:val="0094051D"/>
    <w:rsid w:val="00940F7E"/>
    <w:rsid w:val="0094103D"/>
    <w:rsid w:val="0094188A"/>
    <w:rsid w:val="00942031"/>
    <w:rsid w:val="009427C6"/>
    <w:rsid w:val="00942C8C"/>
    <w:rsid w:val="009441E6"/>
    <w:rsid w:val="00944410"/>
    <w:rsid w:val="009446F2"/>
    <w:rsid w:val="00944B5B"/>
    <w:rsid w:val="00944C11"/>
    <w:rsid w:val="00944F36"/>
    <w:rsid w:val="0094547B"/>
    <w:rsid w:val="00945727"/>
    <w:rsid w:val="00945EE9"/>
    <w:rsid w:val="0094608D"/>
    <w:rsid w:val="00946660"/>
    <w:rsid w:val="00947578"/>
    <w:rsid w:val="00947AAA"/>
    <w:rsid w:val="00947AC7"/>
    <w:rsid w:val="00947C9D"/>
    <w:rsid w:val="00947F3A"/>
    <w:rsid w:val="00951E92"/>
    <w:rsid w:val="00951F92"/>
    <w:rsid w:val="00952065"/>
    <w:rsid w:val="0095254A"/>
    <w:rsid w:val="00952785"/>
    <w:rsid w:val="00952A84"/>
    <w:rsid w:val="00952C39"/>
    <w:rsid w:val="009533DB"/>
    <w:rsid w:val="00953EFF"/>
    <w:rsid w:val="00954E06"/>
    <w:rsid w:val="009568B6"/>
    <w:rsid w:val="0095747C"/>
    <w:rsid w:val="009601AD"/>
    <w:rsid w:val="009606B1"/>
    <w:rsid w:val="009606CC"/>
    <w:rsid w:val="009608CD"/>
    <w:rsid w:val="00960ABD"/>
    <w:rsid w:val="009616CC"/>
    <w:rsid w:val="0096184E"/>
    <w:rsid w:val="00961BD7"/>
    <w:rsid w:val="0096245A"/>
    <w:rsid w:val="009626D3"/>
    <w:rsid w:val="009639B7"/>
    <w:rsid w:val="00963D85"/>
    <w:rsid w:val="0096527A"/>
    <w:rsid w:val="00965382"/>
    <w:rsid w:val="00966211"/>
    <w:rsid w:val="009663F2"/>
    <w:rsid w:val="009665D7"/>
    <w:rsid w:val="009667A6"/>
    <w:rsid w:val="00966F26"/>
    <w:rsid w:val="00970099"/>
    <w:rsid w:val="009702FA"/>
    <w:rsid w:val="00970373"/>
    <w:rsid w:val="00971937"/>
    <w:rsid w:val="00971B37"/>
    <w:rsid w:val="009721D8"/>
    <w:rsid w:val="0097373C"/>
    <w:rsid w:val="0097384A"/>
    <w:rsid w:val="00974476"/>
    <w:rsid w:val="00974A1D"/>
    <w:rsid w:val="00974D06"/>
    <w:rsid w:val="0097506A"/>
    <w:rsid w:val="009751DE"/>
    <w:rsid w:val="00975225"/>
    <w:rsid w:val="009752BF"/>
    <w:rsid w:val="009754E9"/>
    <w:rsid w:val="009756CF"/>
    <w:rsid w:val="00975D35"/>
    <w:rsid w:val="00975ED2"/>
    <w:rsid w:val="0097638B"/>
    <w:rsid w:val="00976402"/>
    <w:rsid w:val="009768C4"/>
    <w:rsid w:val="00976A7E"/>
    <w:rsid w:val="009770AC"/>
    <w:rsid w:val="0098017C"/>
    <w:rsid w:val="009803EF"/>
    <w:rsid w:val="00980BFD"/>
    <w:rsid w:val="009813E4"/>
    <w:rsid w:val="00981AB2"/>
    <w:rsid w:val="00981CC0"/>
    <w:rsid w:val="00981D2F"/>
    <w:rsid w:val="0098204B"/>
    <w:rsid w:val="00982960"/>
    <w:rsid w:val="00982974"/>
    <w:rsid w:val="00983796"/>
    <w:rsid w:val="00983BC4"/>
    <w:rsid w:val="00983BD7"/>
    <w:rsid w:val="00983C99"/>
    <w:rsid w:val="00983E06"/>
    <w:rsid w:val="00983FCD"/>
    <w:rsid w:val="0098521E"/>
    <w:rsid w:val="0098557A"/>
    <w:rsid w:val="009856FE"/>
    <w:rsid w:val="009859F3"/>
    <w:rsid w:val="00985E9B"/>
    <w:rsid w:val="0098646E"/>
    <w:rsid w:val="00986904"/>
    <w:rsid w:val="00986B18"/>
    <w:rsid w:val="00986B8A"/>
    <w:rsid w:val="00987FE3"/>
    <w:rsid w:val="0099007F"/>
    <w:rsid w:val="009904CE"/>
    <w:rsid w:val="00990646"/>
    <w:rsid w:val="00990EE4"/>
    <w:rsid w:val="00990FF3"/>
    <w:rsid w:val="00991101"/>
    <w:rsid w:val="009916B3"/>
    <w:rsid w:val="009918E4"/>
    <w:rsid w:val="009925B9"/>
    <w:rsid w:val="009928EA"/>
    <w:rsid w:val="009945A6"/>
    <w:rsid w:val="00994936"/>
    <w:rsid w:val="009952C0"/>
    <w:rsid w:val="00995ED9"/>
    <w:rsid w:val="009964A4"/>
    <w:rsid w:val="00996C76"/>
    <w:rsid w:val="00997787"/>
    <w:rsid w:val="00997CAA"/>
    <w:rsid w:val="00997E38"/>
    <w:rsid w:val="00997EBC"/>
    <w:rsid w:val="009A036E"/>
    <w:rsid w:val="009A07B0"/>
    <w:rsid w:val="009A1A89"/>
    <w:rsid w:val="009A2825"/>
    <w:rsid w:val="009A2AB5"/>
    <w:rsid w:val="009A2CBE"/>
    <w:rsid w:val="009A3545"/>
    <w:rsid w:val="009A4025"/>
    <w:rsid w:val="009A437F"/>
    <w:rsid w:val="009A5257"/>
    <w:rsid w:val="009A5A68"/>
    <w:rsid w:val="009A5A76"/>
    <w:rsid w:val="009A5B7F"/>
    <w:rsid w:val="009A5DAB"/>
    <w:rsid w:val="009A6DBB"/>
    <w:rsid w:val="009A7DEA"/>
    <w:rsid w:val="009B05EA"/>
    <w:rsid w:val="009B11A3"/>
    <w:rsid w:val="009B1393"/>
    <w:rsid w:val="009B23C6"/>
    <w:rsid w:val="009B28FA"/>
    <w:rsid w:val="009B3E37"/>
    <w:rsid w:val="009B3F01"/>
    <w:rsid w:val="009B4186"/>
    <w:rsid w:val="009B44B7"/>
    <w:rsid w:val="009B4BB2"/>
    <w:rsid w:val="009B5456"/>
    <w:rsid w:val="009B6158"/>
    <w:rsid w:val="009B6314"/>
    <w:rsid w:val="009B6CB5"/>
    <w:rsid w:val="009B7E93"/>
    <w:rsid w:val="009C053F"/>
    <w:rsid w:val="009C0A73"/>
    <w:rsid w:val="009C0F83"/>
    <w:rsid w:val="009C17EE"/>
    <w:rsid w:val="009C1BA9"/>
    <w:rsid w:val="009C3274"/>
    <w:rsid w:val="009C3394"/>
    <w:rsid w:val="009C3C34"/>
    <w:rsid w:val="009C42C6"/>
    <w:rsid w:val="009C4DD1"/>
    <w:rsid w:val="009C510E"/>
    <w:rsid w:val="009C5251"/>
    <w:rsid w:val="009C5D31"/>
    <w:rsid w:val="009C650F"/>
    <w:rsid w:val="009C7064"/>
    <w:rsid w:val="009C7125"/>
    <w:rsid w:val="009C7FF7"/>
    <w:rsid w:val="009D046D"/>
    <w:rsid w:val="009D06AC"/>
    <w:rsid w:val="009D0FD6"/>
    <w:rsid w:val="009D1080"/>
    <w:rsid w:val="009D13EF"/>
    <w:rsid w:val="009D1855"/>
    <w:rsid w:val="009D1D68"/>
    <w:rsid w:val="009D2074"/>
    <w:rsid w:val="009D26D5"/>
    <w:rsid w:val="009D27D6"/>
    <w:rsid w:val="009D27E5"/>
    <w:rsid w:val="009D329F"/>
    <w:rsid w:val="009D32FF"/>
    <w:rsid w:val="009D4353"/>
    <w:rsid w:val="009D4930"/>
    <w:rsid w:val="009D4D40"/>
    <w:rsid w:val="009D5030"/>
    <w:rsid w:val="009D510F"/>
    <w:rsid w:val="009D5240"/>
    <w:rsid w:val="009D578C"/>
    <w:rsid w:val="009D63C8"/>
    <w:rsid w:val="009D6546"/>
    <w:rsid w:val="009D6A4F"/>
    <w:rsid w:val="009D6AA1"/>
    <w:rsid w:val="009D6DFD"/>
    <w:rsid w:val="009D70D7"/>
    <w:rsid w:val="009D71AC"/>
    <w:rsid w:val="009D727C"/>
    <w:rsid w:val="009D7F11"/>
    <w:rsid w:val="009E0722"/>
    <w:rsid w:val="009E07A7"/>
    <w:rsid w:val="009E0992"/>
    <w:rsid w:val="009E0E55"/>
    <w:rsid w:val="009E0ECF"/>
    <w:rsid w:val="009E0FAB"/>
    <w:rsid w:val="009E106C"/>
    <w:rsid w:val="009E159E"/>
    <w:rsid w:val="009E1863"/>
    <w:rsid w:val="009E1F74"/>
    <w:rsid w:val="009E2597"/>
    <w:rsid w:val="009E3C03"/>
    <w:rsid w:val="009E3DA6"/>
    <w:rsid w:val="009E4D8B"/>
    <w:rsid w:val="009E4E35"/>
    <w:rsid w:val="009E5385"/>
    <w:rsid w:val="009E5533"/>
    <w:rsid w:val="009E5629"/>
    <w:rsid w:val="009E5CC1"/>
    <w:rsid w:val="009E5D17"/>
    <w:rsid w:val="009E5EB3"/>
    <w:rsid w:val="009E660E"/>
    <w:rsid w:val="009E75B3"/>
    <w:rsid w:val="009E793A"/>
    <w:rsid w:val="009E7AF3"/>
    <w:rsid w:val="009E7DA9"/>
    <w:rsid w:val="009F0431"/>
    <w:rsid w:val="009F22EB"/>
    <w:rsid w:val="009F24F1"/>
    <w:rsid w:val="009F2647"/>
    <w:rsid w:val="009F38FA"/>
    <w:rsid w:val="009F3F70"/>
    <w:rsid w:val="009F42B2"/>
    <w:rsid w:val="009F437E"/>
    <w:rsid w:val="009F438A"/>
    <w:rsid w:val="009F441C"/>
    <w:rsid w:val="009F46DA"/>
    <w:rsid w:val="009F4A78"/>
    <w:rsid w:val="009F4B53"/>
    <w:rsid w:val="009F59AA"/>
    <w:rsid w:val="009F5C82"/>
    <w:rsid w:val="009F5E26"/>
    <w:rsid w:val="009F5EF0"/>
    <w:rsid w:val="009F6636"/>
    <w:rsid w:val="009F6A14"/>
    <w:rsid w:val="009F7201"/>
    <w:rsid w:val="00A00345"/>
    <w:rsid w:val="00A0169B"/>
    <w:rsid w:val="00A0215F"/>
    <w:rsid w:val="00A03A35"/>
    <w:rsid w:val="00A03BE5"/>
    <w:rsid w:val="00A040B3"/>
    <w:rsid w:val="00A04438"/>
    <w:rsid w:val="00A04C95"/>
    <w:rsid w:val="00A062CA"/>
    <w:rsid w:val="00A06838"/>
    <w:rsid w:val="00A0694F"/>
    <w:rsid w:val="00A07C5B"/>
    <w:rsid w:val="00A07FED"/>
    <w:rsid w:val="00A111F8"/>
    <w:rsid w:val="00A117A6"/>
    <w:rsid w:val="00A11FC7"/>
    <w:rsid w:val="00A12004"/>
    <w:rsid w:val="00A120EA"/>
    <w:rsid w:val="00A122E2"/>
    <w:rsid w:val="00A12FC1"/>
    <w:rsid w:val="00A13148"/>
    <w:rsid w:val="00A1364F"/>
    <w:rsid w:val="00A13AD2"/>
    <w:rsid w:val="00A147D4"/>
    <w:rsid w:val="00A14B1A"/>
    <w:rsid w:val="00A14DA1"/>
    <w:rsid w:val="00A14FD1"/>
    <w:rsid w:val="00A1501B"/>
    <w:rsid w:val="00A156D4"/>
    <w:rsid w:val="00A15852"/>
    <w:rsid w:val="00A16102"/>
    <w:rsid w:val="00A16B28"/>
    <w:rsid w:val="00A171D3"/>
    <w:rsid w:val="00A172A5"/>
    <w:rsid w:val="00A17E4D"/>
    <w:rsid w:val="00A20798"/>
    <w:rsid w:val="00A20CFA"/>
    <w:rsid w:val="00A20FAB"/>
    <w:rsid w:val="00A22297"/>
    <w:rsid w:val="00A222E7"/>
    <w:rsid w:val="00A229F5"/>
    <w:rsid w:val="00A2307D"/>
    <w:rsid w:val="00A23776"/>
    <w:rsid w:val="00A237B0"/>
    <w:rsid w:val="00A23837"/>
    <w:rsid w:val="00A23982"/>
    <w:rsid w:val="00A23AE7"/>
    <w:rsid w:val="00A24071"/>
    <w:rsid w:val="00A249D5"/>
    <w:rsid w:val="00A267C5"/>
    <w:rsid w:val="00A26BB1"/>
    <w:rsid w:val="00A27540"/>
    <w:rsid w:val="00A277B8"/>
    <w:rsid w:val="00A27EC6"/>
    <w:rsid w:val="00A30000"/>
    <w:rsid w:val="00A30545"/>
    <w:rsid w:val="00A30B90"/>
    <w:rsid w:val="00A31B10"/>
    <w:rsid w:val="00A31D38"/>
    <w:rsid w:val="00A32E2B"/>
    <w:rsid w:val="00A330C6"/>
    <w:rsid w:val="00A33943"/>
    <w:rsid w:val="00A3435A"/>
    <w:rsid w:val="00A34A00"/>
    <w:rsid w:val="00A34C37"/>
    <w:rsid w:val="00A34DD2"/>
    <w:rsid w:val="00A36883"/>
    <w:rsid w:val="00A37128"/>
    <w:rsid w:val="00A404C0"/>
    <w:rsid w:val="00A4088B"/>
    <w:rsid w:val="00A408F6"/>
    <w:rsid w:val="00A40FEB"/>
    <w:rsid w:val="00A4144B"/>
    <w:rsid w:val="00A42211"/>
    <w:rsid w:val="00A4286C"/>
    <w:rsid w:val="00A43303"/>
    <w:rsid w:val="00A43371"/>
    <w:rsid w:val="00A434B9"/>
    <w:rsid w:val="00A438B0"/>
    <w:rsid w:val="00A442D6"/>
    <w:rsid w:val="00A44421"/>
    <w:rsid w:val="00A44C62"/>
    <w:rsid w:val="00A44E60"/>
    <w:rsid w:val="00A44F51"/>
    <w:rsid w:val="00A4520D"/>
    <w:rsid w:val="00A45A86"/>
    <w:rsid w:val="00A47620"/>
    <w:rsid w:val="00A47E70"/>
    <w:rsid w:val="00A507A2"/>
    <w:rsid w:val="00A51BDF"/>
    <w:rsid w:val="00A51CA9"/>
    <w:rsid w:val="00A51DE8"/>
    <w:rsid w:val="00A52394"/>
    <w:rsid w:val="00A5271E"/>
    <w:rsid w:val="00A529FF"/>
    <w:rsid w:val="00A53589"/>
    <w:rsid w:val="00A53927"/>
    <w:rsid w:val="00A54C21"/>
    <w:rsid w:val="00A5640D"/>
    <w:rsid w:val="00A56543"/>
    <w:rsid w:val="00A56E1C"/>
    <w:rsid w:val="00A5740D"/>
    <w:rsid w:val="00A57627"/>
    <w:rsid w:val="00A57C3D"/>
    <w:rsid w:val="00A57DF0"/>
    <w:rsid w:val="00A57E01"/>
    <w:rsid w:val="00A57FBD"/>
    <w:rsid w:val="00A57FFB"/>
    <w:rsid w:val="00A603FA"/>
    <w:rsid w:val="00A61CFC"/>
    <w:rsid w:val="00A61D84"/>
    <w:rsid w:val="00A6259C"/>
    <w:rsid w:val="00A629B4"/>
    <w:rsid w:val="00A632E8"/>
    <w:rsid w:val="00A6338F"/>
    <w:rsid w:val="00A63B91"/>
    <w:rsid w:val="00A63CD4"/>
    <w:rsid w:val="00A63DB8"/>
    <w:rsid w:val="00A63EA5"/>
    <w:rsid w:val="00A63FDA"/>
    <w:rsid w:val="00A6564A"/>
    <w:rsid w:val="00A65676"/>
    <w:rsid w:val="00A672AE"/>
    <w:rsid w:val="00A675D4"/>
    <w:rsid w:val="00A67A52"/>
    <w:rsid w:val="00A701C6"/>
    <w:rsid w:val="00A70537"/>
    <w:rsid w:val="00A719D1"/>
    <w:rsid w:val="00A723F5"/>
    <w:rsid w:val="00A72A60"/>
    <w:rsid w:val="00A73353"/>
    <w:rsid w:val="00A7404B"/>
    <w:rsid w:val="00A74848"/>
    <w:rsid w:val="00A74BAF"/>
    <w:rsid w:val="00A751E7"/>
    <w:rsid w:val="00A752CC"/>
    <w:rsid w:val="00A7532B"/>
    <w:rsid w:val="00A76F67"/>
    <w:rsid w:val="00A775BA"/>
    <w:rsid w:val="00A777FA"/>
    <w:rsid w:val="00A77BE1"/>
    <w:rsid w:val="00A8124A"/>
    <w:rsid w:val="00A81D6B"/>
    <w:rsid w:val="00A81FC5"/>
    <w:rsid w:val="00A82D50"/>
    <w:rsid w:val="00A83BF9"/>
    <w:rsid w:val="00A84126"/>
    <w:rsid w:val="00A84279"/>
    <w:rsid w:val="00A84882"/>
    <w:rsid w:val="00A848A9"/>
    <w:rsid w:val="00A856DD"/>
    <w:rsid w:val="00A85DF2"/>
    <w:rsid w:val="00A85E9C"/>
    <w:rsid w:val="00A85F33"/>
    <w:rsid w:val="00A863A6"/>
    <w:rsid w:val="00A8761B"/>
    <w:rsid w:val="00A8769D"/>
    <w:rsid w:val="00A876A0"/>
    <w:rsid w:val="00A87794"/>
    <w:rsid w:val="00A87936"/>
    <w:rsid w:val="00A87CA2"/>
    <w:rsid w:val="00A90247"/>
    <w:rsid w:val="00A90AAD"/>
    <w:rsid w:val="00A91EFB"/>
    <w:rsid w:val="00A9223E"/>
    <w:rsid w:val="00A9271E"/>
    <w:rsid w:val="00A927B3"/>
    <w:rsid w:val="00A92967"/>
    <w:rsid w:val="00A92ED3"/>
    <w:rsid w:val="00A9316A"/>
    <w:rsid w:val="00A93371"/>
    <w:rsid w:val="00A93E75"/>
    <w:rsid w:val="00A9435E"/>
    <w:rsid w:val="00A944D8"/>
    <w:rsid w:val="00A94756"/>
    <w:rsid w:val="00A95495"/>
    <w:rsid w:val="00A956F1"/>
    <w:rsid w:val="00A96173"/>
    <w:rsid w:val="00A965A6"/>
    <w:rsid w:val="00A97368"/>
    <w:rsid w:val="00AA0221"/>
    <w:rsid w:val="00AA0600"/>
    <w:rsid w:val="00AA0718"/>
    <w:rsid w:val="00AA089A"/>
    <w:rsid w:val="00AA0AE3"/>
    <w:rsid w:val="00AA0C90"/>
    <w:rsid w:val="00AA120C"/>
    <w:rsid w:val="00AA19C9"/>
    <w:rsid w:val="00AA228E"/>
    <w:rsid w:val="00AA2BDB"/>
    <w:rsid w:val="00AA3592"/>
    <w:rsid w:val="00AA4345"/>
    <w:rsid w:val="00AA4949"/>
    <w:rsid w:val="00AA4E46"/>
    <w:rsid w:val="00AA52FE"/>
    <w:rsid w:val="00AA5929"/>
    <w:rsid w:val="00AA5D27"/>
    <w:rsid w:val="00AA61D4"/>
    <w:rsid w:val="00AA6B1A"/>
    <w:rsid w:val="00AA6C26"/>
    <w:rsid w:val="00AA7859"/>
    <w:rsid w:val="00AB04C6"/>
    <w:rsid w:val="00AB0727"/>
    <w:rsid w:val="00AB0ACE"/>
    <w:rsid w:val="00AB0BE2"/>
    <w:rsid w:val="00AB14B9"/>
    <w:rsid w:val="00AB1B96"/>
    <w:rsid w:val="00AB2ECA"/>
    <w:rsid w:val="00AB332D"/>
    <w:rsid w:val="00AB3D61"/>
    <w:rsid w:val="00AB3F9D"/>
    <w:rsid w:val="00AB401D"/>
    <w:rsid w:val="00AB413F"/>
    <w:rsid w:val="00AB4988"/>
    <w:rsid w:val="00AB59BA"/>
    <w:rsid w:val="00AB6406"/>
    <w:rsid w:val="00AB6A64"/>
    <w:rsid w:val="00AB6B1A"/>
    <w:rsid w:val="00AC052F"/>
    <w:rsid w:val="00AC12A9"/>
    <w:rsid w:val="00AC13B5"/>
    <w:rsid w:val="00AC15CE"/>
    <w:rsid w:val="00AC1B18"/>
    <w:rsid w:val="00AC2323"/>
    <w:rsid w:val="00AC2A5A"/>
    <w:rsid w:val="00AC32F6"/>
    <w:rsid w:val="00AC33F8"/>
    <w:rsid w:val="00AC4CAF"/>
    <w:rsid w:val="00AC50E8"/>
    <w:rsid w:val="00AC59FE"/>
    <w:rsid w:val="00AC5BB7"/>
    <w:rsid w:val="00AC6D00"/>
    <w:rsid w:val="00AC756F"/>
    <w:rsid w:val="00AC7872"/>
    <w:rsid w:val="00AD063B"/>
    <w:rsid w:val="00AD10D1"/>
    <w:rsid w:val="00AD1213"/>
    <w:rsid w:val="00AD1333"/>
    <w:rsid w:val="00AD2B59"/>
    <w:rsid w:val="00AD627A"/>
    <w:rsid w:val="00AD6452"/>
    <w:rsid w:val="00AD6D9E"/>
    <w:rsid w:val="00AD6ECC"/>
    <w:rsid w:val="00AD7556"/>
    <w:rsid w:val="00AE05C0"/>
    <w:rsid w:val="00AE0737"/>
    <w:rsid w:val="00AE0D3C"/>
    <w:rsid w:val="00AE0F7F"/>
    <w:rsid w:val="00AE106F"/>
    <w:rsid w:val="00AE1802"/>
    <w:rsid w:val="00AE1EB5"/>
    <w:rsid w:val="00AE1F61"/>
    <w:rsid w:val="00AE2174"/>
    <w:rsid w:val="00AE239A"/>
    <w:rsid w:val="00AE27E7"/>
    <w:rsid w:val="00AE54CE"/>
    <w:rsid w:val="00AE58ED"/>
    <w:rsid w:val="00AE6577"/>
    <w:rsid w:val="00AE676F"/>
    <w:rsid w:val="00AE7197"/>
    <w:rsid w:val="00AE76E0"/>
    <w:rsid w:val="00AE780D"/>
    <w:rsid w:val="00AF0A06"/>
    <w:rsid w:val="00AF1001"/>
    <w:rsid w:val="00AF11D9"/>
    <w:rsid w:val="00AF13C2"/>
    <w:rsid w:val="00AF20CC"/>
    <w:rsid w:val="00AF2756"/>
    <w:rsid w:val="00AF2A9F"/>
    <w:rsid w:val="00AF2C14"/>
    <w:rsid w:val="00AF3004"/>
    <w:rsid w:val="00AF3AED"/>
    <w:rsid w:val="00AF3C59"/>
    <w:rsid w:val="00AF426F"/>
    <w:rsid w:val="00AF5AC2"/>
    <w:rsid w:val="00AF5B9C"/>
    <w:rsid w:val="00AF61ED"/>
    <w:rsid w:val="00AF67AF"/>
    <w:rsid w:val="00AF6FF7"/>
    <w:rsid w:val="00AF74E2"/>
    <w:rsid w:val="00AF7974"/>
    <w:rsid w:val="00AF7C06"/>
    <w:rsid w:val="00B00367"/>
    <w:rsid w:val="00B0051A"/>
    <w:rsid w:val="00B00AD7"/>
    <w:rsid w:val="00B00F20"/>
    <w:rsid w:val="00B00FD6"/>
    <w:rsid w:val="00B01B63"/>
    <w:rsid w:val="00B02145"/>
    <w:rsid w:val="00B02ABE"/>
    <w:rsid w:val="00B03B53"/>
    <w:rsid w:val="00B04E33"/>
    <w:rsid w:val="00B05494"/>
    <w:rsid w:val="00B0581A"/>
    <w:rsid w:val="00B059C4"/>
    <w:rsid w:val="00B05A45"/>
    <w:rsid w:val="00B05F3B"/>
    <w:rsid w:val="00B0647F"/>
    <w:rsid w:val="00B06583"/>
    <w:rsid w:val="00B07170"/>
    <w:rsid w:val="00B07C8A"/>
    <w:rsid w:val="00B103F3"/>
    <w:rsid w:val="00B120DF"/>
    <w:rsid w:val="00B127C3"/>
    <w:rsid w:val="00B12B7B"/>
    <w:rsid w:val="00B12F88"/>
    <w:rsid w:val="00B13452"/>
    <w:rsid w:val="00B13A1B"/>
    <w:rsid w:val="00B13D6F"/>
    <w:rsid w:val="00B141B8"/>
    <w:rsid w:val="00B1525B"/>
    <w:rsid w:val="00B15399"/>
    <w:rsid w:val="00B15478"/>
    <w:rsid w:val="00B15592"/>
    <w:rsid w:val="00B15C2D"/>
    <w:rsid w:val="00B16598"/>
    <w:rsid w:val="00B16CF4"/>
    <w:rsid w:val="00B174AA"/>
    <w:rsid w:val="00B176AC"/>
    <w:rsid w:val="00B17BFD"/>
    <w:rsid w:val="00B20303"/>
    <w:rsid w:val="00B20360"/>
    <w:rsid w:val="00B20593"/>
    <w:rsid w:val="00B2109C"/>
    <w:rsid w:val="00B214EB"/>
    <w:rsid w:val="00B21D7E"/>
    <w:rsid w:val="00B221D7"/>
    <w:rsid w:val="00B22434"/>
    <w:rsid w:val="00B228AC"/>
    <w:rsid w:val="00B2317E"/>
    <w:rsid w:val="00B23F77"/>
    <w:rsid w:val="00B242CC"/>
    <w:rsid w:val="00B248E7"/>
    <w:rsid w:val="00B24B4A"/>
    <w:rsid w:val="00B25D7F"/>
    <w:rsid w:val="00B26027"/>
    <w:rsid w:val="00B26276"/>
    <w:rsid w:val="00B26DD9"/>
    <w:rsid w:val="00B3013F"/>
    <w:rsid w:val="00B30A50"/>
    <w:rsid w:val="00B30A84"/>
    <w:rsid w:val="00B30D1F"/>
    <w:rsid w:val="00B30D5B"/>
    <w:rsid w:val="00B3233B"/>
    <w:rsid w:val="00B32AF3"/>
    <w:rsid w:val="00B32B69"/>
    <w:rsid w:val="00B32C38"/>
    <w:rsid w:val="00B334C4"/>
    <w:rsid w:val="00B3356B"/>
    <w:rsid w:val="00B33E27"/>
    <w:rsid w:val="00B33F69"/>
    <w:rsid w:val="00B34377"/>
    <w:rsid w:val="00B355B8"/>
    <w:rsid w:val="00B35AB9"/>
    <w:rsid w:val="00B374EA"/>
    <w:rsid w:val="00B375EA"/>
    <w:rsid w:val="00B400ED"/>
    <w:rsid w:val="00B4061D"/>
    <w:rsid w:val="00B40EE3"/>
    <w:rsid w:val="00B40F3E"/>
    <w:rsid w:val="00B4114B"/>
    <w:rsid w:val="00B419EF"/>
    <w:rsid w:val="00B41D33"/>
    <w:rsid w:val="00B42BE0"/>
    <w:rsid w:val="00B42F26"/>
    <w:rsid w:val="00B430A0"/>
    <w:rsid w:val="00B437E0"/>
    <w:rsid w:val="00B442D7"/>
    <w:rsid w:val="00B446F7"/>
    <w:rsid w:val="00B44DDE"/>
    <w:rsid w:val="00B45809"/>
    <w:rsid w:val="00B46C17"/>
    <w:rsid w:val="00B46C80"/>
    <w:rsid w:val="00B471F1"/>
    <w:rsid w:val="00B4777C"/>
    <w:rsid w:val="00B47BF5"/>
    <w:rsid w:val="00B47F21"/>
    <w:rsid w:val="00B50030"/>
    <w:rsid w:val="00B5286D"/>
    <w:rsid w:val="00B52A59"/>
    <w:rsid w:val="00B54EDB"/>
    <w:rsid w:val="00B55957"/>
    <w:rsid w:val="00B55B4F"/>
    <w:rsid w:val="00B55C3A"/>
    <w:rsid w:val="00B56457"/>
    <w:rsid w:val="00B568E2"/>
    <w:rsid w:val="00B56AEA"/>
    <w:rsid w:val="00B56B62"/>
    <w:rsid w:val="00B57BD8"/>
    <w:rsid w:val="00B60864"/>
    <w:rsid w:val="00B60B1D"/>
    <w:rsid w:val="00B6219B"/>
    <w:rsid w:val="00B63461"/>
    <w:rsid w:val="00B6441F"/>
    <w:rsid w:val="00B64BB2"/>
    <w:rsid w:val="00B66075"/>
    <w:rsid w:val="00B660D6"/>
    <w:rsid w:val="00B668A9"/>
    <w:rsid w:val="00B675B3"/>
    <w:rsid w:val="00B678BB"/>
    <w:rsid w:val="00B67B9F"/>
    <w:rsid w:val="00B70036"/>
    <w:rsid w:val="00B7058C"/>
    <w:rsid w:val="00B70672"/>
    <w:rsid w:val="00B70A01"/>
    <w:rsid w:val="00B711C7"/>
    <w:rsid w:val="00B71353"/>
    <w:rsid w:val="00B71F19"/>
    <w:rsid w:val="00B724E4"/>
    <w:rsid w:val="00B73260"/>
    <w:rsid w:val="00B73E50"/>
    <w:rsid w:val="00B740CB"/>
    <w:rsid w:val="00B748FB"/>
    <w:rsid w:val="00B74E09"/>
    <w:rsid w:val="00B750FA"/>
    <w:rsid w:val="00B8060D"/>
    <w:rsid w:val="00B808FE"/>
    <w:rsid w:val="00B8093C"/>
    <w:rsid w:val="00B81E5F"/>
    <w:rsid w:val="00B824EC"/>
    <w:rsid w:val="00B82C3E"/>
    <w:rsid w:val="00B82C9C"/>
    <w:rsid w:val="00B82DE3"/>
    <w:rsid w:val="00B83114"/>
    <w:rsid w:val="00B837B9"/>
    <w:rsid w:val="00B83DF3"/>
    <w:rsid w:val="00B83E0F"/>
    <w:rsid w:val="00B84D09"/>
    <w:rsid w:val="00B850A4"/>
    <w:rsid w:val="00B85210"/>
    <w:rsid w:val="00B85284"/>
    <w:rsid w:val="00B853E2"/>
    <w:rsid w:val="00B85961"/>
    <w:rsid w:val="00B859BB"/>
    <w:rsid w:val="00B861F5"/>
    <w:rsid w:val="00B8692F"/>
    <w:rsid w:val="00B86F67"/>
    <w:rsid w:val="00B873C1"/>
    <w:rsid w:val="00B8765E"/>
    <w:rsid w:val="00B879D1"/>
    <w:rsid w:val="00B911CB"/>
    <w:rsid w:val="00B91544"/>
    <w:rsid w:val="00B91F0C"/>
    <w:rsid w:val="00B925E7"/>
    <w:rsid w:val="00B92A8A"/>
    <w:rsid w:val="00B92CE2"/>
    <w:rsid w:val="00B92E21"/>
    <w:rsid w:val="00B9393D"/>
    <w:rsid w:val="00B93BFC"/>
    <w:rsid w:val="00B93EA7"/>
    <w:rsid w:val="00B94A63"/>
    <w:rsid w:val="00B94D17"/>
    <w:rsid w:val="00B94DBE"/>
    <w:rsid w:val="00B9553D"/>
    <w:rsid w:val="00B95E91"/>
    <w:rsid w:val="00B96425"/>
    <w:rsid w:val="00B969AB"/>
    <w:rsid w:val="00B9778D"/>
    <w:rsid w:val="00BA010F"/>
    <w:rsid w:val="00BA02D2"/>
    <w:rsid w:val="00BA0F6B"/>
    <w:rsid w:val="00BA10E8"/>
    <w:rsid w:val="00BA21F2"/>
    <w:rsid w:val="00BA2A9C"/>
    <w:rsid w:val="00BA2D08"/>
    <w:rsid w:val="00BA412A"/>
    <w:rsid w:val="00BA447A"/>
    <w:rsid w:val="00BA46E1"/>
    <w:rsid w:val="00BA47E8"/>
    <w:rsid w:val="00BA59B2"/>
    <w:rsid w:val="00BA5B33"/>
    <w:rsid w:val="00BA5DF3"/>
    <w:rsid w:val="00BA62C7"/>
    <w:rsid w:val="00BA657A"/>
    <w:rsid w:val="00BA67B3"/>
    <w:rsid w:val="00BA6BF1"/>
    <w:rsid w:val="00BA7025"/>
    <w:rsid w:val="00BA7068"/>
    <w:rsid w:val="00BA7256"/>
    <w:rsid w:val="00BA7378"/>
    <w:rsid w:val="00BA74E1"/>
    <w:rsid w:val="00BA7DDD"/>
    <w:rsid w:val="00BB042D"/>
    <w:rsid w:val="00BB0A61"/>
    <w:rsid w:val="00BB1191"/>
    <w:rsid w:val="00BB1662"/>
    <w:rsid w:val="00BB1677"/>
    <w:rsid w:val="00BB1E4F"/>
    <w:rsid w:val="00BB24A1"/>
    <w:rsid w:val="00BB28F5"/>
    <w:rsid w:val="00BB2E3D"/>
    <w:rsid w:val="00BB3106"/>
    <w:rsid w:val="00BB3D23"/>
    <w:rsid w:val="00BB47F9"/>
    <w:rsid w:val="00BB5130"/>
    <w:rsid w:val="00BB60A5"/>
    <w:rsid w:val="00BB63C9"/>
    <w:rsid w:val="00BB76B1"/>
    <w:rsid w:val="00BB76D5"/>
    <w:rsid w:val="00BB7807"/>
    <w:rsid w:val="00BB7D6E"/>
    <w:rsid w:val="00BB7FD3"/>
    <w:rsid w:val="00BC0648"/>
    <w:rsid w:val="00BC09BB"/>
    <w:rsid w:val="00BC0DAA"/>
    <w:rsid w:val="00BC1449"/>
    <w:rsid w:val="00BC23B0"/>
    <w:rsid w:val="00BC31F6"/>
    <w:rsid w:val="00BC4A3F"/>
    <w:rsid w:val="00BC5137"/>
    <w:rsid w:val="00BC56BA"/>
    <w:rsid w:val="00BC620F"/>
    <w:rsid w:val="00BC65B6"/>
    <w:rsid w:val="00BC6793"/>
    <w:rsid w:val="00BC70B5"/>
    <w:rsid w:val="00BC7EAD"/>
    <w:rsid w:val="00BD02EC"/>
    <w:rsid w:val="00BD036A"/>
    <w:rsid w:val="00BD03C9"/>
    <w:rsid w:val="00BD0CF2"/>
    <w:rsid w:val="00BD110D"/>
    <w:rsid w:val="00BD1383"/>
    <w:rsid w:val="00BD22AA"/>
    <w:rsid w:val="00BD2B0B"/>
    <w:rsid w:val="00BD3A44"/>
    <w:rsid w:val="00BD3D1B"/>
    <w:rsid w:val="00BD405D"/>
    <w:rsid w:val="00BD425E"/>
    <w:rsid w:val="00BD586E"/>
    <w:rsid w:val="00BD5A00"/>
    <w:rsid w:val="00BD5D97"/>
    <w:rsid w:val="00BD627E"/>
    <w:rsid w:val="00BD7F5E"/>
    <w:rsid w:val="00BE0002"/>
    <w:rsid w:val="00BE17B5"/>
    <w:rsid w:val="00BE1E15"/>
    <w:rsid w:val="00BE1E95"/>
    <w:rsid w:val="00BE2BAC"/>
    <w:rsid w:val="00BE4DC4"/>
    <w:rsid w:val="00BE5195"/>
    <w:rsid w:val="00BE5802"/>
    <w:rsid w:val="00BE5B04"/>
    <w:rsid w:val="00BE60DA"/>
    <w:rsid w:val="00BE71D0"/>
    <w:rsid w:val="00BE7F32"/>
    <w:rsid w:val="00BF1553"/>
    <w:rsid w:val="00BF2634"/>
    <w:rsid w:val="00BF2775"/>
    <w:rsid w:val="00BF2E2B"/>
    <w:rsid w:val="00BF32C1"/>
    <w:rsid w:val="00BF3314"/>
    <w:rsid w:val="00BF3A1F"/>
    <w:rsid w:val="00BF5595"/>
    <w:rsid w:val="00BF5873"/>
    <w:rsid w:val="00BF5A60"/>
    <w:rsid w:val="00BF5E84"/>
    <w:rsid w:val="00BF6A73"/>
    <w:rsid w:val="00BF6F81"/>
    <w:rsid w:val="00BF7103"/>
    <w:rsid w:val="00BF7796"/>
    <w:rsid w:val="00BF7B10"/>
    <w:rsid w:val="00C00709"/>
    <w:rsid w:val="00C00BC9"/>
    <w:rsid w:val="00C0123A"/>
    <w:rsid w:val="00C01DBA"/>
    <w:rsid w:val="00C02DB5"/>
    <w:rsid w:val="00C02EF8"/>
    <w:rsid w:val="00C0314E"/>
    <w:rsid w:val="00C032A4"/>
    <w:rsid w:val="00C038E7"/>
    <w:rsid w:val="00C03C04"/>
    <w:rsid w:val="00C03C20"/>
    <w:rsid w:val="00C041E3"/>
    <w:rsid w:val="00C0477A"/>
    <w:rsid w:val="00C05079"/>
    <w:rsid w:val="00C06872"/>
    <w:rsid w:val="00C06FBA"/>
    <w:rsid w:val="00C07072"/>
    <w:rsid w:val="00C105B4"/>
    <w:rsid w:val="00C10F45"/>
    <w:rsid w:val="00C11B76"/>
    <w:rsid w:val="00C11DEF"/>
    <w:rsid w:val="00C12903"/>
    <w:rsid w:val="00C12F30"/>
    <w:rsid w:val="00C13394"/>
    <w:rsid w:val="00C1371F"/>
    <w:rsid w:val="00C137FF"/>
    <w:rsid w:val="00C138DA"/>
    <w:rsid w:val="00C14AD3"/>
    <w:rsid w:val="00C14D45"/>
    <w:rsid w:val="00C1508C"/>
    <w:rsid w:val="00C1522D"/>
    <w:rsid w:val="00C158BB"/>
    <w:rsid w:val="00C15D26"/>
    <w:rsid w:val="00C1705F"/>
    <w:rsid w:val="00C171D2"/>
    <w:rsid w:val="00C1776C"/>
    <w:rsid w:val="00C17F5A"/>
    <w:rsid w:val="00C20104"/>
    <w:rsid w:val="00C20281"/>
    <w:rsid w:val="00C20636"/>
    <w:rsid w:val="00C20C90"/>
    <w:rsid w:val="00C21054"/>
    <w:rsid w:val="00C212D3"/>
    <w:rsid w:val="00C21D11"/>
    <w:rsid w:val="00C222D8"/>
    <w:rsid w:val="00C22C76"/>
    <w:rsid w:val="00C22DB9"/>
    <w:rsid w:val="00C2350D"/>
    <w:rsid w:val="00C238FB"/>
    <w:rsid w:val="00C23B33"/>
    <w:rsid w:val="00C24174"/>
    <w:rsid w:val="00C24718"/>
    <w:rsid w:val="00C25CB4"/>
    <w:rsid w:val="00C266B9"/>
    <w:rsid w:val="00C26A5D"/>
    <w:rsid w:val="00C26F76"/>
    <w:rsid w:val="00C322EF"/>
    <w:rsid w:val="00C33194"/>
    <w:rsid w:val="00C332C1"/>
    <w:rsid w:val="00C33616"/>
    <w:rsid w:val="00C339D8"/>
    <w:rsid w:val="00C344EF"/>
    <w:rsid w:val="00C35316"/>
    <w:rsid w:val="00C354E1"/>
    <w:rsid w:val="00C360E3"/>
    <w:rsid w:val="00C3672A"/>
    <w:rsid w:val="00C3733A"/>
    <w:rsid w:val="00C37562"/>
    <w:rsid w:val="00C409B1"/>
    <w:rsid w:val="00C40C78"/>
    <w:rsid w:val="00C412B9"/>
    <w:rsid w:val="00C41735"/>
    <w:rsid w:val="00C42CA5"/>
    <w:rsid w:val="00C43418"/>
    <w:rsid w:val="00C44857"/>
    <w:rsid w:val="00C4526C"/>
    <w:rsid w:val="00C457AC"/>
    <w:rsid w:val="00C45AB0"/>
    <w:rsid w:val="00C4607C"/>
    <w:rsid w:val="00C46C6E"/>
    <w:rsid w:val="00C47DAE"/>
    <w:rsid w:val="00C50401"/>
    <w:rsid w:val="00C50A6F"/>
    <w:rsid w:val="00C52369"/>
    <w:rsid w:val="00C52574"/>
    <w:rsid w:val="00C52D1C"/>
    <w:rsid w:val="00C52DD2"/>
    <w:rsid w:val="00C534F9"/>
    <w:rsid w:val="00C53797"/>
    <w:rsid w:val="00C53D1E"/>
    <w:rsid w:val="00C5512E"/>
    <w:rsid w:val="00C5532E"/>
    <w:rsid w:val="00C55434"/>
    <w:rsid w:val="00C56FC8"/>
    <w:rsid w:val="00C57D8A"/>
    <w:rsid w:val="00C6002A"/>
    <w:rsid w:val="00C601EB"/>
    <w:rsid w:val="00C60402"/>
    <w:rsid w:val="00C61383"/>
    <w:rsid w:val="00C61740"/>
    <w:rsid w:val="00C61F04"/>
    <w:rsid w:val="00C62964"/>
    <w:rsid w:val="00C62A04"/>
    <w:rsid w:val="00C62CBC"/>
    <w:rsid w:val="00C64E0B"/>
    <w:rsid w:val="00C64E3C"/>
    <w:rsid w:val="00C65B51"/>
    <w:rsid w:val="00C65CD5"/>
    <w:rsid w:val="00C67162"/>
    <w:rsid w:val="00C67B73"/>
    <w:rsid w:val="00C70059"/>
    <w:rsid w:val="00C7073C"/>
    <w:rsid w:val="00C7261A"/>
    <w:rsid w:val="00C72820"/>
    <w:rsid w:val="00C72ABC"/>
    <w:rsid w:val="00C72B38"/>
    <w:rsid w:val="00C72F2E"/>
    <w:rsid w:val="00C7379A"/>
    <w:rsid w:val="00C738B8"/>
    <w:rsid w:val="00C73C85"/>
    <w:rsid w:val="00C73D98"/>
    <w:rsid w:val="00C74791"/>
    <w:rsid w:val="00C74B73"/>
    <w:rsid w:val="00C74FB2"/>
    <w:rsid w:val="00C754FC"/>
    <w:rsid w:val="00C75757"/>
    <w:rsid w:val="00C758D6"/>
    <w:rsid w:val="00C76055"/>
    <w:rsid w:val="00C77828"/>
    <w:rsid w:val="00C779B8"/>
    <w:rsid w:val="00C77AE8"/>
    <w:rsid w:val="00C77E71"/>
    <w:rsid w:val="00C8016B"/>
    <w:rsid w:val="00C80B7E"/>
    <w:rsid w:val="00C8120B"/>
    <w:rsid w:val="00C818CB"/>
    <w:rsid w:val="00C82510"/>
    <w:rsid w:val="00C82A91"/>
    <w:rsid w:val="00C82C17"/>
    <w:rsid w:val="00C83631"/>
    <w:rsid w:val="00C83B71"/>
    <w:rsid w:val="00C842AC"/>
    <w:rsid w:val="00C844AA"/>
    <w:rsid w:val="00C849E0"/>
    <w:rsid w:val="00C85172"/>
    <w:rsid w:val="00C861CF"/>
    <w:rsid w:val="00C86796"/>
    <w:rsid w:val="00C86799"/>
    <w:rsid w:val="00C86B00"/>
    <w:rsid w:val="00C874CF"/>
    <w:rsid w:val="00C8751D"/>
    <w:rsid w:val="00C87DB6"/>
    <w:rsid w:val="00C9072F"/>
    <w:rsid w:val="00C908EE"/>
    <w:rsid w:val="00C912C8"/>
    <w:rsid w:val="00C91434"/>
    <w:rsid w:val="00C914D8"/>
    <w:rsid w:val="00C9272C"/>
    <w:rsid w:val="00C92AA4"/>
    <w:rsid w:val="00C92DDF"/>
    <w:rsid w:val="00C92E01"/>
    <w:rsid w:val="00C93785"/>
    <w:rsid w:val="00C951A2"/>
    <w:rsid w:val="00C9701A"/>
    <w:rsid w:val="00CA046C"/>
    <w:rsid w:val="00CA1191"/>
    <w:rsid w:val="00CA136D"/>
    <w:rsid w:val="00CA2191"/>
    <w:rsid w:val="00CA3074"/>
    <w:rsid w:val="00CA3F03"/>
    <w:rsid w:val="00CA410F"/>
    <w:rsid w:val="00CA4749"/>
    <w:rsid w:val="00CA5888"/>
    <w:rsid w:val="00CA58FB"/>
    <w:rsid w:val="00CA61B3"/>
    <w:rsid w:val="00CA6253"/>
    <w:rsid w:val="00CA6BA4"/>
    <w:rsid w:val="00CA6CF5"/>
    <w:rsid w:val="00CA7058"/>
    <w:rsid w:val="00CA7343"/>
    <w:rsid w:val="00CA752B"/>
    <w:rsid w:val="00CB0112"/>
    <w:rsid w:val="00CB0D32"/>
    <w:rsid w:val="00CB381C"/>
    <w:rsid w:val="00CB44E6"/>
    <w:rsid w:val="00CB459B"/>
    <w:rsid w:val="00CB46E6"/>
    <w:rsid w:val="00CB5524"/>
    <w:rsid w:val="00CB604E"/>
    <w:rsid w:val="00CB65B2"/>
    <w:rsid w:val="00CB6923"/>
    <w:rsid w:val="00CB6FE9"/>
    <w:rsid w:val="00CB7461"/>
    <w:rsid w:val="00CC01CC"/>
    <w:rsid w:val="00CC029A"/>
    <w:rsid w:val="00CC0C89"/>
    <w:rsid w:val="00CC17D9"/>
    <w:rsid w:val="00CC17F1"/>
    <w:rsid w:val="00CC1A17"/>
    <w:rsid w:val="00CC1DB4"/>
    <w:rsid w:val="00CC22F6"/>
    <w:rsid w:val="00CC3004"/>
    <w:rsid w:val="00CC3106"/>
    <w:rsid w:val="00CC40DE"/>
    <w:rsid w:val="00CC4CF1"/>
    <w:rsid w:val="00CC54E9"/>
    <w:rsid w:val="00CC5C8B"/>
    <w:rsid w:val="00CC7283"/>
    <w:rsid w:val="00CC7BF6"/>
    <w:rsid w:val="00CD0898"/>
    <w:rsid w:val="00CD0DA9"/>
    <w:rsid w:val="00CD1744"/>
    <w:rsid w:val="00CD1A85"/>
    <w:rsid w:val="00CD280E"/>
    <w:rsid w:val="00CD2B60"/>
    <w:rsid w:val="00CD3039"/>
    <w:rsid w:val="00CD3478"/>
    <w:rsid w:val="00CD407F"/>
    <w:rsid w:val="00CD4303"/>
    <w:rsid w:val="00CD43FE"/>
    <w:rsid w:val="00CD4F4B"/>
    <w:rsid w:val="00CD6D18"/>
    <w:rsid w:val="00CD6D47"/>
    <w:rsid w:val="00CD71B7"/>
    <w:rsid w:val="00CD726D"/>
    <w:rsid w:val="00CD764B"/>
    <w:rsid w:val="00CD7FE1"/>
    <w:rsid w:val="00CE02CF"/>
    <w:rsid w:val="00CE0372"/>
    <w:rsid w:val="00CE03EE"/>
    <w:rsid w:val="00CE1807"/>
    <w:rsid w:val="00CE1CC5"/>
    <w:rsid w:val="00CE20E6"/>
    <w:rsid w:val="00CE289A"/>
    <w:rsid w:val="00CE2D62"/>
    <w:rsid w:val="00CE2E63"/>
    <w:rsid w:val="00CE3249"/>
    <w:rsid w:val="00CE33A4"/>
    <w:rsid w:val="00CE3C7C"/>
    <w:rsid w:val="00CE4506"/>
    <w:rsid w:val="00CE46DB"/>
    <w:rsid w:val="00CE4DA6"/>
    <w:rsid w:val="00CE52FC"/>
    <w:rsid w:val="00CE5901"/>
    <w:rsid w:val="00CE5B98"/>
    <w:rsid w:val="00CE660A"/>
    <w:rsid w:val="00CE6A4A"/>
    <w:rsid w:val="00CE73F4"/>
    <w:rsid w:val="00CE7E3E"/>
    <w:rsid w:val="00CF02F2"/>
    <w:rsid w:val="00CF038F"/>
    <w:rsid w:val="00CF0572"/>
    <w:rsid w:val="00CF0C20"/>
    <w:rsid w:val="00CF1084"/>
    <w:rsid w:val="00CF12AB"/>
    <w:rsid w:val="00CF14A0"/>
    <w:rsid w:val="00CF1AF4"/>
    <w:rsid w:val="00CF2084"/>
    <w:rsid w:val="00CF32C8"/>
    <w:rsid w:val="00CF38D6"/>
    <w:rsid w:val="00CF39B1"/>
    <w:rsid w:val="00CF411E"/>
    <w:rsid w:val="00CF4206"/>
    <w:rsid w:val="00CF4B77"/>
    <w:rsid w:val="00CF4D6F"/>
    <w:rsid w:val="00CF4FBE"/>
    <w:rsid w:val="00CF54D9"/>
    <w:rsid w:val="00CF5C6D"/>
    <w:rsid w:val="00CF6798"/>
    <w:rsid w:val="00CF68F5"/>
    <w:rsid w:val="00CF6A0D"/>
    <w:rsid w:val="00CF6F43"/>
    <w:rsid w:val="00CF779A"/>
    <w:rsid w:val="00CF7976"/>
    <w:rsid w:val="00CF7EC4"/>
    <w:rsid w:val="00CF7F12"/>
    <w:rsid w:val="00D0078B"/>
    <w:rsid w:val="00D00B68"/>
    <w:rsid w:val="00D00CB2"/>
    <w:rsid w:val="00D01D24"/>
    <w:rsid w:val="00D021A7"/>
    <w:rsid w:val="00D02D2E"/>
    <w:rsid w:val="00D03C84"/>
    <w:rsid w:val="00D04056"/>
    <w:rsid w:val="00D04123"/>
    <w:rsid w:val="00D05398"/>
    <w:rsid w:val="00D053DE"/>
    <w:rsid w:val="00D0543D"/>
    <w:rsid w:val="00D06647"/>
    <w:rsid w:val="00D06881"/>
    <w:rsid w:val="00D068DE"/>
    <w:rsid w:val="00D06D00"/>
    <w:rsid w:val="00D06DB7"/>
    <w:rsid w:val="00D072B6"/>
    <w:rsid w:val="00D07EB0"/>
    <w:rsid w:val="00D1003D"/>
    <w:rsid w:val="00D102A8"/>
    <w:rsid w:val="00D10E02"/>
    <w:rsid w:val="00D112A1"/>
    <w:rsid w:val="00D11D4F"/>
    <w:rsid w:val="00D11DA1"/>
    <w:rsid w:val="00D11F6E"/>
    <w:rsid w:val="00D12093"/>
    <w:rsid w:val="00D120AF"/>
    <w:rsid w:val="00D12202"/>
    <w:rsid w:val="00D12923"/>
    <w:rsid w:val="00D13384"/>
    <w:rsid w:val="00D13D4A"/>
    <w:rsid w:val="00D13F64"/>
    <w:rsid w:val="00D1477B"/>
    <w:rsid w:val="00D14DA2"/>
    <w:rsid w:val="00D15557"/>
    <w:rsid w:val="00D157EF"/>
    <w:rsid w:val="00D162CB"/>
    <w:rsid w:val="00D20336"/>
    <w:rsid w:val="00D210D6"/>
    <w:rsid w:val="00D21314"/>
    <w:rsid w:val="00D214DC"/>
    <w:rsid w:val="00D21F0F"/>
    <w:rsid w:val="00D2350D"/>
    <w:rsid w:val="00D236F5"/>
    <w:rsid w:val="00D23A83"/>
    <w:rsid w:val="00D246DD"/>
    <w:rsid w:val="00D24D63"/>
    <w:rsid w:val="00D24F49"/>
    <w:rsid w:val="00D25A87"/>
    <w:rsid w:val="00D264BF"/>
    <w:rsid w:val="00D27071"/>
    <w:rsid w:val="00D271B4"/>
    <w:rsid w:val="00D27683"/>
    <w:rsid w:val="00D30155"/>
    <w:rsid w:val="00D3131F"/>
    <w:rsid w:val="00D316BC"/>
    <w:rsid w:val="00D31E7D"/>
    <w:rsid w:val="00D33B00"/>
    <w:rsid w:val="00D33E09"/>
    <w:rsid w:val="00D34030"/>
    <w:rsid w:val="00D3406B"/>
    <w:rsid w:val="00D3459C"/>
    <w:rsid w:val="00D34C17"/>
    <w:rsid w:val="00D34D8B"/>
    <w:rsid w:val="00D352F1"/>
    <w:rsid w:val="00D35DA1"/>
    <w:rsid w:val="00D3682B"/>
    <w:rsid w:val="00D36AF3"/>
    <w:rsid w:val="00D370C0"/>
    <w:rsid w:val="00D37816"/>
    <w:rsid w:val="00D405A6"/>
    <w:rsid w:val="00D4214E"/>
    <w:rsid w:val="00D426C0"/>
    <w:rsid w:val="00D42F7B"/>
    <w:rsid w:val="00D44BB5"/>
    <w:rsid w:val="00D45105"/>
    <w:rsid w:val="00D45458"/>
    <w:rsid w:val="00D456CE"/>
    <w:rsid w:val="00D456D4"/>
    <w:rsid w:val="00D459F5"/>
    <w:rsid w:val="00D45D04"/>
    <w:rsid w:val="00D46983"/>
    <w:rsid w:val="00D46D13"/>
    <w:rsid w:val="00D4701A"/>
    <w:rsid w:val="00D471EA"/>
    <w:rsid w:val="00D4738A"/>
    <w:rsid w:val="00D47531"/>
    <w:rsid w:val="00D47B49"/>
    <w:rsid w:val="00D47F2A"/>
    <w:rsid w:val="00D501FF"/>
    <w:rsid w:val="00D511BB"/>
    <w:rsid w:val="00D51627"/>
    <w:rsid w:val="00D5164F"/>
    <w:rsid w:val="00D5166A"/>
    <w:rsid w:val="00D51AC2"/>
    <w:rsid w:val="00D51E44"/>
    <w:rsid w:val="00D51FA8"/>
    <w:rsid w:val="00D53BCA"/>
    <w:rsid w:val="00D54466"/>
    <w:rsid w:val="00D55127"/>
    <w:rsid w:val="00D55E2C"/>
    <w:rsid w:val="00D5621D"/>
    <w:rsid w:val="00D576F7"/>
    <w:rsid w:val="00D57CA0"/>
    <w:rsid w:val="00D57E67"/>
    <w:rsid w:val="00D57FC8"/>
    <w:rsid w:val="00D60397"/>
    <w:rsid w:val="00D60413"/>
    <w:rsid w:val="00D6078B"/>
    <w:rsid w:val="00D6092E"/>
    <w:rsid w:val="00D60ABA"/>
    <w:rsid w:val="00D60E09"/>
    <w:rsid w:val="00D610FA"/>
    <w:rsid w:val="00D61430"/>
    <w:rsid w:val="00D62CF2"/>
    <w:rsid w:val="00D63129"/>
    <w:rsid w:val="00D6339C"/>
    <w:rsid w:val="00D63452"/>
    <w:rsid w:val="00D634C8"/>
    <w:rsid w:val="00D63A44"/>
    <w:rsid w:val="00D63EC3"/>
    <w:rsid w:val="00D6485F"/>
    <w:rsid w:val="00D6531E"/>
    <w:rsid w:val="00D657FE"/>
    <w:rsid w:val="00D66214"/>
    <w:rsid w:val="00D663F2"/>
    <w:rsid w:val="00D669E7"/>
    <w:rsid w:val="00D674B2"/>
    <w:rsid w:val="00D67DA3"/>
    <w:rsid w:val="00D70B32"/>
    <w:rsid w:val="00D70D76"/>
    <w:rsid w:val="00D711A3"/>
    <w:rsid w:val="00D71466"/>
    <w:rsid w:val="00D719EF"/>
    <w:rsid w:val="00D71E74"/>
    <w:rsid w:val="00D72224"/>
    <w:rsid w:val="00D737A5"/>
    <w:rsid w:val="00D73B8D"/>
    <w:rsid w:val="00D73E01"/>
    <w:rsid w:val="00D7463B"/>
    <w:rsid w:val="00D74BCD"/>
    <w:rsid w:val="00D75162"/>
    <w:rsid w:val="00D77325"/>
    <w:rsid w:val="00D77F5B"/>
    <w:rsid w:val="00D77FFC"/>
    <w:rsid w:val="00D805F5"/>
    <w:rsid w:val="00D816F8"/>
    <w:rsid w:val="00D81786"/>
    <w:rsid w:val="00D81A30"/>
    <w:rsid w:val="00D81CBA"/>
    <w:rsid w:val="00D82896"/>
    <w:rsid w:val="00D82BBA"/>
    <w:rsid w:val="00D83BE2"/>
    <w:rsid w:val="00D8467F"/>
    <w:rsid w:val="00D851C5"/>
    <w:rsid w:val="00D8534B"/>
    <w:rsid w:val="00D85C2B"/>
    <w:rsid w:val="00D86605"/>
    <w:rsid w:val="00D86C6B"/>
    <w:rsid w:val="00D8730A"/>
    <w:rsid w:val="00D87B7E"/>
    <w:rsid w:val="00D908F3"/>
    <w:rsid w:val="00D909B0"/>
    <w:rsid w:val="00D90BFD"/>
    <w:rsid w:val="00D90E78"/>
    <w:rsid w:val="00D90F92"/>
    <w:rsid w:val="00D91050"/>
    <w:rsid w:val="00D910F6"/>
    <w:rsid w:val="00D91710"/>
    <w:rsid w:val="00D91761"/>
    <w:rsid w:val="00D920A7"/>
    <w:rsid w:val="00D92D8F"/>
    <w:rsid w:val="00D92F55"/>
    <w:rsid w:val="00D9373F"/>
    <w:rsid w:val="00D9385D"/>
    <w:rsid w:val="00D944E5"/>
    <w:rsid w:val="00D9487E"/>
    <w:rsid w:val="00D948FE"/>
    <w:rsid w:val="00D94D4A"/>
    <w:rsid w:val="00D94FAC"/>
    <w:rsid w:val="00D960FE"/>
    <w:rsid w:val="00D96114"/>
    <w:rsid w:val="00D9614A"/>
    <w:rsid w:val="00D9684D"/>
    <w:rsid w:val="00D96F8F"/>
    <w:rsid w:val="00DA03D2"/>
    <w:rsid w:val="00DA0471"/>
    <w:rsid w:val="00DA066F"/>
    <w:rsid w:val="00DA1775"/>
    <w:rsid w:val="00DA205A"/>
    <w:rsid w:val="00DA2770"/>
    <w:rsid w:val="00DA3181"/>
    <w:rsid w:val="00DA3763"/>
    <w:rsid w:val="00DA3856"/>
    <w:rsid w:val="00DA398F"/>
    <w:rsid w:val="00DA45F2"/>
    <w:rsid w:val="00DA4BC4"/>
    <w:rsid w:val="00DA4F3C"/>
    <w:rsid w:val="00DA6260"/>
    <w:rsid w:val="00DA66B9"/>
    <w:rsid w:val="00DA66D8"/>
    <w:rsid w:val="00DA6F3B"/>
    <w:rsid w:val="00DB032E"/>
    <w:rsid w:val="00DB082F"/>
    <w:rsid w:val="00DB1701"/>
    <w:rsid w:val="00DB2D6E"/>
    <w:rsid w:val="00DB30D7"/>
    <w:rsid w:val="00DB366F"/>
    <w:rsid w:val="00DB36D6"/>
    <w:rsid w:val="00DB4448"/>
    <w:rsid w:val="00DB4530"/>
    <w:rsid w:val="00DB4658"/>
    <w:rsid w:val="00DB51A2"/>
    <w:rsid w:val="00DB5850"/>
    <w:rsid w:val="00DB5ACC"/>
    <w:rsid w:val="00DB5FAB"/>
    <w:rsid w:val="00DB6731"/>
    <w:rsid w:val="00DB6CC3"/>
    <w:rsid w:val="00DB6D08"/>
    <w:rsid w:val="00DB7606"/>
    <w:rsid w:val="00DB784B"/>
    <w:rsid w:val="00DC064B"/>
    <w:rsid w:val="00DC07B7"/>
    <w:rsid w:val="00DC09E6"/>
    <w:rsid w:val="00DC0D5A"/>
    <w:rsid w:val="00DC189E"/>
    <w:rsid w:val="00DC1A13"/>
    <w:rsid w:val="00DC1A41"/>
    <w:rsid w:val="00DC1CC0"/>
    <w:rsid w:val="00DC23F6"/>
    <w:rsid w:val="00DC2EC0"/>
    <w:rsid w:val="00DC393F"/>
    <w:rsid w:val="00DC397B"/>
    <w:rsid w:val="00DC51C3"/>
    <w:rsid w:val="00DC5792"/>
    <w:rsid w:val="00DC590F"/>
    <w:rsid w:val="00DC61AA"/>
    <w:rsid w:val="00DC6339"/>
    <w:rsid w:val="00DC6856"/>
    <w:rsid w:val="00DC7492"/>
    <w:rsid w:val="00DC7B86"/>
    <w:rsid w:val="00DC7FDF"/>
    <w:rsid w:val="00DD0E37"/>
    <w:rsid w:val="00DD115C"/>
    <w:rsid w:val="00DD124B"/>
    <w:rsid w:val="00DD12C1"/>
    <w:rsid w:val="00DD1488"/>
    <w:rsid w:val="00DD1BE6"/>
    <w:rsid w:val="00DD1DFE"/>
    <w:rsid w:val="00DD1ED2"/>
    <w:rsid w:val="00DD2AC0"/>
    <w:rsid w:val="00DD2BD2"/>
    <w:rsid w:val="00DD343B"/>
    <w:rsid w:val="00DD36B6"/>
    <w:rsid w:val="00DD38F7"/>
    <w:rsid w:val="00DD445B"/>
    <w:rsid w:val="00DD5363"/>
    <w:rsid w:val="00DD54EC"/>
    <w:rsid w:val="00DD593D"/>
    <w:rsid w:val="00DE0377"/>
    <w:rsid w:val="00DE16BB"/>
    <w:rsid w:val="00DE1791"/>
    <w:rsid w:val="00DE1DB9"/>
    <w:rsid w:val="00DE2342"/>
    <w:rsid w:val="00DE2C70"/>
    <w:rsid w:val="00DE2D7F"/>
    <w:rsid w:val="00DE3BAC"/>
    <w:rsid w:val="00DE485D"/>
    <w:rsid w:val="00DE4AA0"/>
    <w:rsid w:val="00DE4D66"/>
    <w:rsid w:val="00DE4EA3"/>
    <w:rsid w:val="00DE4EF5"/>
    <w:rsid w:val="00DE5825"/>
    <w:rsid w:val="00DE5F4E"/>
    <w:rsid w:val="00DE63D0"/>
    <w:rsid w:val="00DE71D4"/>
    <w:rsid w:val="00DE7AF1"/>
    <w:rsid w:val="00DF0D2D"/>
    <w:rsid w:val="00DF0D80"/>
    <w:rsid w:val="00DF1395"/>
    <w:rsid w:val="00DF1889"/>
    <w:rsid w:val="00DF21FE"/>
    <w:rsid w:val="00DF314A"/>
    <w:rsid w:val="00DF3680"/>
    <w:rsid w:val="00DF3A40"/>
    <w:rsid w:val="00DF413A"/>
    <w:rsid w:val="00DF48A2"/>
    <w:rsid w:val="00DF4A1B"/>
    <w:rsid w:val="00DF4BB3"/>
    <w:rsid w:val="00DF4FB8"/>
    <w:rsid w:val="00DF50E4"/>
    <w:rsid w:val="00DF5D55"/>
    <w:rsid w:val="00DF5DA3"/>
    <w:rsid w:val="00DF6433"/>
    <w:rsid w:val="00DF69F6"/>
    <w:rsid w:val="00DF6F82"/>
    <w:rsid w:val="00DF7352"/>
    <w:rsid w:val="00DF75B7"/>
    <w:rsid w:val="00DF7928"/>
    <w:rsid w:val="00DF796B"/>
    <w:rsid w:val="00DF7A53"/>
    <w:rsid w:val="00DF7D04"/>
    <w:rsid w:val="00E00C1C"/>
    <w:rsid w:val="00E01D74"/>
    <w:rsid w:val="00E02442"/>
    <w:rsid w:val="00E02944"/>
    <w:rsid w:val="00E02BEE"/>
    <w:rsid w:val="00E02E6E"/>
    <w:rsid w:val="00E02FD2"/>
    <w:rsid w:val="00E0367B"/>
    <w:rsid w:val="00E038C1"/>
    <w:rsid w:val="00E03D45"/>
    <w:rsid w:val="00E0425E"/>
    <w:rsid w:val="00E055B8"/>
    <w:rsid w:val="00E059E3"/>
    <w:rsid w:val="00E0730D"/>
    <w:rsid w:val="00E076B7"/>
    <w:rsid w:val="00E078A6"/>
    <w:rsid w:val="00E101CD"/>
    <w:rsid w:val="00E10503"/>
    <w:rsid w:val="00E105A7"/>
    <w:rsid w:val="00E105AA"/>
    <w:rsid w:val="00E107B7"/>
    <w:rsid w:val="00E10E41"/>
    <w:rsid w:val="00E11325"/>
    <w:rsid w:val="00E1146F"/>
    <w:rsid w:val="00E11CF5"/>
    <w:rsid w:val="00E1253D"/>
    <w:rsid w:val="00E127CA"/>
    <w:rsid w:val="00E1316B"/>
    <w:rsid w:val="00E143A5"/>
    <w:rsid w:val="00E146F5"/>
    <w:rsid w:val="00E148A8"/>
    <w:rsid w:val="00E153CE"/>
    <w:rsid w:val="00E15ECD"/>
    <w:rsid w:val="00E15F18"/>
    <w:rsid w:val="00E16077"/>
    <w:rsid w:val="00E1637B"/>
    <w:rsid w:val="00E16687"/>
    <w:rsid w:val="00E166F9"/>
    <w:rsid w:val="00E2002F"/>
    <w:rsid w:val="00E20374"/>
    <w:rsid w:val="00E20A9D"/>
    <w:rsid w:val="00E210D5"/>
    <w:rsid w:val="00E21557"/>
    <w:rsid w:val="00E21E98"/>
    <w:rsid w:val="00E220E8"/>
    <w:rsid w:val="00E22C09"/>
    <w:rsid w:val="00E24231"/>
    <w:rsid w:val="00E242C8"/>
    <w:rsid w:val="00E244C9"/>
    <w:rsid w:val="00E2636C"/>
    <w:rsid w:val="00E26BD1"/>
    <w:rsid w:val="00E26C40"/>
    <w:rsid w:val="00E26C60"/>
    <w:rsid w:val="00E2718C"/>
    <w:rsid w:val="00E2764E"/>
    <w:rsid w:val="00E27B89"/>
    <w:rsid w:val="00E27BA1"/>
    <w:rsid w:val="00E27DC2"/>
    <w:rsid w:val="00E27E4E"/>
    <w:rsid w:val="00E27E56"/>
    <w:rsid w:val="00E30383"/>
    <w:rsid w:val="00E306CF"/>
    <w:rsid w:val="00E30719"/>
    <w:rsid w:val="00E313AE"/>
    <w:rsid w:val="00E31677"/>
    <w:rsid w:val="00E31743"/>
    <w:rsid w:val="00E32D0C"/>
    <w:rsid w:val="00E32F55"/>
    <w:rsid w:val="00E33AB6"/>
    <w:rsid w:val="00E347E2"/>
    <w:rsid w:val="00E34D5A"/>
    <w:rsid w:val="00E359D2"/>
    <w:rsid w:val="00E36660"/>
    <w:rsid w:val="00E37064"/>
    <w:rsid w:val="00E400A6"/>
    <w:rsid w:val="00E400D0"/>
    <w:rsid w:val="00E418CF"/>
    <w:rsid w:val="00E41D37"/>
    <w:rsid w:val="00E41E36"/>
    <w:rsid w:val="00E427C6"/>
    <w:rsid w:val="00E42D30"/>
    <w:rsid w:val="00E4307F"/>
    <w:rsid w:val="00E4310E"/>
    <w:rsid w:val="00E43996"/>
    <w:rsid w:val="00E43B92"/>
    <w:rsid w:val="00E43E29"/>
    <w:rsid w:val="00E44214"/>
    <w:rsid w:val="00E44269"/>
    <w:rsid w:val="00E449F9"/>
    <w:rsid w:val="00E44B14"/>
    <w:rsid w:val="00E45304"/>
    <w:rsid w:val="00E4591B"/>
    <w:rsid w:val="00E46048"/>
    <w:rsid w:val="00E46E00"/>
    <w:rsid w:val="00E46ECB"/>
    <w:rsid w:val="00E4719F"/>
    <w:rsid w:val="00E47462"/>
    <w:rsid w:val="00E47DD7"/>
    <w:rsid w:val="00E50311"/>
    <w:rsid w:val="00E50669"/>
    <w:rsid w:val="00E507F4"/>
    <w:rsid w:val="00E50C36"/>
    <w:rsid w:val="00E512EE"/>
    <w:rsid w:val="00E515B5"/>
    <w:rsid w:val="00E519EF"/>
    <w:rsid w:val="00E51EF1"/>
    <w:rsid w:val="00E51F38"/>
    <w:rsid w:val="00E5289E"/>
    <w:rsid w:val="00E52BC1"/>
    <w:rsid w:val="00E54A67"/>
    <w:rsid w:val="00E54D73"/>
    <w:rsid w:val="00E552E9"/>
    <w:rsid w:val="00E55949"/>
    <w:rsid w:val="00E55B8D"/>
    <w:rsid w:val="00E56207"/>
    <w:rsid w:val="00E566BC"/>
    <w:rsid w:val="00E56723"/>
    <w:rsid w:val="00E56DC6"/>
    <w:rsid w:val="00E56F8A"/>
    <w:rsid w:val="00E603DC"/>
    <w:rsid w:val="00E608DC"/>
    <w:rsid w:val="00E61781"/>
    <w:rsid w:val="00E61D6D"/>
    <w:rsid w:val="00E6230A"/>
    <w:rsid w:val="00E62A84"/>
    <w:rsid w:val="00E63185"/>
    <w:rsid w:val="00E6343F"/>
    <w:rsid w:val="00E63918"/>
    <w:rsid w:val="00E64980"/>
    <w:rsid w:val="00E65332"/>
    <w:rsid w:val="00E66ABF"/>
    <w:rsid w:val="00E67605"/>
    <w:rsid w:val="00E677D0"/>
    <w:rsid w:val="00E67EBE"/>
    <w:rsid w:val="00E70BC9"/>
    <w:rsid w:val="00E71766"/>
    <w:rsid w:val="00E71B29"/>
    <w:rsid w:val="00E71C10"/>
    <w:rsid w:val="00E728B9"/>
    <w:rsid w:val="00E7460D"/>
    <w:rsid w:val="00E75B12"/>
    <w:rsid w:val="00E7600F"/>
    <w:rsid w:val="00E76FED"/>
    <w:rsid w:val="00E7704F"/>
    <w:rsid w:val="00E7717D"/>
    <w:rsid w:val="00E775D3"/>
    <w:rsid w:val="00E779A3"/>
    <w:rsid w:val="00E80028"/>
    <w:rsid w:val="00E8018E"/>
    <w:rsid w:val="00E8116F"/>
    <w:rsid w:val="00E8169A"/>
    <w:rsid w:val="00E81A55"/>
    <w:rsid w:val="00E81AE3"/>
    <w:rsid w:val="00E824E4"/>
    <w:rsid w:val="00E83871"/>
    <w:rsid w:val="00E83B33"/>
    <w:rsid w:val="00E8414A"/>
    <w:rsid w:val="00E84828"/>
    <w:rsid w:val="00E850D2"/>
    <w:rsid w:val="00E85194"/>
    <w:rsid w:val="00E87808"/>
    <w:rsid w:val="00E90C37"/>
    <w:rsid w:val="00E91BE9"/>
    <w:rsid w:val="00E91DCB"/>
    <w:rsid w:val="00E92188"/>
    <w:rsid w:val="00E92740"/>
    <w:rsid w:val="00E92F35"/>
    <w:rsid w:val="00E93303"/>
    <w:rsid w:val="00E93B90"/>
    <w:rsid w:val="00E93D05"/>
    <w:rsid w:val="00E93D22"/>
    <w:rsid w:val="00E947B0"/>
    <w:rsid w:val="00E94E77"/>
    <w:rsid w:val="00E954FB"/>
    <w:rsid w:val="00E957A4"/>
    <w:rsid w:val="00E9647B"/>
    <w:rsid w:val="00E968D9"/>
    <w:rsid w:val="00E96D54"/>
    <w:rsid w:val="00E96D5B"/>
    <w:rsid w:val="00E979A0"/>
    <w:rsid w:val="00E97B17"/>
    <w:rsid w:val="00E97C8F"/>
    <w:rsid w:val="00EA005F"/>
    <w:rsid w:val="00EA0073"/>
    <w:rsid w:val="00EA0700"/>
    <w:rsid w:val="00EA0B16"/>
    <w:rsid w:val="00EA11C3"/>
    <w:rsid w:val="00EA1478"/>
    <w:rsid w:val="00EA1817"/>
    <w:rsid w:val="00EA1D86"/>
    <w:rsid w:val="00EA2195"/>
    <w:rsid w:val="00EA23C1"/>
    <w:rsid w:val="00EA2509"/>
    <w:rsid w:val="00EA3315"/>
    <w:rsid w:val="00EA352D"/>
    <w:rsid w:val="00EA4388"/>
    <w:rsid w:val="00EA4800"/>
    <w:rsid w:val="00EA4AE6"/>
    <w:rsid w:val="00EA4F9E"/>
    <w:rsid w:val="00EA7293"/>
    <w:rsid w:val="00EA7ADE"/>
    <w:rsid w:val="00EA7CCB"/>
    <w:rsid w:val="00EB04A0"/>
    <w:rsid w:val="00EB0FC0"/>
    <w:rsid w:val="00EB10EC"/>
    <w:rsid w:val="00EB1117"/>
    <w:rsid w:val="00EB12D0"/>
    <w:rsid w:val="00EB2207"/>
    <w:rsid w:val="00EB22D0"/>
    <w:rsid w:val="00EB32A6"/>
    <w:rsid w:val="00EB3B3D"/>
    <w:rsid w:val="00EB3D59"/>
    <w:rsid w:val="00EB48B8"/>
    <w:rsid w:val="00EB4D44"/>
    <w:rsid w:val="00EB532E"/>
    <w:rsid w:val="00EB55E1"/>
    <w:rsid w:val="00EB57CC"/>
    <w:rsid w:val="00EB62F7"/>
    <w:rsid w:val="00EC0FC0"/>
    <w:rsid w:val="00EC1459"/>
    <w:rsid w:val="00EC1525"/>
    <w:rsid w:val="00EC1C3D"/>
    <w:rsid w:val="00EC2170"/>
    <w:rsid w:val="00EC2382"/>
    <w:rsid w:val="00EC2383"/>
    <w:rsid w:val="00EC27E7"/>
    <w:rsid w:val="00EC4212"/>
    <w:rsid w:val="00EC4FEC"/>
    <w:rsid w:val="00EC597D"/>
    <w:rsid w:val="00EC69C9"/>
    <w:rsid w:val="00EC745B"/>
    <w:rsid w:val="00EC7FC0"/>
    <w:rsid w:val="00ED02F3"/>
    <w:rsid w:val="00ED0E81"/>
    <w:rsid w:val="00ED1E81"/>
    <w:rsid w:val="00ED1F03"/>
    <w:rsid w:val="00ED208F"/>
    <w:rsid w:val="00ED2946"/>
    <w:rsid w:val="00ED2DAF"/>
    <w:rsid w:val="00ED375C"/>
    <w:rsid w:val="00ED46CC"/>
    <w:rsid w:val="00ED6402"/>
    <w:rsid w:val="00ED64D7"/>
    <w:rsid w:val="00ED6CE3"/>
    <w:rsid w:val="00ED7FC0"/>
    <w:rsid w:val="00EE0A1C"/>
    <w:rsid w:val="00EE0CC8"/>
    <w:rsid w:val="00EE0D91"/>
    <w:rsid w:val="00EE11F4"/>
    <w:rsid w:val="00EE1CE6"/>
    <w:rsid w:val="00EE2306"/>
    <w:rsid w:val="00EE273A"/>
    <w:rsid w:val="00EE29DC"/>
    <w:rsid w:val="00EE4051"/>
    <w:rsid w:val="00EE410D"/>
    <w:rsid w:val="00EE4611"/>
    <w:rsid w:val="00EE475A"/>
    <w:rsid w:val="00EE48FD"/>
    <w:rsid w:val="00EE59BE"/>
    <w:rsid w:val="00EE6E7D"/>
    <w:rsid w:val="00EE71F7"/>
    <w:rsid w:val="00EE781B"/>
    <w:rsid w:val="00EE7DEE"/>
    <w:rsid w:val="00EF17E8"/>
    <w:rsid w:val="00EF1A47"/>
    <w:rsid w:val="00EF1DD3"/>
    <w:rsid w:val="00EF3338"/>
    <w:rsid w:val="00EF3507"/>
    <w:rsid w:val="00EF4CCD"/>
    <w:rsid w:val="00EF5624"/>
    <w:rsid w:val="00EF572A"/>
    <w:rsid w:val="00EF57A0"/>
    <w:rsid w:val="00EF62AB"/>
    <w:rsid w:val="00EF63E6"/>
    <w:rsid w:val="00EF6658"/>
    <w:rsid w:val="00EF7068"/>
    <w:rsid w:val="00EF75E6"/>
    <w:rsid w:val="00EF7E11"/>
    <w:rsid w:val="00EF7FB3"/>
    <w:rsid w:val="00F006D3"/>
    <w:rsid w:val="00F006F4"/>
    <w:rsid w:val="00F00A00"/>
    <w:rsid w:val="00F00F53"/>
    <w:rsid w:val="00F018E0"/>
    <w:rsid w:val="00F01BAC"/>
    <w:rsid w:val="00F01CF1"/>
    <w:rsid w:val="00F029FD"/>
    <w:rsid w:val="00F02B31"/>
    <w:rsid w:val="00F02CA3"/>
    <w:rsid w:val="00F0357B"/>
    <w:rsid w:val="00F0385C"/>
    <w:rsid w:val="00F03CC4"/>
    <w:rsid w:val="00F03D03"/>
    <w:rsid w:val="00F040FC"/>
    <w:rsid w:val="00F04801"/>
    <w:rsid w:val="00F04C87"/>
    <w:rsid w:val="00F05611"/>
    <w:rsid w:val="00F05854"/>
    <w:rsid w:val="00F058A9"/>
    <w:rsid w:val="00F05CE3"/>
    <w:rsid w:val="00F06030"/>
    <w:rsid w:val="00F062E1"/>
    <w:rsid w:val="00F063D9"/>
    <w:rsid w:val="00F06C5A"/>
    <w:rsid w:val="00F06DA2"/>
    <w:rsid w:val="00F076DD"/>
    <w:rsid w:val="00F078D6"/>
    <w:rsid w:val="00F07BF1"/>
    <w:rsid w:val="00F07EA8"/>
    <w:rsid w:val="00F07F41"/>
    <w:rsid w:val="00F10255"/>
    <w:rsid w:val="00F1040A"/>
    <w:rsid w:val="00F10A49"/>
    <w:rsid w:val="00F11100"/>
    <w:rsid w:val="00F1124A"/>
    <w:rsid w:val="00F114B7"/>
    <w:rsid w:val="00F12E0D"/>
    <w:rsid w:val="00F15587"/>
    <w:rsid w:val="00F159C5"/>
    <w:rsid w:val="00F15B8D"/>
    <w:rsid w:val="00F15E5B"/>
    <w:rsid w:val="00F160BC"/>
    <w:rsid w:val="00F16C53"/>
    <w:rsid w:val="00F1744D"/>
    <w:rsid w:val="00F1786D"/>
    <w:rsid w:val="00F17D07"/>
    <w:rsid w:val="00F2079C"/>
    <w:rsid w:val="00F211C4"/>
    <w:rsid w:val="00F21F3F"/>
    <w:rsid w:val="00F22183"/>
    <w:rsid w:val="00F22BEC"/>
    <w:rsid w:val="00F22F43"/>
    <w:rsid w:val="00F23059"/>
    <w:rsid w:val="00F23936"/>
    <w:rsid w:val="00F24583"/>
    <w:rsid w:val="00F24641"/>
    <w:rsid w:val="00F248C3"/>
    <w:rsid w:val="00F24ED9"/>
    <w:rsid w:val="00F25166"/>
    <w:rsid w:val="00F25CF5"/>
    <w:rsid w:val="00F265DA"/>
    <w:rsid w:val="00F2703B"/>
    <w:rsid w:val="00F3012C"/>
    <w:rsid w:val="00F303A4"/>
    <w:rsid w:val="00F317E1"/>
    <w:rsid w:val="00F3314E"/>
    <w:rsid w:val="00F3483D"/>
    <w:rsid w:val="00F3567E"/>
    <w:rsid w:val="00F35D94"/>
    <w:rsid w:val="00F36BD2"/>
    <w:rsid w:val="00F37CCB"/>
    <w:rsid w:val="00F42254"/>
    <w:rsid w:val="00F42C64"/>
    <w:rsid w:val="00F42CDA"/>
    <w:rsid w:val="00F43607"/>
    <w:rsid w:val="00F43D4B"/>
    <w:rsid w:val="00F44105"/>
    <w:rsid w:val="00F450FC"/>
    <w:rsid w:val="00F4536F"/>
    <w:rsid w:val="00F46209"/>
    <w:rsid w:val="00F469A8"/>
    <w:rsid w:val="00F46FE6"/>
    <w:rsid w:val="00F50A7F"/>
    <w:rsid w:val="00F50EB2"/>
    <w:rsid w:val="00F51C36"/>
    <w:rsid w:val="00F52544"/>
    <w:rsid w:val="00F53E21"/>
    <w:rsid w:val="00F5425F"/>
    <w:rsid w:val="00F555CA"/>
    <w:rsid w:val="00F558E6"/>
    <w:rsid w:val="00F574A7"/>
    <w:rsid w:val="00F57EA7"/>
    <w:rsid w:val="00F600A2"/>
    <w:rsid w:val="00F6076B"/>
    <w:rsid w:val="00F61A83"/>
    <w:rsid w:val="00F61E80"/>
    <w:rsid w:val="00F62773"/>
    <w:rsid w:val="00F62AF5"/>
    <w:rsid w:val="00F62BBA"/>
    <w:rsid w:val="00F62F31"/>
    <w:rsid w:val="00F63BE7"/>
    <w:rsid w:val="00F6400F"/>
    <w:rsid w:val="00F64443"/>
    <w:rsid w:val="00F646DE"/>
    <w:rsid w:val="00F6488A"/>
    <w:rsid w:val="00F650E9"/>
    <w:rsid w:val="00F66C3F"/>
    <w:rsid w:val="00F6716A"/>
    <w:rsid w:val="00F67A79"/>
    <w:rsid w:val="00F67A9E"/>
    <w:rsid w:val="00F67F48"/>
    <w:rsid w:val="00F713E4"/>
    <w:rsid w:val="00F717D9"/>
    <w:rsid w:val="00F71EF1"/>
    <w:rsid w:val="00F72D98"/>
    <w:rsid w:val="00F73501"/>
    <w:rsid w:val="00F739CB"/>
    <w:rsid w:val="00F746FB"/>
    <w:rsid w:val="00F74BD0"/>
    <w:rsid w:val="00F74DE3"/>
    <w:rsid w:val="00F74F87"/>
    <w:rsid w:val="00F758E9"/>
    <w:rsid w:val="00F75B8C"/>
    <w:rsid w:val="00F80F6F"/>
    <w:rsid w:val="00F80FE9"/>
    <w:rsid w:val="00F8150A"/>
    <w:rsid w:val="00F8321D"/>
    <w:rsid w:val="00F837CC"/>
    <w:rsid w:val="00F83B0D"/>
    <w:rsid w:val="00F84D43"/>
    <w:rsid w:val="00F850E2"/>
    <w:rsid w:val="00F8575C"/>
    <w:rsid w:val="00F85AEC"/>
    <w:rsid w:val="00F85BFE"/>
    <w:rsid w:val="00F86627"/>
    <w:rsid w:val="00F8703A"/>
    <w:rsid w:val="00F87917"/>
    <w:rsid w:val="00F87E96"/>
    <w:rsid w:val="00F87FAB"/>
    <w:rsid w:val="00F909BD"/>
    <w:rsid w:val="00F91059"/>
    <w:rsid w:val="00F918F6"/>
    <w:rsid w:val="00F919C4"/>
    <w:rsid w:val="00F927B6"/>
    <w:rsid w:val="00F92A9E"/>
    <w:rsid w:val="00F931D7"/>
    <w:rsid w:val="00F932BA"/>
    <w:rsid w:val="00F940EE"/>
    <w:rsid w:val="00F944EA"/>
    <w:rsid w:val="00F956FE"/>
    <w:rsid w:val="00F9619E"/>
    <w:rsid w:val="00F9632B"/>
    <w:rsid w:val="00F96B04"/>
    <w:rsid w:val="00F97E86"/>
    <w:rsid w:val="00FA0A5B"/>
    <w:rsid w:val="00FA217F"/>
    <w:rsid w:val="00FA255D"/>
    <w:rsid w:val="00FA25A8"/>
    <w:rsid w:val="00FA29F4"/>
    <w:rsid w:val="00FA2DBC"/>
    <w:rsid w:val="00FA324B"/>
    <w:rsid w:val="00FA5916"/>
    <w:rsid w:val="00FA633B"/>
    <w:rsid w:val="00FA68B9"/>
    <w:rsid w:val="00FA6D64"/>
    <w:rsid w:val="00FA77B1"/>
    <w:rsid w:val="00FA7E4B"/>
    <w:rsid w:val="00FB051C"/>
    <w:rsid w:val="00FB14BA"/>
    <w:rsid w:val="00FB1749"/>
    <w:rsid w:val="00FB305D"/>
    <w:rsid w:val="00FB35F1"/>
    <w:rsid w:val="00FB35FF"/>
    <w:rsid w:val="00FB3AD8"/>
    <w:rsid w:val="00FB4AA6"/>
    <w:rsid w:val="00FB5326"/>
    <w:rsid w:val="00FB54B7"/>
    <w:rsid w:val="00FB5B4A"/>
    <w:rsid w:val="00FB5C1D"/>
    <w:rsid w:val="00FB6735"/>
    <w:rsid w:val="00FB68AB"/>
    <w:rsid w:val="00FB6D2B"/>
    <w:rsid w:val="00FC0750"/>
    <w:rsid w:val="00FC1326"/>
    <w:rsid w:val="00FC1A63"/>
    <w:rsid w:val="00FC1C06"/>
    <w:rsid w:val="00FC1EED"/>
    <w:rsid w:val="00FC2F2C"/>
    <w:rsid w:val="00FC4713"/>
    <w:rsid w:val="00FC564B"/>
    <w:rsid w:val="00FC624C"/>
    <w:rsid w:val="00FC7055"/>
    <w:rsid w:val="00FC71C9"/>
    <w:rsid w:val="00FC760E"/>
    <w:rsid w:val="00FC7A5D"/>
    <w:rsid w:val="00FC7BA6"/>
    <w:rsid w:val="00FD02CC"/>
    <w:rsid w:val="00FD0FCE"/>
    <w:rsid w:val="00FD24D0"/>
    <w:rsid w:val="00FD28C8"/>
    <w:rsid w:val="00FD29D0"/>
    <w:rsid w:val="00FD3053"/>
    <w:rsid w:val="00FD3448"/>
    <w:rsid w:val="00FD416F"/>
    <w:rsid w:val="00FD4F33"/>
    <w:rsid w:val="00FD5338"/>
    <w:rsid w:val="00FD7605"/>
    <w:rsid w:val="00FD784B"/>
    <w:rsid w:val="00FD7AD8"/>
    <w:rsid w:val="00FE0728"/>
    <w:rsid w:val="00FE08C7"/>
    <w:rsid w:val="00FE124C"/>
    <w:rsid w:val="00FE1AC2"/>
    <w:rsid w:val="00FE1AF3"/>
    <w:rsid w:val="00FE1FC8"/>
    <w:rsid w:val="00FE2042"/>
    <w:rsid w:val="00FE34E6"/>
    <w:rsid w:val="00FE3890"/>
    <w:rsid w:val="00FE3E1D"/>
    <w:rsid w:val="00FE4F53"/>
    <w:rsid w:val="00FE5611"/>
    <w:rsid w:val="00FE5E07"/>
    <w:rsid w:val="00FE62A8"/>
    <w:rsid w:val="00FE6524"/>
    <w:rsid w:val="00FE751C"/>
    <w:rsid w:val="00FE7568"/>
    <w:rsid w:val="00FE7A33"/>
    <w:rsid w:val="00FF0DA0"/>
    <w:rsid w:val="00FF1A1E"/>
    <w:rsid w:val="00FF1F91"/>
    <w:rsid w:val="00FF1FE0"/>
    <w:rsid w:val="00FF22C6"/>
    <w:rsid w:val="00FF24AC"/>
    <w:rsid w:val="00FF3004"/>
    <w:rsid w:val="00FF4728"/>
    <w:rsid w:val="00FF477E"/>
    <w:rsid w:val="00FF4876"/>
    <w:rsid w:val="00FF4AA8"/>
    <w:rsid w:val="00FF4E45"/>
    <w:rsid w:val="00FF5022"/>
    <w:rsid w:val="00FF5940"/>
    <w:rsid w:val="00FF5BC7"/>
    <w:rsid w:val="00FF5D89"/>
    <w:rsid w:val="00FF646C"/>
    <w:rsid w:val="00FF65DB"/>
    <w:rsid w:val="00FF68F8"/>
    <w:rsid w:val="00FF6CD0"/>
    <w:rsid w:val="04587541"/>
    <w:rsid w:val="05ED6429"/>
    <w:rsid w:val="13BC5DB8"/>
    <w:rsid w:val="1FB12BA3"/>
    <w:rsid w:val="21AC3F48"/>
    <w:rsid w:val="21C978F2"/>
    <w:rsid w:val="27027B2E"/>
    <w:rsid w:val="2DB10AFB"/>
    <w:rsid w:val="34F76037"/>
    <w:rsid w:val="3F6E5909"/>
    <w:rsid w:val="42BC5E5C"/>
    <w:rsid w:val="46765548"/>
    <w:rsid w:val="53414E7D"/>
    <w:rsid w:val="5654548D"/>
    <w:rsid w:val="5FFC2665"/>
    <w:rsid w:val="60805044"/>
    <w:rsid w:val="688F37E8"/>
    <w:rsid w:val="6AF44665"/>
    <w:rsid w:val="6B852F97"/>
    <w:rsid w:val="6BF32B6E"/>
    <w:rsid w:val="6EEA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4095"/>
      </w:tabs>
      <w:jc w:val="center"/>
      <w:outlineLvl w:val="0"/>
    </w:pPr>
    <w:rPr>
      <w:rFonts w:ascii="宋体" w:hAnsi="宋体"/>
      <w:sz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32"/>
    <w:qFormat/>
    <w:uiPriority w:val="0"/>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pPr>
      <w:jc w:val="left"/>
    </w:pPr>
  </w:style>
  <w:style w:type="paragraph" w:styleId="7">
    <w:name w:val="Body Text"/>
    <w:basedOn w:val="1"/>
    <w:link w:val="33"/>
    <w:qFormat/>
    <w:uiPriority w:val="0"/>
    <w:pPr>
      <w:spacing w:after="120"/>
    </w:pPr>
  </w:style>
  <w:style w:type="paragraph" w:styleId="8">
    <w:name w:val="Body Text Indent"/>
    <w:basedOn w:val="1"/>
    <w:qFormat/>
    <w:uiPriority w:val="0"/>
    <w:pPr>
      <w:spacing w:line="420" w:lineRule="exact"/>
      <w:ind w:firstLine="600"/>
    </w:pPr>
    <w:rPr>
      <w:rFonts w:ascii="宋体" w:hAnsi="宋体"/>
      <w:sz w:val="24"/>
    </w:rPr>
  </w:style>
  <w:style w:type="paragraph" w:styleId="9">
    <w:name w:val="toc 3"/>
    <w:basedOn w:val="1"/>
    <w:next w:val="1"/>
    <w:qFormat/>
    <w:uiPriority w:val="39"/>
    <w:pPr>
      <w:ind w:left="840" w:leftChars="400"/>
    </w:pPr>
  </w:style>
  <w:style w:type="paragraph" w:styleId="10">
    <w:name w:val="Plain Text"/>
    <w:basedOn w:val="1"/>
    <w:link w:val="34"/>
    <w:qFormat/>
    <w:uiPriority w:val="0"/>
    <w:pPr>
      <w:spacing w:line="400" w:lineRule="atLeast"/>
    </w:pPr>
    <w:rPr>
      <w:rFonts w:ascii="宋体" w:hAnsi="Courier New"/>
      <w:szCs w:val="20"/>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line="420" w:lineRule="exact"/>
      <w:ind w:left="944" w:leftChars="342" w:hanging="226" w:hangingChars="94"/>
    </w:pPr>
    <w:rPr>
      <w:color w:val="000000"/>
      <w:sz w:val="24"/>
      <w:u w:val="single" w:color="FFFFFF"/>
    </w:r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37"/>
    <w:unhideWhenUsed/>
    <w:qFormat/>
    <w:uiPriority w:val="0"/>
    <w:pPr>
      <w:snapToGrid w:val="0"/>
      <w:jc w:val="left"/>
    </w:pPr>
    <w:rPr>
      <w:rFonts w:ascii="Calibri" w:hAnsi="Calibri"/>
      <w:sz w:val="18"/>
      <w:szCs w:val="18"/>
    </w:rPr>
  </w:style>
  <w:style w:type="paragraph" w:styleId="18">
    <w:name w:val="Body Text Indent 3"/>
    <w:basedOn w:val="1"/>
    <w:qFormat/>
    <w:uiPriority w:val="0"/>
    <w:pPr>
      <w:spacing w:line="420" w:lineRule="exact"/>
      <w:ind w:left="965" w:leftChars="350" w:hanging="230" w:hangingChars="96"/>
    </w:pPr>
    <w:rPr>
      <w:color w:val="0000FF"/>
      <w:sz w:val="24"/>
      <w:u w:val="single" w:color="FFFFFF"/>
    </w:rPr>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38"/>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1"/>
    <w:qFormat/>
    <w:uiPriority w:val="0"/>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styleId="30">
    <w:name w:val="footnote reference"/>
    <w:qFormat/>
    <w:uiPriority w:val="0"/>
    <w:rPr>
      <w:vertAlign w:val="superscript"/>
    </w:rPr>
  </w:style>
  <w:style w:type="character" w:customStyle="1" w:styleId="31">
    <w:name w:val="标题 3 字符"/>
    <w:link w:val="4"/>
    <w:qFormat/>
    <w:uiPriority w:val="0"/>
    <w:rPr>
      <w:rFonts w:ascii="Calibri" w:hAnsi="Calibri" w:eastAsia="宋体"/>
      <w:b/>
      <w:bCs/>
      <w:kern w:val="2"/>
      <w:sz w:val="32"/>
      <w:szCs w:val="32"/>
      <w:lang w:val="en-US" w:eastAsia="zh-CN" w:bidi="ar-SA"/>
    </w:rPr>
  </w:style>
  <w:style w:type="character" w:customStyle="1" w:styleId="32">
    <w:name w:val="标题 4 字符"/>
    <w:link w:val="5"/>
    <w:qFormat/>
    <w:uiPriority w:val="0"/>
    <w:rPr>
      <w:rFonts w:ascii="Cambria" w:hAnsi="Cambria" w:eastAsia="宋体" w:cs="Times New Roman"/>
      <w:b/>
      <w:bCs/>
      <w:kern w:val="2"/>
      <w:sz w:val="28"/>
      <w:szCs w:val="28"/>
    </w:rPr>
  </w:style>
  <w:style w:type="character" w:customStyle="1" w:styleId="33">
    <w:name w:val="正文文本 字符"/>
    <w:link w:val="7"/>
    <w:qFormat/>
    <w:uiPriority w:val="0"/>
    <w:rPr>
      <w:kern w:val="2"/>
      <w:sz w:val="21"/>
      <w:szCs w:val="24"/>
    </w:rPr>
  </w:style>
  <w:style w:type="character" w:customStyle="1" w:styleId="34">
    <w:name w:val="纯文本 字符"/>
    <w:link w:val="10"/>
    <w:qFormat/>
    <w:uiPriority w:val="0"/>
    <w:rPr>
      <w:rFonts w:ascii="宋体" w:hAnsi="Courier New"/>
      <w:kern w:val="2"/>
      <w:sz w:val="21"/>
    </w:rPr>
  </w:style>
  <w:style w:type="character" w:customStyle="1" w:styleId="35">
    <w:name w:val="页脚 字符"/>
    <w:link w:val="14"/>
    <w:qFormat/>
    <w:uiPriority w:val="99"/>
    <w:rPr>
      <w:rFonts w:eastAsia="宋体"/>
      <w:kern w:val="2"/>
      <w:sz w:val="18"/>
      <w:szCs w:val="18"/>
      <w:lang w:val="en-US" w:eastAsia="zh-CN" w:bidi="ar-SA"/>
    </w:rPr>
  </w:style>
  <w:style w:type="character" w:customStyle="1" w:styleId="36">
    <w:name w:val="页眉 字符"/>
    <w:link w:val="15"/>
    <w:semiHidden/>
    <w:qFormat/>
    <w:uiPriority w:val="0"/>
    <w:rPr>
      <w:rFonts w:eastAsia="宋体"/>
      <w:kern w:val="2"/>
      <w:sz w:val="18"/>
      <w:szCs w:val="18"/>
      <w:lang w:val="en-US" w:eastAsia="zh-CN" w:bidi="ar-SA"/>
    </w:rPr>
  </w:style>
  <w:style w:type="character" w:customStyle="1" w:styleId="37">
    <w:name w:val="脚注文本 字符1"/>
    <w:link w:val="17"/>
    <w:qFormat/>
    <w:uiPriority w:val="0"/>
    <w:rPr>
      <w:rFonts w:ascii="Calibri" w:hAnsi="Calibri" w:eastAsia="宋体"/>
      <w:kern w:val="2"/>
      <w:sz w:val="18"/>
      <w:szCs w:val="18"/>
      <w:lang w:val="en-US" w:eastAsia="zh-CN" w:bidi="ar-SA"/>
    </w:rPr>
  </w:style>
  <w:style w:type="character" w:customStyle="1" w:styleId="38">
    <w:name w:val="标题 字符"/>
    <w:link w:val="21"/>
    <w:qFormat/>
    <w:uiPriority w:val="0"/>
    <w:rPr>
      <w:rFonts w:ascii="Cambria" w:hAnsi="Cambria" w:cs="Times New Roman"/>
      <w:b/>
      <w:bCs/>
      <w:kern w:val="2"/>
      <w:sz w:val="32"/>
      <w:szCs w:val="32"/>
    </w:rPr>
  </w:style>
  <w:style w:type="paragraph" w:customStyle="1" w:styleId="39">
    <w:name w:val="1"/>
    <w:basedOn w:val="1"/>
    <w:next w:val="10"/>
    <w:qFormat/>
    <w:uiPriority w:val="0"/>
    <w:pPr>
      <w:spacing w:line="400" w:lineRule="atLeast"/>
    </w:pPr>
    <w:rPr>
      <w:rFonts w:ascii="宋体" w:hAnsi="Courier New"/>
      <w:szCs w:val="20"/>
    </w:rPr>
  </w:style>
  <w:style w:type="paragraph" w:customStyle="1" w:styleId="40">
    <w:name w:val="Char"/>
    <w:basedOn w:val="1"/>
    <w:qFormat/>
    <w:uiPriority w:val="0"/>
    <w:pPr>
      <w:spacing w:line="360" w:lineRule="auto"/>
      <w:ind w:firstLine="200" w:firstLineChars="200"/>
    </w:pPr>
    <w:rPr>
      <w:rFonts w:ascii="宋体" w:hAnsi="宋体" w:cs="宋体"/>
      <w:sz w:val="24"/>
    </w:rPr>
  </w:style>
  <w:style w:type="paragraph" w:customStyle="1" w:styleId="41">
    <w:name w:val="Char Char Char Char"/>
    <w:basedOn w:val="1"/>
    <w:qFormat/>
    <w:uiPriority w:val="0"/>
    <w:pPr>
      <w:spacing w:line="360" w:lineRule="auto"/>
      <w:ind w:firstLine="200" w:firstLineChars="200"/>
    </w:pPr>
    <w:rPr>
      <w:rFonts w:ascii="宋体" w:hAnsi="宋体" w:cs="宋体"/>
      <w:sz w:val="24"/>
    </w:rPr>
  </w:style>
  <w:style w:type="paragraph" w:customStyle="1" w:styleId="42">
    <w:name w:val="Char Char"/>
    <w:basedOn w:val="1"/>
    <w:qFormat/>
    <w:uiPriority w:val="0"/>
    <w:rPr>
      <w:rFonts w:ascii="Tahoma" w:hAnsi="Tahoma"/>
      <w:sz w:val="24"/>
      <w:szCs w:val="20"/>
    </w:rPr>
  </w:style>
  <w:style w:type="paragraph" w:customStyle="1" w:styleId="4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4">
    <w:name w:val="CM99"/>
    <w:basedOn w:val="43"/>
    <w:next w:val="43"/>
    <w:qFormat/>
    <w:uiPriority w:val="0"/>
    <w:rPr>
      <w:rFonts w:cs="Times New Roman"/>
      <w:color w:val="auto"/>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47">
    <w:name w:val="Char Char2"/>
    <w:semiHidden/>
    <w:qFormat/>
    <w:uiPriority w:val="0"/>
    <w:rPr>
      <w:rFonts w:ascii="Times New Roman" w:hAnsi="Times New Roman"/>
      <w:kern w:val="2"/>
      <w:sz w:val="18"/>
      <w:szCs w:val="18"/>
    </w:rPr>
  </w:style>
  <w:style w:type="character" w:customStyle="1" w:styleId="48">
    <w:name w:val="Char Char1"/>
    <w:qFormat/>
    <w:uiPriority w:val="0"/>
    <w:rPr>
      <w:kern w:val="2"/>
      <w:sz w:val="18"/>
      <w:szCs w:val="18"/>
    </w:rPr>
  </w:style>
  <w:style w:type="paragraph" w:styleId="49">
    <w:name w:val="List Paragraph"/>
    <w:basedOn w:val="1"/>
    <w:qFormat/>
    <w:uiPriority w:val="34"/>
    <w:pPr>
      <w:ind w:firstLine="420" w:firstLineChars="200"/>
    </w:pPr>
    <w:rPr>
      <w:rFonts w:ascii="Calibri" w:hAnsi="Calibri"/>
      <w:szCs w:val="22"/>
    </w:rPr>
  </w:style>
  <w:style w:type="paragraph" w:customStyle="1" w:styleId="50">
    <w:name w:val="样式1"/>
    <w:basedOn w:val="4"/>
    <w:link w:val="51"/>
    <w:qFormat/>
    <w:uiPriority w:val="0"/>
    <w:pPr>
      <w:snapToGrid w:val="0"/>
      <w:spacing w:before="100" w:beforeAutospacing="1" w:after="100" w:afterAutospacing="1" w:line="240" w:lineRule="auto"/>
      <w:jc w:val="center"/>
    </w:pPr>
    <w:rPr>
      <w:rFonts w:ascii="黑体" w:eastAsia="黑体"/>
      <w:b w:val="0"/>
      <w:sz w:val="28"/>
      <w:szCs w:val="28"/>
    </w:rPr>
  </w:style>
  <w:style w:type="character" w:customStyle="1" w:styleId="51">
    <w:name w:val="样式1 Char"/>
    <w:link w:val="50"/>
    <w:qFormat/>
    <w:uiPriority w:val="0"/>
    <w:rPr>
      <w:rFonts w:ascii="黑体" w:hAnsi="Calibri" w:eastAsia="黑体"/>
      <w:bCs/>
      <w:kern w:val="2"/>
      <w:sz w:val="28"/>
      <w:szCs w:val="28"/>
      <w:lang w:val="en-US" w:eastAsia="zh-CN" w:bidi="ar-SA"/>
    </w:rPr>
  </w:style>
  <w:style w:type="paragraph" w:customStyle="1" w:styleId="52">
    <w:name w:val="Char Char1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53">
    <w:name w:val="TOC Heading"/>
    <w:basedOn w:val="2"/>
    <w:next w:val="1"/>
    <w:qFormat/>
    <w:uiPriority w:val="39"/>
    <w:pPr>
      <w:keepLines/>
      <w:widowControl/>
      <w:numPr>
        <w:numId w:val="0"/>
      </w:numPr>
      <w:tabs>
        <w:tab w:val="clear" w:pos="4095"/>
      </w:tabs>
      <w:spacing w:before="480" w:line="276" w:lineRule="auto"/>
      <w:jc w:val="left"/>
      <w:outlineLvl w:val="9"/>
    </w:pPr>
    <w:rPr>
      <w:rFonts w:ascii="Cambria" w:hAnsi="Cambria"/>
      <w:b/>
      <w:bCs/>
      <w:color w:val="365F91"/>
      <w:kern w:val="0"/>
      <w:sz w:val="28"/>
      <w:szCs w:val="28"/>
    </w:rPr>
  </w:style>
  <w:style w:type="paragraph" w:customStyle="1" w:styleId="5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脚注文本 字符"/>
    <w:qFormat/>
    <w:uiPriority w:val="0"/>
    <w:rPr>
      <w:rFonts w:ascii="Calibri" w:hAnsi="Calibri"/>
      <w:kern w:val="2"/>
      <w:sz w:val="18"/>
      <w:szCs w:val="18"/>
    </w:rPr>
  </w:style>
  <w:style w:type="paragraph" w:styleId="57">
    <w:name w:val="Quote"/>
    <w:basedOn w:val="1"/>
    <w:next w:val="1"/>
    <w:link w:val="5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59">
    <w:name w:val="其他_"/>
    <w:link w:val="60"/>
    <w:autoRedefine/>
    <w:qFormat/>
    <w:uiPriority w:val="0"/>
    <w:rPr>
      <w:rFonts w:ascii="宋体" w:hAnsi="宋体" w:cs="宋体"/>
      <w:shd w:val="clear" w:color="auto" w:fill="FFFFFF"/>
      <w:lang w:val="zh-CN" w:bidi="zh-CN"/>
    </w:rPr>
  </w:style>
  <w:style w:type="paragraph" w:customStyle="1" w:styleId="60">
    <w:name w:val="其他"/>
    <w:basedOn w:val="1"/>
    <w:link w:val="59"/>
    <w:autoRedefine/>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character" w:customStyle="1" w:styleId="61">
    <w:name w:val="批注主题 字符"/>
    <w:link w:val="22"/>
    <w:qFormat/>
    <w:uiPriority w:val="0"/>
    <w:rPr>
      <w:b/>
      <w:bCs/>
      <w:kern w:val="2"/>
      <w:sz w:val="21"/>
      <w:szCs w:val="24"/>
    </w:rPr>
  </w:style>
  <w:style w:type="character" w:customStyle="1" w:styleId="62">
    <w:name w:val="正文文本 (2)_"/>
    <w:link w:val="63"/>
    <w:autoRedefine/>
    <w:qFormat/>
    <w:uiPriority w:val="0"/>
    <w:rPr>
      <w:rFonts w:ascii="宋体" w:hAnsi="宋体" w:cs="宋体"/>
      <w:sz w:val="22"/>
      <w:szCs w:val="22"/>
      <w:shd w:val="clear" w:color="auto" w:fill="FFFFFF"/>
    </w:rPr>
  </w:style>
  <w:style w:type="paragraph" w:customStyle="1" w:styleId="63">
    <w:name w:val="正文文本 (2)"/>
    <w:basedOn w:val="1"/>
    <w:link w:val="62"/>
    <w:autoRedefine/>
    <w:qFormat/>
    <w:uiPriority w:val="0"/>
    <w:pPr>
      <w:shd w:val="clear" w:color="auto" w:fill="FFFFFF"/>
      <w:spacing w:before="300" w:line="439" w:lineRule="exact"/>
      <w:jc w:val="distribute"/>
    </w:pPr>
    <w:rPr>
      <w:rFonts w:ascii="宋体" w:hAnsi="宋体" w:cs="宋体"/>
      <w:kern w:val="0"/>
      <w:sz w:val="22"/>
      <w:szCs w:val="22"/>
    </w:rPr>
  </w:style>
  <w:style w:type="paragraph" w:customStyle="1" w:styleId="64">
    <w:name w:val="MSG_EN_FONT_STYLE_NAME_TEMPLATE_ROLE_LEVEL MSG_EN_FONT_STYLE_NAME_BY_ROLE_HEADING 6"/>
    <w:basedOn w:val="1"/>
    <w:qFormat/>
    <w:uiPriority w:val="0"/>
    <w:pPr>
      <w:shd w:val="clear" w:color="auto" w:fill="FFFFFF"/>
      <w:spacing w:before="460" w:after="760" w:line="300" w:lineRule="exact"/>
      <w:jc w:val="distribute"/>
      <w:outlineLvl w:val="5"/>
    </w:pPr>
    <w:rPr>
      <w:rFonts w:ascii="@PMingLiU" w:hAnsi="@PMingLiU" w:eastAsia="@PMingLiU" w:cs="@PMingLiU"/>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C7AAC-F97A-44ED-AECE-004D6C993168}">
  <ds:schemaRefs/>
</ds:datastoreItem>
</file>

<file path=docProps/app.xml><?xml version="1.0" encoding="utf-8"?>
<Properties xmlns="http://schemas.openxmlformats.org/officeDocument/2006/extended-properties" xmlns:vt="http://schemas.openxmlformats.org/officeDocument/2006/docPropsVTypes">
  <Template>Normal</Template>
  <Pages>17</Pages>
  <Words>2107</Words>
  <Characters>2300</Characters>
  <Lines>1541</Lines>
  <Paragraphs>1650</Paragraphs>
  <TotalTime>3</TotalTime>
  <ScaleCrop>false</ScaleCrop>
  <LinksUpToDate>false</LinksUpToDate>
  <CharactersWithSpaces>2315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2025-04-10T05:25:00Z</dcterms:created>
  <dcterms:modified xsi:type="dcterms:W3CDTF">2026-03-25T00:56:20Z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eyJoZGlkIjoiYzE4NTYxOGVkOTViODQxMjFmMWIxMzE5ZTRlOGE3NmUiLCJ1c2VySWQiOiI0MzA2NDQ1NzAifQ==</vt:lpwstr>
  </property>
  <property fmtid="{D5CDD505-2E9C-101B-9397-08002B2CF9AE}" pid="3" name="KSOProductBuildVer">
    <vt:lpwstr>2052-12.1.0.25225</vt:lpwstr>
  </property>
  <property fmtid="{D5CDD505-2E9C-101B-9397-08002B2CF9AE}" pid="4" name="ICV">
    <vt:lpwstr>A37A9974D47F4D09A11F89DE6D12BA50_12</vt:lpwstr>
  </property>
</Properties>
</file>