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80987C">
      <w:pPr>
        <w:keepLines w:val="0"/>
        <w:pageBreakBefore w:val="0"/>
        <w:kinsoku/>
        <w:wordWrap/>
        <w:overflowPunct/>
        <w:topLinePunct w:val="0"/>
        <w:bidi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lang w:val="en-US" w:eastAsia="zh-CN"/>
        </w:rPr>
        <w:t>松原</w:t>
      </w:r>
      <w:r>
        <w:rPr>
          <w:rFonts w:hint="eastAsia" w:ascii="宋体" w:hAnsi="宋体" w:eastAsia="宋体" w:cs="宋体"/>
          <w:b/>
          <w:sz w:val="21"/>
          <w:szCs w:val="21"/>
        </w:rPr>
        <w:t>市2026年普通国省干线公路养护工程</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第一批</w:t>
      </w:r>
      <w:r>
        <w:rPr>
          <w:rFonts w:hint="eastAsia" w:ascii="宋体" w:hAnsi="宋体" w:eastAsia="宋体" w:cs="宋体"/>
          <w:b/>
          <w:sz w:val="21"/>
          <w:szCs w:val="21"/>
          <w:lang w:eastAsia="zh-CN"/>
        </w:rPr>
        <w:t>）</w:t>
      </w:r>
      <w:r>
        <w:rPr>
          <w:rFonts w:hint="eastAsia" w:ascii="宋体" w:hAnsi="宋体" w:eastAsia="宋体" w:cs="宋体"/>
          <w:b/>
          <w:sz w:val="21"/>
          <w:szCs w:val="21"/>
        </w:rPr>
        <w:t>勘察设计</w:t>
      </w:r>
    </w:p>
    <w:p w14:paraId="2966BAD2">
      <w:pPr>
        <w:keepLines w:val="0"/>
        <w:pageBreakBefore w:val="0"/>
        <w:kinsoku/>
        <w:wordWrap/>
        <w:overflowPunct/>
        <w:topLinePunct w:val="0"/>
        <w:bidi w:val="0"/>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招标文件公开内容</w:t>
      </w:r>
    </w:p>
    <w:p w14:paraId="6519C1BC">
      <w:pPr>
        <w:keepLines w:val="0"/>
        <w:pageBreakBefore w:val="0"/>
        <w:tabs>
          <w:tab w:val="center" w:pos="4819"/>
        </w:tabs>
        <w:kinsoku/>
        <w:wordWrap/>
        <w:overflowPunct/>
        <w:topLinePunct w:val="0"/>
        <w:bidi w:val="0"/>
        <w:spacing w:line="360" w:lineRule="exact"/>
        <w:rPr>
          <w:rFonts w:hint="eastAsia" w:ascii="宋体" w:hAnsi="宋体" w:eastAsia="宋体" w:cs="宋体"/>
          <w:b/>
          <w:sz w:val="21"/>
          <w:szCs w:val="21"/>
        </w:rPr>
      </w:pPr>
      <w:r>
        <w:rPr>
          <w:rFonts w:hint="eastAsia" w:ascii="宋体" w:hAnsi="宋体" w:eastAsia="宋体" w:cs="宋体"/>
          <w:b/>
          <w:sz w:val="21"/>
          <w:szCs w:val="21"/>
        </w:rPr>
        <w:t>一、项目概况与招标范围</w:t>
      </w:r>
      <w:r>
        <w:rPr>
          <w:rFonts w:hint="eastAsia" w:ascii="宋体" w:hAnsi="宋体" w:eastAsia="宋体" w:cs="宋体"/>
          <w:b/>
          <w:sz w:val="21"/>
          <w:szCs w:val="21"/>
        </w:rPr>
        <w:tab/>
      </w:r>
    </w:p>
    <w:p w14:paraId="282A3306">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详见招标公告</w:t>
      </w:r>
    </w:p>
    <w:p w14:paraId="75F42BF7">
      <w:pPr>
        <w:keepLines w:val="0"/>
        <w:pageBreakBefore w:val="0"/>
        <w:kinsoku/>
        <w:wordWrap/>
        <w:overflowPunct/>
        <w:topLinePunct w:val="0"/>
        <w:bidi w:val="0"/>
        <w:spacing w:line="360" w:lineRule="exact"/>
        <w:rPr>
          <w:rFonts w:hint="eastAsia" w:ascii="宋体" w:hAnsi="宋体" w:eastAsia="宋体" w:cs="宋体"/>
          <w:b/>
          <w:sz w:val="21"/>
          <w:szCs w:val="21"/>
        </w:rPr>
      </w:pPr>
      <w:r>
        <w:rPr>
          <w:rFonts w:hint="eastAsia" w:ascii="宋体" w:hAnsi="宋体" w:eastAsia="宋体" w:cs="宋体"/>
          <w:b/>
          <w:sz w:val="21"/>
          <w:szCs w:val="21"/>
        </w:rPr>
        <w:t>二、投标人资格要求</w:t>
      </w:r>
    </w:p>
    <w:p w14:paraId="3347AB2D">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rPr>
        <w:t xml:space="preserve">    投标人须知前附表（投标人资格要求部分）</w:t>
      </w:r>
    </w:p>
    <w:tbl>
      <w:tblPr>
        <w:tblStyle w:val="6"/>
        <w:tblW w:w="9475" w:type="dxa"/>
        <w:jc w:val="center"/>
        <w:tblLayout w:type="fixed"/>
        <w:tblCellMar>
          <w:top w:w="0" w:type="dxa"/>
          <w:left w:w="28" w:type="dxa"/>
          <w:bottom w:w="0" w:type="dxa"/>
          <w:right w:w="28" w:type="dxa"/>
        </w:tblCellMar>
      </w:tblPr>
      <w:tblGrid>
        <w:gridCol w:w="953"/>
        <w:gridCol w:w="2006"/>
        <w:gridCol w:w="6516"/>
      </w:tblGrid>
      <w:tr w14:paraId="6A27579C">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F7EAE58">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rPr>
              <w:t>条款号</w:t>
            </w:r>
          </w:p>
        </w:tc>
        <w:tc>
          <w:tcPr>
            <w:tcW w:w="2006" w:type="dxa"/>
            <w:tcBorders>
              <w:top w:val="single" w:color="000000" w:sz="4" w:space="0"/>
              <w:left w:val="single" w:color="000000" w:sz="4" w:space="0"/>
              <w:bottom w:val="single" w:color="000000" w:sz="4" w:space="0"/>
              <w:right w:val="single" w:color="000000" w:sz="4" w:space="0"/>
            </w:tcBorders>
            <w:vAlign w:val="center"/>
          </w:tcPr>
          <w:p w14:paraId="19F34D5F">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条款名称</w:t>
            </w:r>
          </w:p>
        </w:tc>
        <w:tc>
          <w:tcPr>
            <w:tcW w:w="6516" w:type="dxa"/>
            <w:tcBorders>
              <w:top w:val="single" w:color="000000" w:sz="4" w:space="0"/>
              <w:left w:val="single" w:color="000000" w:sz="4" w:space="0"/>
              <w:bottom w:val="single" w:color="000000" w:sz="4" w:space="0"/>
              <w:right w:val="single" w:color="auto" w:sz="12" w:space="0"/>
            </w:tcBorders>
            <w:vAlign w:val="center"/>
          </w:tcPr>
          <w:p w14:paraId="25EC0277">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rPr>
              <w:t>编列内容</w:t>
            </w:r>
          </w:p>
        </w:tc>
      </w:tr>
      <w:tr w14:paraId="6D122821">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0258E759">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1.4.1</w:t>
            </w:r>
          </w:p>
        </w:tc>
        <w:tc>
          <w:tcPr>
            <w:tcW w:w="2006" w:type="dxa"/>
            <w:tcBorders>
              <w:top w:val="single" w:color="000000" w:sz="4" w:space="0"/>
              <w:left w:val="single" w:color="000000" w:sz="4" w:space="0"/>
              <w:bottom w:val="single" w:color="000000" w:sz="4" w:space="0"/>
              <w:right w:val="single" w:color="000000" w:sz="4" w:space="0"/>
            </w:tcBorders>
            <w:vAlign w:val="center"/>
          </w:tcPr>
          <w:p w14:paraId="2334F51A">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投标人资质条件、</w:t>
            </w:r>
          </w:p>
          <w:p w14:paraId="142DB9E8">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能力和信誉</w:t>
            </w:r>
          </w:p>
        </w:tc>
        <w:tc>
          <w:tcPr>
            <w:tcW w:w="6516" w:type="dxa"/>
            <w:tcBorders>
              <w:top w:val="single" w:color="000000" w:sz="4" w:space="0"/>
              <w:left w:val="single" w:color="000000" w:sz="4" w:space="0"/>
              <w:bottom w:val="single" w:color="000000" w:sz="4" w:space="0"/>
              <w:right w:val="single" w:color="auto" w:sz="12" w:space="0"/>
            </w:tcBorders>
            <w:vAlign w:val="center"/>
          </w:tcPr>
          <w:p w14:paraId="6193D2B2">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资质条件：</w:t>
            </w:r>
            <w:r>
              <w:rPr>
                <w:rFonts w:hint="eastAsia" w:ascii="宋体" w:hAnsi="宋体" w:eastAsia="宋体" w:cs="宋体"/>
                <w:sz w:val="21"/>
                <w:szCs w:val="21"/>
                <w:highlight w:val="none"/>
              </w:rPr>
              <w:t>见附录1</w:t>
            </w:r>
          </w:p>
          <w:p w14:paraId="27CF7B37">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业绩要求：见附录2</w:t>
            </w:r>
          </w:p>
          <w:p w14:paraId="20C8C6A4">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信誉要求：见附录3</w:t>
            </w:r>
          </w:p>
          <w:p w14:paraId="0D18BAF8">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sz w:val="21"/>
                <w:szCs w:val="21"/>
                <w:highlight w:val="none"/>
              </w:rPr>
              <w:t>项目负责人资格：见附录4</w:t>
            </w:r>
          </w:p>
        </w:tc>
      </w:tr>
      <w:tr w14:paraId="73D8A1C8">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6C9A73F8">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1.4.2</w:t>
            </w:r>
          </w:p>
        </w:tc>
        <w:tc>
          <w:tcPr>
            <w:tcW w:w="2006" w:type="dxa"/>
            <w:tcBorders>
              <w:top w:val="single" w:color="000000" w:sz="4" w:space="0"/>
              <w:left w:val="single" w:color="000000" w:sz="4" w:space="0"/>
              <w:bottom w:val="single" w:color="000000" w:sz="4" w:space="0"/>
              <w:right w:val="single" w:color="000000" w:sz="4" w:space="0"/>
            </w:tcBorders>
            <w:vAlign w:val="center"/>
          </w:tcPr>
          <w:p w14:paraId="7C5FE634">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是否接受联合体投标</w:t>
            </w:r>
          </w:p>
        </w:tc>
        <w:tc>
          <w:tcPr>
            <w:tcW w:w="6516" w:type="dxa"/>
            <w:tcBorders>
              <w:top w:val="single" w:color="000000" w:sz="4" w:space="0"/>
              <w:left w:val="single" w:color="000000" w:sz="4" w:space="0"/>
              <w:bottom w:val="single" w:color="000000" w:sz="4" w:space="0"/>
              <w:right w:val="single" w:color="auto" w:sz="12" w:space="0"/>
            </w:tcBorders>
            <w:vAlign w:val="center"/>
          </w:tcPr>
          <w:p w14:paraId="37C69583">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rPr>
              <w:t>不接受</w:t>
            </w:r>
          </w:p>
          <w:p w14:paraId="06A41588">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lang w:val="zh-CN"/>
              </w:rPr>
              <w:fldChar w:fldCharType="begin"/>
            </w:r>
            <w:r>
              <w:rPr>
                <w:rFonts w:hint="eastAsia" w:ascii="宋体" w:hAnsi="宋体" w:eastAsia="宋体" w:cs="宋体"/>
                <w:kern w:val="0"/>
                <w:sz w:val="21"/>
                <w:szCs w:val="21"/>
                <w:highlight w:val="none"/>
                <w:lang w:val="zh-CN"/>
              </w:rPr>
              <w:instrText xml:space="preserve">eq \o\ac(</w:instrText>
            </w:r>
            <w:r>
              <w:rPr>
                <w:rFonts w:hint="eastAsia" w:ascii="宋体" w:hAnsi="宋体" w:eastAsia="宋体" w:cs="宋体"/>
                <w:kern w:val="0"/>
                <w:position w:val="-4"/>
                <w:sz w:val="31"/>
                <w:szCs w:val="21"/>
                <w:highlight w:val="none"/>
                <w:lang w:val="zh-CN"/>
              </w:rPr>
              <w:instrText xml:space="preserve">□</w:instrText>
            </w:r>
            <w:r>
              <w:rPr>
                <w:rFonts w:hint="eastAsia" w:ascii="宋体" w:hAnsi="宋体" w:eastAsia="宋体" w:cs="宋体"/>
                <w:kern w:val="0"/>
                <w:position w:val="0"/>
                <w:sz w:val="21"/>
                <w:szCs w:val="21"/>
                <w:highlight w:val="none"/>
                <w:lang w:val="zh-CN"/>
              </w:rPr>
              <w:instrText xml:space="preserve">,√)</w:instrText>
            </w:r>
            <w:r>
              <w:rPr>
                <w:rFonts w:hint="eastAsia" w:ascii="宋体" w:hAnsi="宋体" w:eastAsia="宋体" w:cs="宋体"/>
                <w:kern w:val="0"/>
                <w:sz w:val="21"/>
                <w:szCs w:val="21"/>
                <w:highlight w:val="none"/>
                <w:lang w:val="zh-CN"/>
              </w:rPr>
              <w:fldChar w:fldCharType="end"/>
            </w:r>
            <w:r>
              <w:rPr>
                <w:rFonts w:hint="eastAsia" w:ascii="宋体" w:hAnsi="宋体" w:eastAsia="宋体" w:cs="宋体"/>
                <w:sz w:val="21"/>
                <w:szCs w:val="21"/>
                <w:highlight w:val="none"/>
              </w:rPr>
              <w:t>接受，应满足下列要求：</w:t>
            </w:r>
            <w:r>
              <w:rPr>
                <w:rFonts w:hint="eastAsia" w:ascii="宋体" w:hAnsi="宋体" w:eastAsia="宋体" w:cs="宋体"/>
                <w:sz w:val="21"/>
                <w:szCs w:val="21"/>
                <w:highlight w:val="none"/>
                <w:lang w:val="en-US" w:eastAsia="zh-CN"/>
              </w:rPr>
              <w:t>见第一章招标公告。</w:t>
            </w:r>
          </w:p>
        </w:tc>
      </w:tr>
      <w:tr w14:paraId="20FDF494">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58C35C15">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w:t>
            </w:r>
            <w:r>
              <w:rPr>
                <w:rFonts w:hint="eastAsia" w:ascii="宋体" w:hAnsi="宋体" w:eastAsia="宋体" w:cs="宋体"/>
                <w:sz w:val="21"/>
                <w:szCs w:val="21"/>
                <w:highlight w:val="none"/>
              </w:rPr>
              <w:t>3</w:t>
            </w:r>
          </w:p>
        </w:tc>
        <w:tc>
          <w:tcPr>
            <w:tcW w:w="2006" w:type="dxa"/>
            <w:tcBorders>
              <w:top w:val="single" w:color="000000" w:sz="4" w:space="0"/>
              <w:left w:val="single" w:color="000000" w:sz="4" w:space="0"/>
              <w:bottom w:val="single" w:color="000000" w:sz="4" w:space="0"/>
              <w:right w:val="single" w:color="000000" w:sz="4" w:space="0"/>
            </w:tcBorders>
            <w:vAlign w:val="center"/>
          </w:tcPr>
          <w:p w14:paraId="0EA79292">
            <w:pPr>
              <w:pStyle w:val="10"/>
              <w:keepNext/>
              <w:keepLines w:val="0"/>
              <w:pageBreakBefore w:val="0"/>
              <w:shd w:val="clear" w:color="auto" w:fill="auto"/>
              <w:kinsoku/>
              <w:wordWrap/>
              <w:overflowPunct/>
              <w:topLinePunct w:val="0"/>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20C7B442">
            <w:pPr>
              <w:keepLines w:val="0"/>
              <w:pageBreakBefore w:val="0"/>
              <w:kinsoku/>
              <w:wordWrap/>
              <w:overflowPunct/>
              <w:topLinePunct w:val="0"/>
              <w:bidi w:val="0"/>
              <w:spacing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其他关联情形</w:t>
            </w:r>
          </w:p>
        </w:tc>
        <w:tc>
          <w:tcPr>
            <w:tcW w:w="6516" w:type="dxa"/>
            <w:tcBorders>
              <w:top w:val="single" w:color="000000" w:sz="4" w:space="0"/>
              <w:left w:val="single" w:color="000000" w:sz="4" w:space="0"/>
              <w:bottom w:val="single" w:color="000000" w:sz="4" w:space="0"/>
              <w:right w:val="single" w:color="auto" w:sz="12" w:space="0"/>
            </w:tcBorders>
            <w:vAlign w:val="center"/>
          </w:tcPr>
          <w:p w14:paraId="3A210D09">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r w14:paraId="6DFFA35A">
        <w:tblPrEx>
          <w:tblCellMar>
            <w:top w:w="0" w:type="dxa"/>
            <w:left w:w="28" w:type="dxa"/>
            <w:bottom w:w="0" w:type="dxa"/>
            <w:right w:w="28" w:type="dxa"/>
          </w:tblCellMar>
        </w:tblPrEx>
        <w:trPr>
          <w:trHeight w:val="567" w:hRule="atLeast"/>
          <w:jc w:val="center"/>
        </w:trPr>
        <w:tc>
          <w:tcPr>
            <w:tcW w:w="953" w:type="dxa"/>
            <w:tcBorders>
              <w:top w:val="single" w:color="000000" w:sz="4" w:space="0"/>
              <w:left w:val="single" w:color="auto" w:sz="12" w:space="0"/>
              <w:bottom w:val="single" w:color="000000" w:sz="4" w:space="0"/>
              <w:right w:val="single" w:color="000000" w:sz="4" w:space="0"/>
            </w:tcBorders>
            <w:vAlign w:val="center"/>
          </w:tcPr>
          <w:p w14:paraId="499C913B">
            <w:pPr>
              <w:keepLines w:val="0"/>
              <w:pageBreakBefore w:val="0"/>
              <w:kinsoku/>
              <w:wordWrap/>
              <w:overflowPunct/>
              <w:topLinePunct w:val="0"/>
              <w:bidi w:val="0"/>
              <w:adjustRightInd w:val="0"/>
              <w:snapToGrid w:val="0"/>
              <w:spacing w:before="100" w:beforeAutospacing="1" w:after="100" w:afterAutospacing="1" w:line="360" w:lineRule="exact"/>
              <w:jc w:val="center"/>
              <w:rPr>
                <w:rFonts w:hint="eastAsia" w:ascii="宋体" w:hAnsi="宋体" w:eastAsia="宋体" w:cs="宋体"/>
                <w:sz w:val="21"/>
                <w:szCs w:val="21"/>
              </w:rPr>
            </w:pPr>
            <w:r>
              <w:rPr>
                <w:rFonts w:hint="eastAsia" w:ascii="宋体" w:hAnsi="宋体" w:eastAsia="宋体" w:cs="宋体"/>
                <w:sz w:val="21"/>
                <w:szCs w:val="21"/>
                <w:highlight w:val="none"/>
              </w:rPr>
              <w:t>1.4.4</w:t>
            </w:r>
          </w:p>
        </w:tc>
        <w:tc>
          <w:tcPr>
            <w:tcW w:w="2006" w:type="dxa"/>
            <w:tcBorders>
              <w:top w:val="single" w:color="000000" w:sz="4" w:space="0"/>
              <w:left w:val="single" w:color="000000" w:sz="4" w:space="0"/>
              <w:bottom w:val="single" w:color="000000" w:sz="4" w:space="0"/>
              <w:right w:val="single" w:color="000000" w:sz="4" w:space="0"/>
            </w:tcBorders>
            <w:vAlign w:val="center"/>
          </w:tcPr>
          <w:p w14:paraId="7498B1FB">
            <w:pPr>
              <w:pStyle w:val="10"/>
              <w:keepNext/>
              <w:keepLines w:val="0"/>
              <w:pageBreakBefore w:val="0"/>
              <w:shd w:val="clear" w:color="auto" w:fill="auto"/>
              <w:kinsoku/>
              <w:wordWrap/>
              <w:overflowPunct/>
              <w:topLinePunct w:val="0"/>
              <w:bidi w:val="0"/>
              <w:spacing w:line="360" w:lineRule="exact"/>
              <w:ind w:firstLine="0"/>
              <w:jc w:val="center"/>
              <w:rPr>
                <w:rFonts w:hint="eastAsia" w:ascii="宋体" w:hAnsi="宋体" w:eastAsia="宋体" w:cs="宋体"/>
                <w:kern w:val="2"/>
                <w:sz w:val="21"/>
                <w:szCs w:val="21"/>
                <w:highlight w:val="none"/>
                <w:lang w:val="en-US" w:bidi="ar-SA"/>
              </w:rPr>
            </w:pPr>
            <w:r>
              <w:rPr>
                <w:rFonts w:hint="eastAsia" w:ascii="宋体" w:hAnsi="宋体" w:eastAsia="宋体" w:cs="宋体"/>
                <w:kern w:val="2"/>
                <w:sz w:val="21"/>
                <w:szCs w:val="21"/>
                <w:highlight w:val="none"/>
                <w:lang w:val="en-US" w:bidi="ar-SA"/>
              </w:rPr>
              <w:t>投标人不得存在的</w:t>
            </w:r>
          </w:p>
          <w:p w14:paraId="1E63638F">
            <w:pPr>
              <w:pStyle w:val="10"/>
              <w:keepNext/>
              <w:keepLines w:val="0"/>
              <w:pageBreakBefore w:val="0"/>
              <w:shd w:val="clear" w:color="auto" w:fill="auto"/>
              <w:kinsoku/>
              <w:wordWrap/>
              <w:overflowPunct/>
              <w:topLinePunct w:val="0"/>
              <w:bidi w:val="0"/>
              <w:spacing w:line="360" w:lineRule="exact"/>
              <w:ind w:firstLine="0" w:firstLineChars="0"/>
              <w:jc w:val="center"/>
              <w:rPr>
                <w:rFonts w:hint="eastAsia" w:ascii="宋体" w:hAnsi="宋体" w:eastAsia="宋体" w:cs="宋体"/>
                <w:sz w:val="21"/>
                <w:szCs w:val="21"/>
                <w:lang w:val="en-US" w:bidi="ar-SA"/>
              </w:rPr>
            </w:pPr>
            <w:r>
              <w:rPr>
                <w:rFonts w:hint="eastAsia" w:ascii="宋体" w:hAnsi="宋体" w:eastAsia="宋体" w:cs="宋体"/>
                <w:kern w:val="2"/>
                <w:sz w:val="21"/>
                <w:szCs w:val="21"/>
                <w:highlight w:val="none"/>
                <w:lang w:val="en-US" w:bidi="ar-SA"/>
              </w:rPr>
              <w:t>其他不良状况或不良信用记录</w:t>
            </w:r>
          </w:p>
        </w:tc>
        <w:tc>
          <w:tcPr>
            <w:tcW w:w="6516" w:type="dxa"/>
            <w:tcBorders>
              <w:top w:val="single" w:color="000000" w:sz="4" w:space="0"/>
              <w:left w:val="single" w:color="000000" w:sz="4" w:space="0"/>
              <w:bottom w:val="single" w:color="000000" w:sz="4" w:space="0"/>
              <w:right w:val="single" w:color="auto" w:sz="12" w:space="0"/>
            </w:tcBorders>
            <w:vAlign w:val="center"/>
          </w:tcPr>
          <w:p w14:paraId="58206641">
            <w:pPr>
              <w:keepLines w:val="0"/>
              <w:pageBreakBefore w:val="0"/>
              <w:kinsoku/>
              <w:wordWrap/>
              <w:overflowPunct/>
              <w:topLinePunct w:val="0"/>
              <w:bidi w:val="0"/>
              <w:spacing w:line="360" w:lineRule="exact"/>
              <w:rPr>
                <w:rFonts w:hint="eastAsia" w:ascii="宋体" w:hAnsi="宋体" w:eastAsia="宋体" w:cs="宋体"/>
                <w:sz w:val="21"/>
                <w:szCs w:val="21"/>
              </w:rPr>
            </w:pPr>
            <w:r>
              <w:rPr>
                <w:rFonts w:hint="eastAsia" w:ascii="宋体" w:hAnsi="宋体" w:eastAsia="宋体" w:cs="宋体"/>
                <w:kern w:val="0"/>
                <w:sz w:val="21"/>
                <w:szCs w:val="21"/>
                <w:highlight w:val="none"/>
              </w:rPr>
              <w:t>/</w:t>
            </w:r>
          </w:p>
        </w:tc>
      </w:tr>
    </w:tbl>
    <w:p w14:paraId="35DD73FE">
      <w:pPr>
        <w:keepLines w:val="0"/>
        <w:pageBreakBefore w:val="0"/>
        <w:kinsoku/>
        <w:wordWrap/>
        <w:overflowPunct/>
        <w:topLinePunct w:val="0"/>
        <w:bidi w:val="0"/>
        <w:spacing w:line="360" w:lineRule="exact"/>
        <w:rPr>
          <w:rFonts w:hint="eastAsia" w:ascii="宋体" w:hAnsi="宋体" w:eastAsia="宋体" w:cs="宋体"/>
          <w:sz w:val="21"/>
          <w:szCs w:val="21"/>
          <w:highlight w:val="none"/>
        </w:rPr>
      </w:pPr>
      <w:bookmarkStart w:id="0" w:name="_Toc152042310"/>
      <w:bookmarkStart w:id="1" w:name="_Toc152045534"/>
      <w:bookmarkStart w:id="2" w:name="_Toc502741808"/>
      <w:bookmarkStart w:id="3" w:name="_Toc179632551"/>
      <w:bookmarkStart w:id="4" w:name="_Toc144974502"/>
      <w:bookmarkStart w:id="5" w:name="_Toc109385483"/>
      <w:r>
        <w:rPr>
          <w:rFonts w:hint="eastAsia" w:ascii="宋体" w:hAnsi="宋体" w:eastAsia="宋体" w:cs="宋体"/>
          <w:sz w:val="21"/>
          <w:szCs w:val="21"/>
          <w:highlight w:val="none"/>
        </w:rPr>
        <w:t>1.4投标人资格要求（适用于未进行资格预审的）</w:t>
      </w:r>
      <w:bookmarkEnd w:id="0"/>
      <w:bookmarkEnd w:id="1"/>
      <w:bookmarkEnd w:id="2"/>
      <w:bookmarkEnd w:id="3"/>
      <w:bookmarkEnd w:id="4"/>
    </w:p>
    <w:p w14:paraId="7E31D689">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1.4.1投标人应具备承担本标段</w:t>
      </w:r>
      <w:r>
        <w:rPr>
          <w:rFonts w:hint="eastAsia" w:ascii="宋体" w:hAnsi="宋体" w:eastAsia="宋体" w:cs="宋体"/>
          <w:sz w:val="21"/>
          <w:szCs w:val="21"/>
          <w:highlight w:val="none"/>
        </w:rPr>
        <w:t>勘察设计</w:t>
      </w:r>
      <w:r>
        <w:rPr>
          <w:rFonts w:hint="eastAsia" w:ascii="宋体" w:hAnsi="宋体" w:eastAsia="宋体" w:cs="宋体"/>
          <w:sz w:val="21"/>
          <w:szCs w:val="21"/>
          <w:highlight w:val="none"/>
        </w:rPr>
        <w:t>的资质条件、能力和信誉。</w:t>
      </w:r>
    </w:p>
    <w:p w14:paraId="23FB0D9E">
      <w:pPr>
        <w:keepLines w:val="0"/>
        <w:pageBreakBefore w:val="0"/>
        <w:tabs>
          <w:tab w:val="left" w:pos="993"/>
        </w:tabs>
        <w:kinsoku/>
        <w:wordWrap/>
        <w:overflowPunct/>
        <w:topLinePunct w:val="0"/>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资质</w:t>
      </w:r>
      <w:r>
        <w:rPr>
          <w:rFonts w:hint="eastAsia" w:ascii="宋体" w:hAnsi="宋体" w:eastAsia="宋体" w:cs="宋体"/>
          <w:sz w:val="21"/>
          <w:szCs w:val="21"/>
          <w:highlight w:val="none"/>
        </w:rPr>
        <w:t>要求</w:t>
      </w:r>
      <w:r>
        <w:rPr>
          <w:rFonts w:hint="eastAsia" w:ascii="宋体" w:hAnsi="宋体" w:eastAsia="宋体" w:cs="宋体"/>
          <w:sz w:val="21"/>
          <w:szCs w:val="21"/>
          <w:highlight w:val="none"/>
        </w:rPr>
        <w:t>：见投标人须知前附表；</w:t>
      </w:r>
    </w:p>
    <w:p w14:paraId="75F47791">
      <w:pPr>
        <w:keepLines w:val="0"/>
        <w:pageBreakBefore w:val="0"/>
        <w:tabs>
          <w:tab w:val="left" w:pos="993"/>
        </w:tabs>
        <w:kinsoku/>
        <w:wordWrap/>
        <w:overflowPunct/>
        <w:topLinePunct w:val="0"/>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业绩要求：见投标人须知前附表；</w:t>
      </w:r>
    </w:p>
    <w:p w14:paraId="361E0B5E">
      <w:pPr>
        <w:keepLines w:val="0"/>
        <w:pageBreakBefore w:val="0"/>
        <w:tabs>
          <w:tab w:val="left" w:pos="993"/>
        </w:tabs>
        <w:kinsoku/>
        <w:wordWrap/>
        <w:overflowPunct/>
        <w:topLinePunct w:val="0"/>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信誉要求：见投标人须知前附表；</w:t>
      </w:r>
    </w:p>
    <w:p w14:paraId="0FA3A9E5">
      <w:pPr>
        <w:keepLines w:val="0"/>
        <w:pageBreakBefore w:val="0"/>
        <w:tabs>
          <w:tab w:val="left" w:pos="993"/>
        </w:tabs>
        <w:kinsoku/>
        <w:wordWrap/>
        <w:overflowPunct/>
        <w:topLinePunct w:val="0"/>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rPr>
        <w:t>项目负责人资格：见投标人须知前附表；</w:t>
      </w:r>
    </w:p>
    <w:p w14:paraId="56A1E0B1">
      <w:pPr>
        <w:keepLines w:val="0"/>
        <w:pageBreakBefore w:val="0"/>
        <w:tabs>
          <w:tab w:val="left" w:pos="993"/>
        </w:tabs>
        <w:kinsoku/>
        <w:wordWrap/>
        <w:overflowPunct/>
        <w:topLinePunct w:val="0"/>
        <w:bidi w:val="0"/>
        <w:spacing w:line="360" w:lineRule="exact"/>
        <w:ind w:left="426" w:hanging="6"/>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rPr>
        <w:t>其他要求：见投标人须知前附表。</w:t>
      </w:r>
    </w:p>
    <w:p w14:paraId="24EA66FB">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需要提交的相关证明材料见本章第3.5款的规定。</w:t>
      </w:r>
    </w:p>
    <w:p w14:paraId="77567ADD">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1.4.2投标人须知前附表规定接受联合体投标的，联合体除应符合本章第1.4.1项和投标人须知前附表的要求外，还应遵守以下规定：</w:t>
      </w:r>
    </w:p>
    <w:p w14:paraId="1D381CA5">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联合体各方应按招标文件提供的格式签订联合体协议书，明确联合体牵头人和各方权利义务，并承诺就中标项目向招标人承担连带责任；</w:t>
      </w:r>
    </w:p>
    <w:p w14:paraId="2E238BB6">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由同一专业的单位组成的联合体，按照资质等级较低的单位确定资质等级；</w:t>
      </w:r>
    </w:p>
    <w:p w14:paraId="2CF55F5B">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联合体各方不得再以自已名义单独或参加其他联合体在同一标段中投标；</w:t>
      </w:r>
    </w:p>
    <w:p w14:paraId="3925FCE0">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rPr>
        <w:t>联合体各方应分别按照本招标文件的要求，填写投标文件中的相应表格，并由联合体牵头人负责对联合体各成员的资料进行统一汇总后一并提交给招标人；联合体牵头人所提交的投标文件应认为</w:t>
      </w:r>
      <w:r>
        <w:rPr>
          <w:rFonts w:hint="eastAsia" w:ascii="宋体" w:hAnsi="宋体" w:eastAsia="宋体" w:cs="宋体"/>
          <w:sz w:val="21"/>
          <w:szCs w:val="21"/>
          <w:highlight w:val="none"/>
        </w:rPr>
        <w:t>已</w:t>
      </w:r>
      <w:r>
        <w:rPr>
          <w:rFonts w:hint="eastAsia" w:ascii="宋体" w:hAnsi="宋体" w:eastAsia="宋体" w:cs="宋体"/>
          <w:sz w:val="21"/>
          <w:szCs w:val="21"/>
          <w:highlight w:val="none"/>
        </w:rPr>
        <w:t>代表了联合体各成员的真实情况；</w:t>
      </w:r>
    </w:p>
    <w:p w14:paraId="0885DA34">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rPr>
        <w:t>尽管委任了联合体牵头人，但联合体各成员在投标、签订合同与履行合同过程中，仍负有连带的和各自的法律责任。</w:t>
      </w:r>
    </w:p>
    <w:p w14:paraId="5ECF6C5D">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1.4.3投标人（包括联合体各成员）不得与本标段相关单位存在下列关联</w:t>
      </w:r>
      <w:r>
        <w:rPr>
          <w:rFonts w:hint="eastAsia" w:ascii="宋体" w:hAnsi="宋体" w:eastAsia="宋体" w:cs="宋体"/>
          <w:sz w:val="21"/>
          <w:szCs w:val="21"/>
          <w:highlight w:val="none"/>
        </w:rPr>
        <w:t>情形</w:t>
      </w:r>
      <w:r>
        <w:rPr>
          <w:rFonts w:hint="eastAsia" w:ascii="宋体" w:hAnsi="宋体" w:eastAsia="宋体" w:cs="宋体"/>
          <w:sz w:val="21"/>
          <w:szCs w:val="21"/>
          <w:highlight w:val="none"/>
        </w:rPr>
        <w:t>：</w:t>
      </w:r>
    </w:p>
    <w:p w14:paraId="6E42C8B3">
      <w:pPr>
        <w:keepLines w:val="0"/>
        <w:pageBreakBefore w:val="0"/>
        <w:tabs>
          <w:tab w:val="left" w:pos="993"/>
          <w:tab w:val="left" w:pos="1276"/>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为招标人不具有独立法人资格的附属机构（单位</w:t>
      </w:r>
      <w:r>
        <w:rPr>
          <w:rFonts w:hint="eastAsia" w:ascii="宋体" w:hAnsi="宋体" w:eastAsia="宋体" w:cs="宋体"/>
          <w:sz w:val="21"/>
          <w:szCs w:val="21"/>
          <w:highlight w:val="none"/>
        </w:rPr>
        <w:t>）</w:t>
      </w:r>
      <w:r>
        <w:rPr>
          <w:rFonts w:hint="eastAsia" w:ascii="宋体" w:hAnsi="宋体" w:eastAsia="宋体" w:cs="宋体"/>
          <w:sz w:val="21"/>
          <w:szCs w:val="21"/>
          <w:highlight w:val="none"/>
        </w:rPr>
        <w:t>；</w:t>
      </w:r>
    </w:p>
    <w:p w14:paraId="40868630">
      <w:pPr>
        <w:keepLines w:val="0"/>
        <w:pageBreakBefore w:val="0"/>
        <w:tabs>
          <w:tab w:val="left" w:pos="993"/>
          <w:tab w:val="left" w:pos="1276"/>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与招标人存在利</w:t>
      </w:r>
      <w:r>
        <w:rPr>
          <w:rFonts w:hint="eastAsia" w:ascii="宋体" w:hAnsi="宋体" w:eastAsia="宋体" w:cs="宋体"/>
          <w:sz w:val="21"/>
          <w:szCs w:val="21"/>
          <w:highlight w:val="none"/>
        </w:rPr>
        <w:t>害</w:t>
      </w:r>
      <w:r>
        <w:rPr>
          <w:rFonts w:hint="eastAsia" w:ascii="宋体" w:hAnsi="宋体" w:eastAsia="宋体" w:cs="宋体"/>
          <w:sz w:val="21"/>
          <w:szCs w:val="21"/>
          <w:highlight w:val="none"/>
        </w:rPr>
        <w:t>关系且可能影响招标公正性；</w:t>
      </w:r>
    </w:p>
    <w:p w14:paraId="25039325">
      <w:pPr>
        <w:keepLines w:val="0"/>
        <w:pageBreakBefore w:val="0"/>
        <w:tabs>
          <w:tab w:val="left" w:pos="993"/>
          <w:tab w:val="left" w:pos="1276"/>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与本标段的其他投标人同为一个单位负责人；</w:t>
      </w:r>
    </w:p>
    <w:p w14:paraId="06441C10">
      <w:pPr>
        <w:keepLines w:val="0"/>
        <w:pageBreakBefore w:val="0"/>
        <w:tabs>
          <w:tab w:val="left" w:pos="993"/>
          <w:tab w:val="left" w:pos="1276"/>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rPr>
        <w:t>与本标段的其他投标人存在控股、管理关系；</w:t>
      </w:r>
    </w:p>
    <w:p w14:paraId="71AEA012">
      <w:pPr>
        <w:keepLines w:val="0"/>
        <w:pageBreakBefore w:val="0"/>
        <w:tabs>
          <w:tab w:val="left" w:pos="993"/>
          <w:tab w:val="left" w:pos="1276"/>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rPr>
        <w:t>为本标段的代建人；</w:t>
      </w:r>
    </w:p>
    <w:p w14:paraId="22292308">
      <w:pPr>
        <w:keepLines w:val="0"/>
        <w:pageBreakBefore w:val="0"/>
        <w:tabs>
          <w:tab w:val="left" w:pos="993"/>
          <w:tab w:val="left" w:pos="1276"/>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rPr>
        <w:t>为本标段的招标代理机构；</w:t>
      </w:r>
    </w:p>
    <w:p w14:paraId="4F7C64B6">
      <w:pPr>
        <w:keepLines w:val="0"/>
        <w:pageBreakBefore w:val="0"/>
        <w:tabs>
          <w:tab w:val="left" w:pos="993"/>
          <w:tab w:val="left" w:pos="1276"/>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rPr>
        <w:t>与本标段的代建人或招标代理机构同为一个法定代表人；</w:t>
      </w:r>
    </w:p>
    <w:p w14:paraId="13DDAAAE">
      <w:pPr>
        <w:keepLines w:val="0"/>
        <w:pageBreakBefore w:val="0"/>
        <w:tabs>
          <w:tab w:val="left" w:pos="993"/>
          <w:tab w:val="left" w:pos="1276"/>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（8）</w:t>
      </w:r>
      <w:r>
        <w:rPr>
          <w:rFonts w:hint="eastAsia" w:ascii="宋体" w:hAnsi="宋体" w:eastAsia="宋体" w:cs="宋体"/>
          <w:sz w:val="21"/>
          <w:szCs w:val="21"/>
          <w:highlight w:val="none"/>
        </w:rPr>
        <w:t>与本标段的代建人或招标代理机构存在控股或参股关系；</w:t>
      </w:r>
    </w:p>
    <w:p w14:paraId="10778F7E">
      <w:pPr>
        <w:keepLines w:val="0"/>
        <w:pageBreakBefore w:val="0"/>
        <w:tabs>
          <w:tab w:val="left" w:pos="993"/>
          <w:tab w:val="left" w:pos="1276"/>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（9）</w:t>
      </w:r>
      <w:r>
        <w:rPr>
          <w:rFonts w:hint="eastAsia" w:ascii="宋体" w:hAnsi="宋体" w:eastAsia="宋体" w:cs="宋体"/>
          <w:sz w:val="21"/>
          <w:szCs w:val="21"/>
          <w:highlight w:val="none"/>
        </w:rPr>
        <w:t>法律法规或投标人须知前附表规定的其他情形。</w:t>
      </w:r>
    </w:p>
    <w:p w14:paraId="3324C8F9">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1.4.4投标人（包括联合体各成员）不得存在下列不良状况或不良信用记录：</w:t>
      </w:r>
    </w:p>
    <w:p w14:paraId="2168016E">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被省级及以上交通运输主管部门取消招标项目所在地的投标资格且处于有效期内；</w:t>
      </w:r>
    </w:p>
    <w:p w14:paraId="1DDC9945">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被责令停业，暂扣或吊销执照，或吊销资质证书；</w:t>
      </w:r>
    </w:p>
    <w:p w14:paraId="25B0AF18">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进入清算程序，或被宣告破产，或其他丧失履约能力的情形；</w:t>
      </w:r>
    </w:p>
    <w:p w14:paraId="4377AD60">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sz w:val="21"/>
          <w:szCs w:val="21"/>
          <w:highlight w:val="none"/>
        </w:rPr>
        <w:t>在国家企业信用信息公示系统（http://www.gsxt.gov.cn/)中被列入严重违法失信企业名单；</w:t>
      </w:r>
    </w:p>
    <w:p w14:paraId="6CF4A397">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sz w:val="21"/>
          <w:szCs w:val="21"/>
          <w:highlight w:val="none"/>
        </w:rPr>
        <w:t>在</w:t>
      </w:r>
      <w:r>
        <w:rPr>
          <w:rFonts w:hint="eastAsia" w:ascii="宋体" w:hAnsi="宋体" w:eastAsia="宋体" w:cs="宋体"/>
          <w:sz w:val="21"/>
          <w:szCs w:val="21"/>
          <w:highlight w:val="none"/>
        </w:rPr>
        <w:t>“</w:t>
      </w:r>
      <w:r>
        <w:rPr>
          <w:rFonts w:hint="eastAsia" w:ascii="宋体" w:hAnsi="宋体" w:eastAsia="宋体" w:cs="宋体"/>
          <w:sz w:val="21"/>
          <w:szCs w:val="21"/>
          <w:highlight w:val="none"/>
        </w:rPr>
        <w:t>信用中国</w:t>
      </w:r>
      <w:r>
        <w:rPr>
          <w:rFonts w:hint="eastAsia" w:ascii="宋体" w:hAnsi="宋体" w:eastAsia="宋体" w:cs="宋体"/>
          <w:sz w:val="21"/>
          <w:szCs w:val="21"/>
          <w:highlight w:val="none"/>
        </w:rPr>
        <w:t>”</w:t>
      </w:r>
      <w:r>
        <w:rPr>
          <w:rFonts w:hint="eastAsia" w:ascii="宋体" w:hAnsi="宋体" w:eastAsia="宋体" w:cs="宋体"/>
          <w:sz w:val="21"/>
          <w:szCs w:val="21"/>
          <w:highlight w:val="none"/>
        </w:rPr>
        <w:t>网站（http://www.creditchina.gov.cn/)中被列入失信被执行人名单；</w:t>
      </w:r>
    </w:p>
    <w:p w14:paraId="0B75F86C">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rPr>
        <w:t>投标人或其法定代表人、拟委任的项目</w:t>
      </w:r>
      <w:r>
        <w:rPr>
          <w:rFonts w:hint="eastAsia" w:ascii="宋体" w:hAnsi="宋体" w:eastAsia="宋体" w:cs="宋体"/>
          <w:sz w:val="21"/>
          <w:szCs w:val="21"/>
          <w:highlight w:val="none"/>
        </w:rPr>
        <w:t>负责人</w:t>
      </w:r>
      <w:r>
        <w:rPr>
          <w:rFonts w:hint="eastAsia" w:ascii="宋体" w:hAnsi="宋体" w:eastAsia="宋体" w:cs="宋体"/>
          <w:sz w:val="21"/>
          <w:szCs w:val="21"/>
          <w:highlight w:val="none"/>
        </w:rPr>
        <w:t>在近三年内有行贿犯罪行为的；</w:t>
      </w:r>
    </w:p>
    <w:p w14:paraId="5BEC6EC6">
      <w:pPr>
        <w:keepLines w:val="0"/>
        <w:pageBreakBefore w:val="0"/>
        <w:tabs>
          <w:tab w:val="left" w:pos="993"/>
        </w:tabs>
        <w:kinsoku/>
        <w:wordWrap/>
        <w:overflowPunct/>
        <w:topLinePunct w:val="0"/>
        <w:bidi w:val="0"/>
        <w:spacing w:line="360" w:lineRule="exact"/>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rPr>
        <w:t>法律法规或投标人须知前附表规定的其他情形。</w:t>
      </w:r>
    </w:p>
    <w:p w14:paraId="448F05AA">
      <w:pPr>
        <w:keepLines w:val="0"/>
        <w:pageBreakBefore w:val="0"/>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1.4.5投标人（包括联合体各成员）应进入交通运输部</w:t>
      </w:r>
      <w:r>
        <w:rPr>
          <w:rFonts w:hint="eastAsia" w:ascii="宋体" w:hAnsi="宋体" w:eastAsia="宋体" w:cs="宋体"/>
          <w:sz w:val="21"/>
          <w:szCs w:val="21"/>
          <w:highlight w:val="none"/>
        </w:rPr>
        <w:t>“全国公路建设市场监督管理系统（https://hwdms.mot.gov.cn</w:t>
      </w:r>
      <w:r>
        <w:rPr>
          <w:rFonts w:hint="eastAsia" w:ascii="宋体" w:hAnsi="宋体" w:eastAsia="宋体" w:cs="宋体"/>
          <w:sz w:val="21"/>
          <w:szCs w:val="21"/>
          <w:highlight w:val="none"/>
          <w:lang w:eastAsia="en-US"/>
        </w:rPr>
        <w:t>)</w:t>
      </w:r>
      <w:r>
        <w:rPr>
          <w:rFonts w:hint="eastAsia" w:ascii="宋体" w:hAnsi="宋体" w:eastAsia="宋体" w:cs="宋体"/>
          <w:sz w:val="21"/>
          <w:szCs w:val="21"/>
          <w:highlight w:val="none"/>
        </w:rPr>
        <w:t>”</w:t>
      </w:r>
      <w:r>
        <w:rPr>
          <w:rFonts w:hint="eastAsia" w:ascii="宋体" w:hAnsi="宋体" w:eastAsia="宋体" w:cs="宋体"/>
          <w:sz w:val="21"/>
          <w:szCs w:val="21"/>
          <w:highlight w:val="none"/>
        </w:rPr>
        <w:t>中的公路工程</w:t>
      </w:r>
      <w:r>
        <w:rPr>
          <w:rFonts w:hint="eastAsia" w:ascii="宋体" w:hAnsi="宋体" w:eastAsia="宋体" w:cs="宋体"/>
          <w:sz w:val="21"/>
          <w:szCs w:val="21"/>
          <w:highlight w:val="none"/>
        </w:rPr>
        <w:t>设计</w:t>
      </w:r>
      <w:r>
        <w:rPr>
          <w:rFonts w:hint="eastAsia" w:ascii="宋体" w:hAnsi="宋体" w:eastAsia="宋体" w:cs="宋体"/>
          <w:sz w:val="21"/>
          <w:szCs w:val="21"/>
          <w:highlight w:val="none"/>
        </w:rPr>
        <w:t>资质企业名录，且投标人名称和资质与该名录中的相应企业名称和资质完全一致。投标人不满足本项规定条件的，将被否决投标。</w:t>
      </w:r>
      <w:r>
        <w:rPr>
          <w:rStyle w:val="8"/>
          <w:rFonts w:hint="eastAsia" w:ascii="宋体" w:hAnsi="宋体" w:eastAsia="宋体" w:cs="宋体"/>
          <w:sz w:val="21"/>
          <w:szCs w:val="21"/>
          <w:highlight w:val="none"/>
        </w:rPr>
        <w:footnoteReference w:id="0"/>
      </w:r>
    </w:p>
    <w:p w14:paraId="75AC0B78">
      <w:pPr>
        <w:keepLines w:val="0"/>
        <w:pageBreakBefore w:val="0"/>
        <w:kinsoku/>
        <w:wordWrap/>
        <w:overflowPunct/>
        <w:topLinePunct w:val="0"/>
        <w:bidi w:val="0"/>
        <w:spacing w:line="360" w:lineRule="exact"/>
        <w:rPr>
          <w:rFonts w:hint="eastAsia" w:ascii="宋体" w:hAnsi="宋体" w:eastAsia="宋体" w:cs="宋体"/>
          <w:sz w:val="21"/>
          <w:szCs w:val="21"/>
        </w:rPr>
      </w:pPr>
      <w:bookmarkStart w:id="21" w:name="_GoBack"/>
      <w:bookmarkEnd w:id="21"/>
    </w:p>
    <w:bookmarkEnd w:id="5"/>
    <w:p w14:paraId="7B58F0A6">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6" w:name="_Toc31685"/>
      <w:bookmarkStart w:id="7" w:name="_Toc346800722"/>
      <w:r>
        <w:rPr>
          <w:rFonts w:hint="eastAsia" w:ascii="宋体" w:hAnsi="宋体" w:eastAsia="宋体" w:cs="宋体"/>
          <w:b/>
          <w:sz w:val="21"/>
          <w:szCs w:val="21"/>
          <w:highlight w:val="none"/>
        </w:rPr>
        <w:t>附录1资格审查条件（资质最低要求）</w:t>
      </w:r>
      <w:bookmarkEnd w:id="6"/>
    </w:p>
    <w:tbl>
      <w:tblPr>
        <w:tblStyle w:val="6"/>
        <w:tblW w:w="94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8356"/>
      </w:tblGrid>
      <w:tr w14:paraId="3BDD6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60" w:type="dxa"/>
            <w:tcBorders>
              <w:top w:val="single" w:color="auto" w:sz="12" w:space="0"/>
              <w:left w:val="single" w:color="auto" w:sz="12" w:space="0"/>
              <w:right w:val="single" w:color="auto" w:sz="4" w:space="0"/>
            </w:tcBorders>
            <w:vAlign w:val="center"/>
          </w:tcPr>
          <w:p w14:paraId="179AD7B7">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1" w:type="dxa"/>
            <w:tcBorders>
              <w:top w:val="single" w:color="auto" w:sz="12" w:space="0"/>
              <w:left w:val="single" w:color="auto" w:sz="4" w:space="0"/>
              <w:right w:val="single" w:color="auto" w:sz="12" w:space="0"/>
            </w:tcBorders>
            <w:vAlign w:val="center"/>
          </w:tcPr>
          <w:p w14:paraId="292721E1">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勘察设计企业资质等级要求</w:t>
            </w:r>
          </w:p>
        </w:tc>
      </w:tr>
      <w:tr w14:paraId="4757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065" w:type="dxa"/>
            <w:tcBorders>
              <w:left w:val="single" w:color="auto" w:sz="12" w:space="0"/>
              <w:bottom w:val="single" w:color="auto" w:sz="12" w:space="0"/>
              <w:right w:val="single" w:color="auto" w:sz="4" w:space="0"/>
            </w:tcBorders>
            <w:vAlign w:val="center"/>
          </w:tcPr>
          <w:p w14:paraId="0DA98EA7">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SY</w:t>
            </w:r>
            <w:r>
              <w:rPr>
                <w:rFonts w:hint="eastAsia" w:ascii="宋体" w:hAnsi="宋体" w:eastAsia="宋体" w:cs="宋体"/>
                <w:sz w:val="21"/>
                <w:szCs w:val="21"/>
                <w:highlight w:val="none"/>
              </w:rPr>
              <w:t>26SJ01</w:t>
            </w:r>
          </w:p>
        </w:tc>
        <w:tc>
          <w:tcPr>
            <w:tcW w:w="8356" w:type="dxa"/>
            <w:tcBorders>
              <w:left w:val="single" w:color="auto" w:sz="4" w:space="0"/>
              <w:bottom w:val="single" w:color="auto" w:sz="12" w:space="0"/>
              <w:right w:val="single" w:color="auto" w:sz="12" w:space="0"/>
            </w:tcBorders>
            <w:vAlign w:val="center"/>
          </w:tcPr>
          <w:p w14:paraId="10FBF4AF">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（1）工程勘察专业类（岩土工程（勘察））</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p w14:paraId="3B9AF285">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（2）工程勘察专业类（工程测量）</w:t>
            </w:r>
            <w:r>
              <w:rPr>
                <w:rFonts w:hint="eastAsia" w:ascii="宋体" w:hAnsi="宋体" w:eastAsia="宋体" w:cs="宋体"/>
                <w:sz w:val="21"/>
                <w:szCs w:val="21"/>
                <w:highlight w:val="none"/>
                <w:lang w:val="en-US" w:eastAsia="zh-CN"/>
              </w:rPr>
              <w:t>甲</w:t>
            </w:r>
            <w:r>
              <w:rPr>
                <w:rFonts w:hint="eastAsia" w:ascii="宋体" w:hAnsi="宋体" w:eastAsia="宋体" w:cs="宋体"/>
                <w:sz w:val="21"/>
                <w:szCs w:val="21"/>
                <w:highlight w:val="none"/>
              </w:rPr>
              <w:t>级资质；</w:t>
            </w:r>
          </w:p>
          <w:p w14:paraId="3D36E48A">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（3）工程设计公路行业（公路）专业</w:t>
            </w:r>
            <w:r>
              <w:rPr>
                <w:rFonts w:hint="eastAsia" w:ascii="宋体" w:hAnsi="宋体" w:eastAsia="宋体" w:cs="宋体"/>
                <w:sz w:val="21"/>
                <w:szCs w:val="21"/>
                <w:highlight w:val="none"/>
                <w:lang w:val="en-US" w:eastAsia="zh-CN"/>
              </w:rPr>
              <w:t>乙</w:t>
            </w:r>
            <w:r>
              <w:rPr>
                <w:rFonts w:hint="eastAsia" w:ascii="宋体" w:hAnsi="宋体" w:eastAsia="宋体" w:cs="宋体"/>
                <w:sz w:val="21"/>
                <w:szCs w:val="21"/>
                <w:highlight w:val="none"/>
              </w:rPr>
              <w:t>级资质。</w:t>
            </w:r>
          </w:p>
        </w:tc>
      </w:tr>
    </w:tbl>
    <w:p w14:paraId="054A5997">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8" w:name="_Toc51622568"/>
      <w:bookmarkStart w:id="9" w:name="_Toc16544"/>
      <w:r>
        <w:rPr>
          <w:rFonts w:hint="eastAsia" w:ascii="宋体" w:hAnsi="宋体" w:eastAsia="宋体" w:cs="宋体"/>
          <w:b/>
          <w:sz w:val="21"/>
          <w:szCs w:val="21"/>
          <w:highlight w:val="none"/>
        </w:rPr>
        <w:t>附录2资格审查条件（业绩最低要求）</w:t>
      </w:r>
      <w:bookmarkEnd w:id="8"/>
      <w:bookmarkEnd w:id="9"/>
    </w:p>
    <w:tbl>
      <w:tblPr>
        <w:tblStyle w:val="6"/>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8364"/>
      </w:tblGrid>
      <w:tr w14:paraId="0AC8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top w:val="single" w:color="auto" w:sz="12" w:space="0"/>
              <w:left w:val="single" w:color="auto" w:sz="12" w:space="0"/>
              <w:right w:val="single" w:color="auto" w:sz="4" w:space="0"/>
            </w:tcBorders>
            <w:vAlign w:val="center"/>
          </w:tcPr>
          <w:p w14:paraId="7C14999B">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标段</w:t>
            </w:r>
          </w:p>
        </w:tc>
        <w:tc>
          <w:tcPr>
            <w:tcW w:w="8364" w:type="dxa"/>
            <w:tcBorders>
              <w:top w:val="single" w:color="auto" w:sz="12" w:space="0"/>
              <w:left w:val="single" w:color="auto" w:sz="4" w:space="0"/>
              <w:right w:val="single" w:color="auto" w:sz="12" w:space="0"/>
            </w:tcBorders>
            <w:vAlign w:val="center"/>
          </w:tcPr>
          <w:p w14:paraId="631B8749">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58940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61" w:type="dxa"/>
            <w:tcBorders>
              <w:left w:val="single" w:color="auto" w:sz="12" w:space="0"/>
              <w:bottom w:val="single" w:color="auto" w:sz="12" w:space="0"/>
              <w:right w:val="single" w:color="auto" w:sz="4" w:space="0"/>
            </w:tcBorders>
            <w:vAlign w:val="center"/>
          </w:tcPr>
          <w:p w14:paraId="6568EDAE">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SY</w:t>
            </w:r>
            <w:r>
              <w:rPr>
                <w:rFonts w:hint="eastAsia" w:ascii="宋体" w:hAnsi="宋体" w:eastAsia="宋体" w:cs="宋体"/>
                <w:sz w:val="21"/>
                <w:szCs w:val="21"/>
                <w:highlight w:val="none"/>
              </w:rPr>
              <w:t>26SJ01</w:t>
            </w:r>
          </w:p>
        </w:tc>
        <w:tc>
          <w:tcPr>
            <w:tcW w:w="8364" w:type="dxa"/>
            <w:tcBorders>
              <w:left w:val="single" w:color="auto" w:sz="4" w:space="0"/>
              <w:bottom w:val="single" w:color="auto" w:sz="12" w:space="0"/>
              <w:right w:val="single" w:color="auto" w:sz="12" w:space="0"/>
            </w:tcBorders>
            <w:vAlign w:val="center"/>
          </w:tcPr>
          <w:p w14:paraId="6CFC90ED">
            <w:pPr>
              <w:keepLines w:val="0"/>
              <w:pageBreakBefore w:val="0"/>
              <w:kinsoku/>
              <w:wordWrap/>
              <w:overflowPunct/>
              <w:topLinePunct w:val="0"/>
              <w:bidi w:val="0"/>
              <w:adjustRightInd w:val="0"/>
              <w:snapToGrid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近五年内（</w:t>
            </w:r>
            <w:r>
              <w:rPr>
                <w:rFonts w:hint="eastAsia" w:ascii="宋体" w:hAnsi="宋体" w:eastAsia="宋体" w:cs="宋体"/>
                <w:sz w:val="21"/>
                <w:szCs w:val="21"/>
                <w:highlight w:val="none"/>
              </w:rPr>
              <w:t>指</w:t>
            </w:r>
            <w:r>
              <w:rPr>
                <w:rFonts w:hint="eastAsia" w:ascii="宋体" w:hAnsi="宋体" w:eastAsia="宋体" w:cs="宋体"/>
                <w:sz w:val="21"/>
                <w:szCs w:val="21"/>
                <w:highlight w:val="none"/>
              </w:rPr>
              <w:t>202</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年1月1日至投标截止时间</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以相应的批复时间为准</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完成过二级以上（含二级）</w:t>
            </w:r>
            <w:r>
              <w:rPr>
                <w:rFonts w:hint="eastAsia" w:ascii="宋体" w:hAnsi="宋体" w:eastAsia="宋体" w:cs="宋体"/>
                <w:sz w:val="21"/>
                <w:szCs w:val="21"/>
                <w:highlight w:val="none"/>
              </w:rPr>
              <w:t>公路修复养护工程（</w:t>
            </w:r>
            <w:r>
              <w:rPr>
                <w:rFonts w:hint="eastAsia" w:ascii="宋体" w:hAnsi="宋体" w:eastAsia="宋体" w:cs="宋体"/>
                <w:sz w:val="21"/>
                <w:szCs w:val="21"/>
                <w:highlight w:val="none"/>
                <w:lang w:val="en-US" w:eastAsia="zh-CN"/>
              </w:rPr>
              <w:t>或</w:t>
            </w:r>
            <w:r>
              <w:rPr>
                <w:rFonts w:hint="eastAsia" w:ascii="宋体" w:hAnsi="宋体" w:eastAsia="宋体" w:cs="宋体"/>
                <w:sz w:val="21"/>
                <w:szCs w:val="21"/>
                <w:highlight w:val="none"/>
              </w:rPr>
              <w:t>大、中修</w:t>
            </w:r>
            <w:r>
              <w:rPr>
                <w:rFonts w:hint="eastAsia" w:ascii="宋体" w:hAnsi="宋体" w:eastAsia="宋体" w:cs="宋体"/>
                <w:sz w:val="21"/>
                <w:szCs w:val="21"/>
                <w:highlight w:val="none"/>
                <w:lang w:val="en-US" w:eastAsia="zh-CN"/>
              </w:rPr>
              <w:t>及路面改造</w:t>
            </w:r>
            <w:r>
              <w:rPr>
                <w:rFonts w:hint="eastAsia" w:ascii="宋体" w:hAnsi="宋体" w:eastAsia="宋体" w:cs="宋体"/>
                <w:sz w:val="21"/>
                <w:szCs w:val="21"/>
                <w:highlight w:val="none"/>
              </w:rPr>
              <w:t>工程）设计累计不少于</w:t>
            </w:r>
            <w:r>
              <w:rPr>
                <w:rFonts w:hint="eastAsia" w:ascii="宋体" w:hAnsi="宋体" w:eastAsia="宋体" w:cs="宋体"/>
                <w:sz w:val="21"/>
                <w:szCs w:val="21"/>
                <w:highlight w:val="none"/>
                <w:lang w:val="en-US" w:eastAsia="zh-CN"/>
              </w:rPr>
              <w:t>50</w:t>
            </w:r>
            <w:r>
              <w:rPr>
                <w:rFonts w:hint="eastAsia" w:ascii="宋体" w:hAnsi="宋体" w:eastAsia="宋体" w:cs="宋体"/>
                <w:sz w:val="21"/>
                <w:szCs w:val="21"/>
                <w:highlight w:val="none"/>
              </w:rPr>
              <w:t>公里（</w:t>
            </w:r>
            <w:r>
              <w:rPr>
                <w:rFonts w:hint="eastAsia" w:ascii="宋体" w:hAnsi="宋体" w:eastAsia="宋体" w:cs="宋体"/>
                <w:sz w:val="21"/>
                <w:szCs w:val="21"/>
                <w:highlight w:val="none"/>
              </w:rPr>
              <w:t>一级公路和高速公路业绩全幅按2倍长度计算，半幅按1倍长度计算</w:t>
            </w:r>
            <w:r>
              <w:rPr>
                <w:rFonts w:hint="eastAsia" w:ascii="宋体" w:hAnsi="宋体" w:eastAsia="宋体" w:cs="宋体"/>
                <w:sz w:val="21"/>
                <w:szCs w:val="21"/>
                <w:highlight w:val="none"/>
              </w:rPr>
              <w:t>）。</w:t>
            </w:r>
          </w:p>
          <w:p w14:paraId="7EC9BC17">
            <w:pPr>
              <w:keepLines w:val="0"/>
              <w:pageBreakBefore w:val="0"/>
              <w:kinsoku/>
              <w:wordWrap/>
              <w:overflowPunct/>
              <w:topLinePunct w:val="0"/>
              <w:bidi w:val="0"/>
              <w:adjustRightInd w:val="0"/>
              <w:snapToGrid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sz w:val="21"/>
                <w:szCs w:val="21"/>
                <w:highlight w:val="none"/>
                <w:lang w:val="zh-CN"/>
              </w:rPr>
              <w:t>业绩应</w:t>
            </w:r>
            <w:r>
              <w:rPr>
                <w:rFonts w:hint="eastAsia" w:ascii="宋体" w:hAnsi="宋体" w:eastAsia="宋体" w:cs="宋体"/>
                <w:sz w:val="21"/>
                <w:szCs w:val="21"/>
                <w:highlight w:val="none"/>
              </w:rPr>
              <w:t>为已列入</w:t>
            </w:r>
            <w:r>
              <w:rPr>
                <w:rFonts w:hint="eastAsia" w:ascii="宋体" w:hAnsi="宋体" w:eastAsia="宋体" w:cs="宋体"/>
                <w:sz w:val="21"/>
                <w:szCs w:val="21"/>
                <w:highlight w:val="none"/>
                <w:lang w:val="zh-CN"/>
              </w:rPr>
              <w:t>交通运输部“全国公路建设市场监督管理系统”或省级交通运输主管部门“公路建设市场信用信息管理系统”</w:t>
            </w:r>
            <w:r>
              <w:rPr>
                <w:rFonts w:hint="eastAsia" w:ascii="宋体" w:hAnsi="宋体" w:eastAsia="宋体" w:cs="宋体"/>
                <w:sz w:val="21"/>
                <w:szCs w:val="21"/>
                <w:highlight w:val="none"/>
              </w:rPr>
              <w:t>并公开</w:t>
            </w:r>
            <w:r>
              <w:rPr>
                <w:rFonts w:hint="eastAsia" w:ascii="宋体" w:hAnsi="宋体" w:eastAsia="宋体" w:cs="宋体"/>
                <w:sz w:val="21"/>
                <w:szCs w:val="21"/>
                <w:highlight w:val="none"/>
                <w:lang w:val="zh-CN"/>
              </w:rPr>
              <w:t>的业绩。</w:t>
            </w:r>
          </w:p>
        </w:tc>
      </w:tr>
    </w:tbl>
    <w:p w14:paraId="328AEEA7">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10" w:name="_Toc10265"/>
      <w:bookmarkStart w:id="11" w:name="_Toc51622569"/>
      <w:r>
        <w:rPr>
          <w:rFonts w:hint="eastAsia" w:ascii="宋体" w:hAnsi="宋体" w:eastAsia="宋体" w:cs="宋体"/>
          <w:b/>
          <w:sz w:val="21"/>
          <w:szCs w:val="21"/>
          <w:highlight w:val="none"/>
        </w:rPr>
        <w:t>附录3资格审查条件（信誉最低要求）</w:t>
      </w:r>
      <w:bookmarkEnd w:id="10"/>
      <w:bookmarkEnd w:id="11"/>
    </w:p>
    <w:tbl>
      <w:tblPr>
        <w:tblStyle w:val="6"/>
        <w:tblW w:w="9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7"/>
      </w:tblGrid>
      <w:tr w14:paraId="570F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top w:val="single" w:color="auto" w:sz="12" w:space="0"/>
              <w:left w:val="single" w:color="auto" w:sz="12" w:space="0"/>
              <w:right w:val="single" w:color="auto" w:sz="12" w:space="0"/>
            </w:tcBorders>
            <w:vAlign w:val="center"/>
          </w:tcPr>
          <w:p w14:paraId="08D1E9E9">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6D14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37" w:type="dxa"/>
            <w:tcBorders>
              <w:left w:val="single" w:color="auto" w:sz="12" w:space="0"/>
              <w:bottom w:val="single" w:color="auto" w:sz="12" w:space="0"/>
              <w:right w:val="single" w:color="auto" w:sz="12" w:space="0"/>
            </w:tcBorders>
            <w:vAlign w:val="center"/>
          </w:tcPr>
          <w:p w14:paraId="21C7F3A6">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r>
    </w:tbl>
    <w:p w14:paraId="5B37FE34">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highlight w:val="none"/>
        </w:rPr>
      </w:pPr>
      <w:bookmarkStart w:id="12" w:name="_Toc51622570"/>
      <w:bookmarkStart w:id="13" w:name="_Toc411418983"/>
      <w:bookmarkStart w:id="14" w:name="_Toc7872"/>
      <w:r>
        <w:rPr>
          <w:rFonts w:hint="eastAsia" w:ascii="宋体" w:hAnsi="宋体" w:eastAsia="宋体" w:cs="宋体"/>
          <w:b/>
          <w:sz w:val="21"/>
          <w:szCs w:val="21"/>
          <w:highlight w:val="none"/>
        </w:rPr>
        <w:t>附录4资格审查条件（项目负责人最低要求）</w:t>
      </w:r>
      <w:bookmarkEnd w:id="12"/>
      <w:bookmarkEnd w:id="13"/>
      <w:bookmarkEnd w:id="14"/>
    </w:p>
    <w:tbl>
      <w:tblPr>
        <w:tblStyle w:val="6"/>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4"/>
        <w:gridCol w:w="1056"/>
        <w:gridCol w:w="6633"/>
      </w:tblGrid>
      <w:tr w14:paraId="5DA7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782" w:type="dxa"/>
            <w:vMerge w:val="restart"/>
            <w:tcBorders>
              <w:top w:val="single" w:color="auto" w:sz="12" w:space="0"/>
              <w:left w:val="single" w:color="auto" w:sz="12" w:space="0"/>
              <w:right w:val="single" w:color="auto" w:sz="4" w:space="0"/>
            </w:tcBorders>
            <w:vAlign w:val="center"/>
          </w:tcPr>
          <w:p w14:paraId="270AD535">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964" w:type="dxa"/>
            <w:tcBorders>
              <w:top w:val="single" w:color="auto" w:sz="12" w:space="0"/>
              <w:left w:val="single" w:color="auto" w:sz="4" w:space="0"/>
              <w:bottom w:val="single" w:color="auto" w:sz="4" w:space="0"/>
              <w:right w:val="single" w:color="auto" w:sz="4" w:space="0"/>
            </w:tcBorders>
            <w:vAlign w:val="center"/>
          </w:tcPr>
          <w:p w14:paraId="0C733A9F">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数量</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人</w:t>
            </w:r>
            <w:r>
              <w:rPr>
                <w:rFonts w:hint="eastAsia" w:ascii="宋体" w:hAnsi="宋体" w:eastAsia="宋体" w:cs="宋体"/>
                <w:sz w:val="21"/>
                <w:szCs w:val="21"/>
                <w:highlight w:val="none"/>
                <w:lang w:eastAsia="zh-CN"/>
              </w:rPr>
              <w:t>）</w:t>
            </w:r>
          </w:p>
        </w:tc>
        <w:tc>
          <w:tcPr>
            <w:tcW w:w="6707" w:type="dxa"/>
            <w:vMerge w:val="restart"/>
            <w:tcBorders>
              <w:top w:val="single" w:color="auto" w:sz="12" w:space="0"/>
              <w:left w:val="single" w:color="auto" w:sz="4" w:space="0"/>
              <w:right w:val="single" w:color="auto" w:sz="12" w:space="0"/>
            </w:tcBorders>
            <w:vAlign w:val="center"/>
          </w:tcPr>
          <w:p w14:paraId="36C9B395">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 格 要 求</w:t>
            </w:r>
          </w:p>
        </w:tc>
      </w:tr>
      <w:tr w14:paraId="1C84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82" w:type="dxa"/>
            <w:vMerge w:val="continue"/>
            <w:tcBorders>
              <w:left w:val="single" w:color="auto" w:sz="12" w:space="0"/>
              <w:right w:val="single" w:color="auto" w:sz="4" w:space="0"/>
            </w:tcBorders>
            <w:vAlign w:val="center"/>
          </w:tcPr>
          <w:p w14:paraId="42C6D502">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p>
        </w:tc>
        <w:tc>
          <w:tcPr>
            <w:tcW w:w="964" w:type="dxa"/>
            <w:tcBorders>
              <w:top w:val="single" w:color="auto" w:sz="4" w:space="0"/>
              <w:left w:val="single" w:color="auto" w:sz="4" w:space="0"/>
              <w:bottom w:val="single" w:color="auto" w:sz="4" w:space="0"/>
              <w:right w:val="single" w:color="auto" w:sz="4" w:space="0"/>
            </w:tcBorders>
            <w:vAlign w:val="center"/>
          </w:tcPr>
          <w:p w14:paraId="3F0284B1">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SY</w:t>
            </w:r>
            <w:r>
              <w:rPr>
                <w:rFonts w:hint="eastAsia" w:ascii="宋体" w:hAnsi="宋体" w:eastAsia="宋体" w:cs="宋体"/>
                <w:sz w:val="21"/>
                <w:szCs w:val="21"/>
                <w:highlight w:val="none"/>
              </w:rPr>
              <w:t>26SJ01</w:t>
            </w:r>
          </w:p>
        </w:tc>
        <w:tc>
          <w:tcPr>
            <w:tcW w:w="6707" w:type="dxa"/>
            <w:vMerge w:val="continue"/>
            <w:tcBorders>
              <w:left w:val="single" w:color="auto" w:sz="4" w:space="0"/>
              <w:bottom w:val="single" w:color="auto" w:sz="4" w:space="0"/>
              <w:right w:val="single" w:color="auto" w:sz="12" w:space="0"/>
            </w:tcBorders>
            <w:vAlign w:val="center"/>
          </w:tcPr>
          <w:p w14:paraId="3C3D0330">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p>
        </w:tc>
      </w:tr>
      <w:tr w14:paraId="24BA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782" w:type="dxa"/>
            <w:tcBorders>
              <w:left w:val="single" w:color="auto" w:sz="12" w:space="0"/>
              <w:bottom w:val="single" w:color="auto" w:sz="12" w:space="0"/>
              <w:right w:val="single" w:color="auto" w:sz="4" w:space="0"/>
            </w:tcBorders>
            <w:vAlign w:val="center"/>
          </w:tcPr>
          <w:p w14:paraId="52D03982">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项目负责人</w:t>
            </w:r>
          </w:p>
        </w:tc>
        <w:tc>
          <w:tcPr>
            <w:tcW w:w="964" w:type="dxa"/>
            <w:tcBorders>
              <w:top w:val="single" w:color="auto" w:sz="4" w:space="0"/>
              <w:left w:val="single" w:color="auto" w:sz="4" w:space="0"/>
              <w:bottom w:val="single" w:color="auto" w:sz="12" w:space="0"/>
              <w:right w:val="single" w:color="auto" w:sz="4" w:space="0"/>
            </w:tcBorders>
            <w:vAlign w:val="center"/>
          </w:tcPr>
          <w:p w14:paraId="19F7D51A">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6707" w:type="dxa"/>
            <w:tcBorders>
              <w:top w:val="single" w:color="auto" w:sz="4" w:space="0"/>
              <w:left w:val="single" w:color="auto" w:sz="4" w:space="0"/>
              <w:bottom w:val="single" w:color="auto" w:sz="12" w:space="0"/>
              <w:right w:val="single" w:color="auto" w:sz="12" w:space="0"/>
            </w:tcBorders>
            <w:vAlign w:val="center"/>
          </w:tcPr>
          <w:p w14:paraId="6AE7FECF">
            <w:pPr>
              <w:keepLines w:val="0"/>
              <w:pageBreakBefore w:val="0"/>
              <w:kinsoku/>
              <w:wordWrap/>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（1）投标人自有人员</w:t>
            </w:r>
            <w:r>
              <w:rPr>
                <w:rStyle w:val="8"/>
                <w:rFonts w:hint="eastAsia" w:ascii="宋体" w:hAnsi="宋体" w:eastAsia="宋体" w:cs="宋体"/>
                <w:sz w:val="21"/>
                <w:szCs w:val="21"/>
                <w:highlight w:val="none"/>
              </w:rPr>
              <w:footnoteReference w:id="1"/>
            </w:r>
            <w:r>
              <w:rPr>
                <w:rFonts w:hint="eastAsia" w:ascii="宋体" w:hAnsi="宋体" w:eastAsia="宋体" w:cs="宋体"/>
                <w:sz w:val="21"/>
                <w:szCs w:val="21"/>
                <w:highlight w:val="none"/>
              </w:rPr>
              <w:t>；</w:t>
            </w:r>
          </w:p>
          <w:p w14:paraId="4C473C17">
            <w:pPr>
              <w:keepLines w:val="0"/>
              <w:pageBreakBefore w:val="0"/>
              <w:kinsoku/>
              <w:wordWrap/>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lang w:val="en-US" w:eastAsia="zh-CN"/>
              </w:rPr>
              <w:t>具有公路工程相关专业</w:t>
            </w:r>
            <w:r>
              <w:rPr>
                <w:rStyle w:val="8"/>
                <w:rFonts w:hint="eastAsia" w:ascii="宋体" w:hAnsi="宋体" w:eastAsia="宋体" w:cs="宋体"/>
                <w:sz w:val="21"/>
                <w:szCs w:val="21"/>
                <w:highlight w:val="none"/>
              </w:rPr>
              <w:footnoteReference w:id="2"/>
            </w:r>
            <w:r>
              <w:rPr>
                <w:rFonts w:hint="eastAsia" w:ascii="宋体" w:hAnsi="宋体" w:eastAsia="宋体" w:cs="宋体"/>
                <w:sz w:val="21"/>
                <w:szCs w:val="21"/>
                <w:highlight w:val="none"/>
                <w:lang w:val="en-US" w:eastAsia="zh-CN"/>
              </w:rPr>
              <w:t>中级职称</w:t>
            </w:r>
            <w:r>
              <w:rPr>
                <w:rFonts w:hint="eastAsia" w:ascii="宋体" w:hAnsi="宋体" w:eastAsia="宋体" w:cs="宋体"/>
                <w:sz w:val="21"/>
                <w:szCs w:val="21"/>
                <w:highlight w:val="none"/>
              </w:rPr>
              <w:t>；</w:t>
            </w:r>
          </w:p>
          <w:p w14:paraId="783514F5">
            <w:pPr>
              <w:keepLines w:val="0"/>
              <w:pageBreakBefore w:val="0"/>
              <w:kinsoku/>
              <w:wordWrap/>
              <w:overflowPunct/>
              <w:topLinePunct w:val="0"/>
              <w:bidi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（3）担任过</w:t>
            </w:r>
            <w:r>
              <w:rPr>
                <w:rFonts w:hint="eastAsia" w:ascii="宋体" w:hAnsi="宋体" w:eastAsia="宋体" w:cs="宋体"/>
                <w:sz w:val="21"/>
                <w:szCs w:val="21"/>
                <w:highlight w:val="none"/>
                <w:lang w:val="en-US" w:eastAsia="zh-CN"/>
              </w:rPr>
              <w:t>二级以上（含二级）公路</w:t>
            </w:r>
            <w:r>
              <w:rPr>
                <w:rFonts w:hint="eastAsia" w:ascii="宋体" w:hAnsi="宋体" w:eastAsia="宋体" w:cs="宋体"/>
                <w:sz w:val="21"/>
                <w:szCs w:val="21"/>
                <w:highlight w:val="none"/>
              </w:rPr>
              <w:t>养护工程勘察设计的项目负责人或技术负责人。</w:t>
            </w:r>
          </w:p>
          <w:p w14:paraId="06AB08AE">
            <w:pPr>
              <w:keepLines w:val="0"/>
              <w:pageBreakBefore w:val="0"/>
              <w:kinsoku/>
              <w:wordWrap/>
              <w:overflowPunct/>
              <w:topLinePunct w:val="0"/>
              <w:bidi w:val="0"/>
              <w:spacing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val="zh-CN"/>
              </w:rPr>
              <w:t>项目负责人任职业绩应是交通运输部“全国公路建设市场监督管理系统”或省级交通运输主管部门“公路建设市场信用信息管理系统”已载明的任职业绩。</w:t>
            </w:r>
          </w:p>
        </w:tc>
      </w:tr>
    </w:tbl>
    <w:p w14:paraId="175C371E">
      <w:pPr>
        <w:keepLines w:val="0"/>
        <w:pageBreakBefore w:val="0"/>
        <w:kinsoku/>
        <w:wordWrap/>
        <w:overflowPunct/>
        <w:topLinePunct w:val="0"/>
        <w:bidi w:val="0"/>
        <w:spacing w:before="100" w:beforeAutospacing="1" w:line="360" w:lineRule="exact"/>
        <w:jc w:val="center"/>
        <w:outlineLvl w:val="2"/>
        <w:rPr>
          <w:rFonts w:hint="eastAsia" w:ascii="宋体" w:hAnsi="宋体" w:eastAsia="宋体" w:cs="宋体"/>
          <w:b/>
          <w:sz w:val="21"/>
          <w:szCs w:val="21"/>
        </w:rPr>
      </w:pPr>
      <w:r>
        <w:rPr>
          <w:rFonts w:hint="eastAsia" w:ascii="宋体" w:hAnsi="宋体" w:eastAsia="宋体" w:cs="宋体"/>
          <w:b/>
          <w:sz w:val="21"/>
          <w:szCs w:val="21"/>
        </w:rPr>
        <w:br w:type="page"/>
      </w:r>
      <w:bookmarkEnd w:id="7"/>
    </w:p>
    <w:p w14:paraId="47BB395D">
      <w:pPr>
        <w:keepLines w:val="0"/>
        <w:pageBreakBefore w:val="0"/>
        <w:widowControl/>
        <w:kinsoku/>
        <w:wordWrap/>
        <w:overflowPunct/>
        <w:topLinePunct w:val="0"/>
        <w:bidi w:val="0"/>
        <w:spacing w:line="360" w:lineRule="exact"/>
        <w:jc w:val="left"/>
        <w:rPr>
          <w:rFonts w:hint="eastAsia" w:ascii="宋体" w:hAnsi="宋体" w:eastAsia="宋体" w:cs="宋体"/>
          <w:b/>
          <w:sz w:val="21"/>
          <w:szCs w:val="21"/>
        </w:rPr>
      </w:pPr>
      <w:r>
        <w:rPr>
          <w:rFonts w:hint="eastAsia" w:ascii="宋体" w:hAnsi="宋体" w:eastAsia="宋体" w:cs="宋体"/>
          <w:b/>
          <w:sz w:val="21"/>
          <w:szCs w:val="21"/>
        </w:rPr>
        <w:t>三、评标办法</w:t>
      </w:r>
    </w:p>
    <w:p w14:paraId="749478DA">
      <w:pPr>
        <w:keepLines w:val="0"/>
        <w:pageBreakBefore w:val="0"/>
        <w:widowControl/>
        <w:kinsoku/>
        <w:wordWrap/>
        <w:overflowPunct/>
        <w:topLinePunct w:val="0"/>
        <w:bidi w:val="0"/>
        <w:spacing w:line="360" w:lineRule="exact"/>
        <w:jc w:val="center"/>
        <w:rPr>
          <w:rFonts w:hint="eastAsia" w:ascii="宋体" w:hAnsi="宋体" w:eastAsia="宋体" w:cs="宋体"/>
          <w:b/>
          <w:sz w:val="21"/>
          <w:szCs w:val="21"/>
        </w:rPr>
      </w:pPr>
      <w:bookmarkStart w:id="15" w:name="_Toc505091277"/>
      <w:bookmarkStart w:id="16" w:name="_Toc80536764"/>
      <w:bookmarkStart w:id="17" w:name="_Toc520285006"/>
      <w:r>
        <w:rPr>
          <w:rFonts w:hint="eastAsia" w:ascii="宋体" w:hAnsi="宋体" w:eastAsia="宋体" w:cs="宋体"/>
          <w:b/>
          <w:sz w:val="21"/>
          <w:szCs w:val="21"/>
        </w:rPr>
        <w:t>评标办法（综合评估法）</w:t>
      </w:r>
    </w:p>
    <w:bookmarkEnd w:id="15"/>
    <w:bookmarkEnd w:id="16"/>
    <w:bookmarkEnd w:id="17"/>
    <w:p w14:paraId="0399A77A">
      <w:pPr>
        <w:keepLines w:val="0"/>
        <w:pageBreakBefore w:val="0"/>
        <w:kinsoku/>
        <w:wordWrap/>
        <w:overflowPunct/>
        <w:topLinePunct w:val="0"/>
        <w:bidi w:val="0"/>
        <w:spacing w:line="360" w:lineRule="exact"/>
        <w:rPr>
          <w:rFonts w:hint="eastAsia" w:ascii="宋体" w:hAnsi="宋体" w:eastAsia="宋体" w:cs="宋体"/>
          <w:w w:val="105"/>
          <w:sz w:val="21"/>
          <w:szCs w:val="21"/>
        </w:rPr>
      </w:pPr>
      <w:r>
        <w:rPr>
          <w:rFonts w:hint="eastAsia" w:ascii="宋体" w:hAnsi="宋体" w:eastAsia="宋体" w:cs="宋体"/>
          <w:w w:val="105"/>
          <w:sz w:val="21"/>
          <w:szCs w:val="21"/>
        </w:rPr>
        <w:t>评标办法前附表</w:t>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32610D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2026" w:type="dxa"/>
            <w:gridSpan w:val="2"/>
            <w:shd w:val="clear" w:color="auto" w:fill="auto"/>
            <w:vAlign w:val="center"/>
          </w:tcPr>
          <w:p w14:paraId="1D213532">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7536" w:type="dxa"/>
            <w:shd w:val="clear" w:color="auto" w:fill="auto"/>
            <w:vAlign w:val="center"/>
          </w:tcPr>
          <w:p w14:paraId="38DC70F2">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评审因素与评审标准</w:t>
            </w:r>
          </w:p>
        </w:tc>
      </w:tr>
      <w:tr w14:paraId="630F52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4493249">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173" w:type="dxa"/>
            <w:shd w:val="clear" w:color="auto" w:fill="auto"/>
            <w:vAlign w:val="center"/>
          </w:tcPr>
          <w:p w14:paraId="0733A57C">
            <w:pPr>
              <w:keepLines w:val="0"/>
              <w:pageBreakBefore w:val="0"/>
              <w:tabs>
                <w:tab w:val="left" w:pos="735"/>
              </w:tabs>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536" w:type="dxa"/>
            <w:shd w:val="clear" w:color="auto" w:fill="auto"/>
          </w:tcPr>
          <w:p w14:paraId="2A5C2284">
            <w:pPr>
              <w:pStyle w:val="13"/>
              <w:keepLines w:val="0"/>
              <w:pageBreakBefore w:val="0"/>
              <w:shd w:val="clear" w:color="auto" w:fill="auto"/>
              <w:tabs>
                <w:tab w:val="left" w:pos="735"/>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综合评分相等时，评标委员会依次按照以下优先顺序推荐中标候选人：</w:t>
            </w:r>
          </w:p>
          <w:p w14:paraId="3B43418B">
            <w:pPr>
              <w:pStyle w:val="13"/>
              <w:keepLines w:val="0"/>
              <w:pageBreakBefore w:val="0"/>
              <w:shd w:val="clear" w:color="auto" w:fill="auto"/>
              <w:tabs>
                <w:tab w:val="left" w:pos="735"/>
                <w:tab w:val="left" w:pos="1070"/>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评标价低的投标人优先；</w:t>
            </w:r>
          </w:p>
          <w:p w14:paraId="6E8ED529">
            <w:pPr>
              <w:pStyle w:val="13"/>
              <w:keepLines w:val="0"/>
              <w:pageBreakBefore w:val="0"/>
              <w:shd w:val="clear" w:color="auto" w:fill="auto"/>
              <w:tabs>
                <w:tab w:val="left" w:pos="735"/>
                <w:tab w:val="left" w:pos="107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Cs/>
                <w:sz w:val="21"/>
                <w:szCs w:val="21"/>
                <w:highlight w:val="none"/>
              </w:rPr>
              <w:t>信誉</w:t>
            </w:r>
            <w:r>
              <w:rPr>
                <w:rFonts w:hint="eastAsia" w:ascii="宋体" w:hAnsi="宋体" w:eastAsia="宋体" w:cs="宋体"/>
                <w:sz w:val="21"/>
                <w:szCs w:val="21"/>
                <w:highlight w:val="none"/>
              </w:rPr>
              <w:t>得分较高的投标人优先；</w:t>
            </w:r>
          </w:p>
          <w:p w14:paraId="4C8E61F3">
            <w:pPr>
              <w:keepLines w:val="0"/>
              <w:pageBreakBefore w:val="0"/>
              <w:tabs>
                <w:tab w:val="left" w:pos="735"/>
              </w:tabs>
              <w:kinsoku/>
              <w:wordWrap/>
              <w:overflowPunct/>
              <w:topLinePunct w:val="0"/>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（3）人员</w:t>
            </w:r>
            <w:r>
              <w:rPr>
                <w:rFonts w:hint="eastAsia" w:ascii="宋体" w:hAnsi="宋体" w:eastAsia="宋体" w:cs="宋体"/>
                <w:sz w:val="21"/>
                <w:szCs w:val="21"/>
                <w:highlight w:val="none"/>
              </w:rPr>
              <w:t>得分较高的投标人优先；</w:t>
            </w:r>
          </w:p>
          <w:p w14:paraId="6C73FF09">
            <w:pPr>
              <w:keepLines w:val="0"/>
              <w:pageBreakBefore w:val="0"/>
              <w:tabs>
                <w:tab w:val="left" w:pos="735"/>
              </w:tabs>
              <w:kinsoku/>
              <w:wordWrap/>
              <w:overflowPunct/>
              <w:topLinePunct w:val="0"/>
              <w:bidi w:val="0"/>
              <w:spacing w:line="360" w:lineRule="exact"/>
              <w:ind w:firstLine="420" w:firstLineChars="200"/>
              <w:rPr>
                <w:rFonts w:hint="eastAsia" w:ascii="宋体" w:hAnsi="宋体" w:eastAsia="宋体" w:cs="宋体"/>
                <w:bCs/>
                <w:sz w:val="21"/>
                <w:szCs w:val="21"/>
                <w:highlight w:val="none"/>
              </w:rPr>
            </w:pPr>
            <w:r>
              <w:rPr>
                <w:rFonts w:hint="eastAsia" w:ascii="宋体" w:hAnsi="宋体" w:eastAsia="宋体" w:cs="宋体"/>
                <w:bCs/>
                <w:sz w:val="21"/>
                <w:szCs w:val="21"/>
                <w:highlight w:val="none"/>
              </w:rPr>
              <w:t>（4）评标委员会投票决定。</w:t>
            </w:r>
          </w:p>
        </w:tc>
      </w:tr>
      <w:tr w14:paraId="22D91B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792B4873">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0B3DF190">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173" w:type="dxa"/>
            <w:shd w:val="clear" w:color="auto" w:fill="auto"/>
            <w:vAlign w:val="center"/>
          </w:tcPr>
          <w:p w14:paraId="719B6684">
            <w:pPr>
              <w:keepLines w:val="0"/>
              <w:pageBreakBefore w:val="0"/>
              <w:tabs>
                <w:tab w:val="left" w:pos="735"/>
              </w:tabs>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形式评审与响应性评审标准</w:t>
            </w:r>
          </w:p>
        </w:tc>
        <w:tc>
          <w:tcPr>
            <w:tcW w:w="7536" w:type="dxa"/>
            <w:shd w:val="clear" w:color="auto" w:fill="auto"/>
          </w:tcPr>
          <w:p w14:paraId="66C8FCF6">
            <w:pPr>
              <w:pStyle w:val="13"/>
              <w:keepLines w:val="0"/>
              <w:pageBreakBefore w:val="0"/>
              <w:shd w:val="clear" w:color="auto" w:fill="auto"/>
              <w:tabs>
                <w:tab w:val="left" w:pos="735"/>
              </w:tabs>
              <w:kinsoku/>
              <w:wordWrap/>
              <w:overflowPunct/>
              <w:topLinePunct w:val="0"/>
              <w:bidi w:val="0"/>
              <w:spacing w:before="0" w:line="360" w:lineRule="exact"/>
              <w:jc w:val="both"/>
              <w:rPr>
                <w:rFonts w:hint="eastAsia" w:ascii="宋体" w:hAnsi="宋体" w:eastAsia="宋体" w:cs="宋体"/>
                <w:sz w:val="21"/>
                <w:szCs w:val="21"/>
                <w:highlight w:val="none"/>
              </w:rPr>
            </w:pPr>
            <w:r>
              <w:rPr>
                <w:rFonts w:hint="eastAsia" w:ascii="宋体" w:hAnsi="宋体" w:eastAsia="宋体" w:cs="宋体"/>
                <w:bCs/>
                <w:sz w:val="21"/>
                <w:szCs w:val="21"/>
                <w:highlight w:val="none"/>
              </w:rPr>
              <w:t>第一个信封（商务及技术文件）评审标准：</w:t>
            </w:r>
          </w:p>
          <w:p w14:paraId="123E3B50">
            <w:pPr>
              <w:pStyle w:val="13"/>
              <w:keepLines w:val="0"/>
              <w:pageBreakBefore w:val="0"/>
              <w:shd w:val="clear" w:color="auto" w:fill="auto"/>
              <w:tabs>
                <w:tab w:val="left" w:pos="735"/>
                <w:tab w:val="left" w:pos="946"/>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rPr>
              <w:t>投标文件按照招标文件规定的格式</w:t>
            </w:r>
            <w:r>
              <w:rPr>
                <w:rFonts w:hint="eastAsia" w:ascii="宋体" w:hAnsi="宋体" w:eastAsia="宋体" w:cs="宋体"/>
                <w:sz w:val="21"/>
                <w:szCs w:val="21"/>
                <w:highlight w:val="none"/>
              </w:rPr>
              <w:t>、</w:t>
            </w:r>
            <w:r>
              <w:rPr>
                <w:rFonts w:hint="eastAsia" w:ascii="宋体" w:hAnsi="宋体" w:eastAsia="宋体" w:cs="宋体"/>
                <w:sz w:val="21"/>
                <w:szCs w:val="21"/>
                <w:highlight w:val="none"/>
              </w:rPr>
              <w:t>内容填写，字迹清晰</w:t>
            </w:r>
            <w:r>
              <w:rPr>
                <w:rFonts w:hint="eastAsia" w:ascii="宋体" w:hAnsi="宋体" w:eastAsia="宋体" w:cs="宋体"/>
                <w:sz w:val="21"/>
                <w:szCs w:val="21"/>
                <w:highlight w:val="none"/>
              </w:rPr>
              <w:t>可</w:t>
            </w:r>
            <w:r>
              <w:rPr>
                <w:rFonts w:hint="eastAsia" w:ascii="宋体" w:hAnsi="宋体" w:eastAsia="宋体" w:cs="宋体"/>
                <w:sz w:val="21"/>
                <w:szCs w:val="21"/>
                <w:highlight w:val="none"/>
              </w:rPr>
              <w:t>辨：</w:t>
            </w:r>
          </w:p>
          <w:p w14:paraId="0643EA21">
            <w:pPr>
              <w:pStyle w:val="13"/>
              <w:keepLines w:val="0"/>
              <w:pageBreakBefore w:val="0"/>
              <w:shd w:val="clear" w:color="auto" w:fill="auto"/>
              <w:tabs>
                <w:tab w:val="left" w:pos="566"/>
                <w:tab w:val="left" w:pos="735"/>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sz w:val="21"/>
                <w:szCs w:val="21"/>
                <w:highlight w:val="none"/>
              </w:rPr>
              <w:t>投标函按招标文件规定填报了项目名称、标段号、补遗书编号（如有)、勘察设计服务期限、工程质量要求及安全目标；</w:t>
            </w:r>
          </w:p>
          <w:p w14:paraId="456EECCC">
            <w:pPr>
              <w:pStyle w:val="13"/>
              <w:keepLines w:val="0"/>
              <w:pageBreakBefore w:val="0"/>
              <w:shd w:val="clear" w:color="auto" w:fill="auto"/>
              <w:tabs>
                <w:tab w:val="left" w:pos="168"/>
                <w:tab w:val="left" w:pos="73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b.</w:t>
            </w:r>
            <w:r>
              <w:rPr>
                <w:rFonts w:hint="eastAsia" w:ascii="宋体" w:hAnsi="宋体" w:eastAsia="宋体" w:cs="宋体"/>
                <w:sz w:val="21"/>
                <w:szCs w:val="21"/>
                <w:highlight w:val="none"/>
              </w:rPr>
              <w:t>投标文件组成齐全完整，内容均按规定填写。</w:t>
            </w:r>
          </w:p>
          <w:p w14:paraId="5B33CADF">
            <w:pPr>
              <w:pStyle w:val="13"/>
              <w:keepLines w:val="0"/>
              <w:pageBreakBefore w:val="0"/>
              <w:shd w:val="clear" w:color="auto" w:fill="auto"/>
              <w:tabs>
                <w:tab w:val="left" w:pos="735"/>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sz w:val="21"/>
                <w:szCs w:val="21"/>
                <w:highlight w:val="none"/>
              </w:rPr>
              <w:t>投标文件上法定代表人或其委托代理人的签字、投标人的单位章盖章齐全，符合招标文件规定。</w:t>
            </w:r>
          </w:p>
          <w:p w14:paraId="57B6AB8B">
            <w:pPr>
              <w:pStyle w:val="13"/>
              <w:keepLines w:val="0"/>
              <w:pageBreakBefore w:val="0"/>
              <w:shd w:val="clear" w:color="auto" w:fill="auto"/>
              <w:tabs>
                <w:tab w:val="left" w:pos="735"/>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rPr>
              <w:t>投标人按照招标文件的规定提供了投标保证金：</w:t>
            </w:r>
          </w:p>
          <w:p w14:paraId="314D934C">
            <w:pPr>
              <w:keepLines w:val="0"/>
              <w:pageBreakBefore w:val="0"/>
              <w:tabs>
                <w:tab w:val="left" w:pos="735"/>
              </w:tabs>
              <w:kinsoku/>
              <w:wordWrap/>
              <w:overflowPunct/>
              <w:topLinePunct w:val="0"/>
              <w:bidi w:val="0"/>
              <w:spacing w:line="36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w:t>
            </w:r>
            <w:r>
              <w:rPr>
                <w:rFonts w:hint="eastAsia" w:ascii="宋体" w:hAnsi="宋体" w:eastAsia="宋体" w:cs="宋体"/>
                <w:bCs/>
                <w:sz w:val="21"/>
                <w:szCs w:val="21"/>
                <w:highlight w:val="none"/>
              </w:rPr>
              <w:t>.</w:t>
            </w:r>
            <w:r>
              <w:rPr>
                <w:rFonts w:hint="eastAsia" w:ascii="宋体" w:hAnsi="宋体" w:eastAsia="宋体" w:cs="宋体"/>
                <w:sz w:val="21"/>
                <w:szCs w:val="21"/>
                <w:highlight w:val="none"/>
              </w:rPr>
              <w:t>投标保证金金额符合招标文件规定的金额，且投标保证金有效期不少于投标有效期；</w:t>
            </w:r>
          </w:p>
          <w:p w14:paraId="7D159E6F">
            <w:pPr>
              <w:pStyle w:val="13"/>
              <w:keepLines w:val="0"/>
              <w:pageBreakBefore w:val="0"/>
              <w:shd w:val="clear" w:color="auto" w:fill="auto"/>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b.</w:t>
            </w:r>
            <w:r>
              <w:rPr>
                <w:rStyle w:val="15"/>
                <w:rFonts w:hint="eastAsia" w:ascii="宋体" w:hAnsi="宋体" w:eastAsia="宋体" w:cs="宋体"/>
                <w:color w:val="auto"/>
                <w:sz w:val="21"/>
                <w:szCs w:val="21"/>
                <w:highlight w:val="none"/>
                <w:shd w:val="clear" w:color="auto" w:fill="auto"/>
              </w:rPr>
              <w:t>若投标保证金采用现金或支票形式提交，投标人应在招标文件规定的递交截止时间之前，将投标保证金由投标人的基本账户转入招标人指定账户；</w:t>
            </w:r>
          </w:p>
          <w:p w14:paraId="586E97C1">
            <w:pPr>
              <w:pStyle w:val="13"/>
              <w:keepLines w:val="0"/>
              <w:pageBreakBefore w:val="0"/>
              <w:shd w:val="clear" w:color="auto" w:fill="auto"/>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bidi="en-US"/>
              </w:rPr>
              <w:t>c</w:t>
            </w:r>
            <w:r>
              <w:rPr>
                <w:rFonts w:hint="eastAsia" w:ascii="宋体" w:hAnsi="宋体" w:eastAsia="宋体" w:cs="宋体"/>
                <w:b/>
                <w:bCs/>
                <w:sz w:val="21"/>
                <w:szCs w:val="21"/>
                <w:highlight w:val="none"/>
                <w:lang w:bidi="en-US"/>
              </w:rPr>
              <w:t>.</w:t>
            </w:r>
            <w:r>
              <w:rPr>
                <w:rFonts w:hint="eastAsia" w:ascii="宋体" w:hAnsi="宋体" w:eastAsia="宋体" w:cs="宋体"/>
                <w:sz w:val="21"/>
                <w:szCs w:val="21"/>
                <w:highlight w:val="none"/>
                <w:lang w:bidi="zh-TW"/>
              </w:rPr>
              <w:t>若投标保证金采用保函形式提交，</w:t>
            </w:r>
            <w:r>
              <w:rPr>
                <w:rFonts w:hint="eastAsia" w:ascii="宋体" w:hAnsi="宋体" w:eastAsia="宋体" w:cs="宋体"/>
                <w:sz w:val="21"/>
                <w:szCs w:val="21"/>
                <w:highlight w:val="none"/>
                <w:lang w:bidi="zh-TW"/>
              </w:rPr>
              <w:t>保函的实质性内容</w:t>
            </w:r>
            <w:r>
              <w:rPr>
                <w:rFonts w:hint="eastAsia" w:ascii="宋体" w:hAnsi="宋体" w:eastAsia="宋体" w:cs="宋体"/>
                <w:bCs/>
                <w:sz w:val="21"/>
                <w:szCs w:val="21"/>
                <w:highlight w:val="none"/>
              </w:rPr>
              <w:t>应满足招标文件要求</w:t>
            </w:r>
            <w:r>
              <w:rPr>
                <w:rFonts w:hint="eastAsia" w:ascii="宋体" w:hAnsi="宋体" w:eastAsia="宋体" w:cs="宋体"/>
                <w:bCs/>
                <w:sz w:val="21"/>
                <w:szCs w:val="21"/>
                <w:highlight w:val="none"/>
                <w:lang w:val="zh-CN"/>
              </w:rPr>
              <w:t>。</w:t>
            </w:r>
          </w:p>
          <w:p w14:paraId="57547A8D">
            <w:pPr>
              <w:pStyle w:val="13"/>
              <w:keepLines w:val="0"/>
              <w:pageBreakBefore w:val="0"/>
              <w:shd w:val="clear" w:color="auto" w:fill="auto"/>
              <w:tabs>
                <w:tab w:val="left" w:pos="950"/>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4</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投标人法定代表人授权委托代理人签署投标文件的，须提交授权委托书，且授权人和被授权人均在授权委托书上签名。</w:t>
            </w:r>
          </w:p>
          <w:p w14:paraId="1A78F952">
            <w:pPr>
              <w:pStyle w:val="13"/>
              <w:keepLines w:val="0"/>
              <w:pageBreakBefore w:val="0"/>
              <w:shd w:val="clear" w:color="auto" w:fill="auto"/>
              <w:tabs>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5</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投标人法定代表人亲自签署投标文件的，提供了法定代表人身份证明，且法定代表人在法定代表人身份证明上签名。</w:t>
            </w:r>
          </w:p>
          <w:p w14:paraId="14FCACDF">
            <w:pPr>
              <w:pStyle w:val="13"/>
              <w:keepLines w:val="0"/>
              <w:pageBreakBefore w:val="0"/>
              <w:shd w:val="clear" w:color="auto" w:fill="auto"/>
              <w:tabs>
                <w:tab w:val="left" w:pos="107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6</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投标人以联合体形式投标时，投标人按照招标文件提供的格式签订了联合体协议书，明确各方承担连带责任，并明确了联合体牵头人；</w:t>
            </w:r>
          </w:p>
          <w:p w14:paraId="6546CA7F">
            <w:pPr>
              <w:pStyle w:val="13"/>
              <w:keepLines w:val="0"/>
              <w:pageBreakBefore w:val="0"/>
              <w:shd w:val="clear" w:color="auto" w:fill="auto"/>
              <w:tabs>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w:t>
            </w:r>
            <w:r>
              <w:rPr>
                <w:rStyle w:val="15"/>
                <w:rFonts w:hint="eastAsia" w:ascii="宋体" w:hAnsi="宋体" w:eastAsia="宋体" w:cs="宋体"/>
                <w:color w:val="auto"/>
                <w:sz w:val="21"/>
                <w:szCs w:val="21"/>
                <w:highlight w:val="none"/>
                <w:shd w:val="clear" w:color="auto" w:fill="auto"/>
                <w:lang w:eastAsia="zh-CN"/>
              </w:rPr>
              <w:t>如有</w:t>
            </w:r>
            <w:r>
              <w:rPr>
                <w:rStyle w:val="15"/>
                <w:rFonts w:hint="eastAsia" w:ascii="宋体" w:hAnsi="宋体" w:eastAsia="宋体" w:cs="宋体"/>
                <w:color w:val="auto"/>
                <w:sz w:val="21"/>
                <w:szCs w:val="21"/>
                <w:highlight w:val="none"/>
                <w:shd w:val="clear" w:color="auto" w:fill="auto"/>
              </w:rPr>
              <w:t>分包计划</w:t>
            </w:r>
            <w:r>
              <w:rPr>
                <w:rStyle w:val="15"/>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rPr>
              <w:t>符合招标文件第二章</w:t>
            </w:r>
            <w:r>
              <w:rPr>
                <w:rStyle w:val="15"/>
                <w:rFonts w:hint="eastAsia" w:ascii="宋体" w:hAnsi="宋体" w:eastAsia="宋体" w:cs="宋体"/>
                <w:color w:val="auto"/>
                <w:sz w:val="21"/>
                <w:szCs w:val="21"/>
                <w:highlight w:val="none"/>
                <w:shd w:val="clear" w:color="auto" w:fill="auto"/>
                <w:lang w:eastAsia="zh-CN"/>
              </w:rPr>
              <w:t>“投标人须知”第1.11款规定，且按招标文件第六章“投标文件格式”的要求填写了“拟分包项目情况表”</w:t>
            </w:r>
            <w:r>
              <w:rPr>
                <w:rStyle w:val="15"/>
                <w:rFonts w:hint="eastAsia" w:ascii="宋体" w:hAnsi="宋体" w:eastAsia="宋体" w:cs="宋体"/>
                <w:color w:val="auto"/>
                <w:sz w:val="21"/>
                <w:szCs w:val="21"/>
                <w:highlight w:val="none"/>
                <w:shd w:val="clear" w:color="auto" w:fill="auto"/>
                <w:lang w:eastAsia="zh-CN"/>
              </w:rPr>
              <w:t>。</w:t>
            </w:r>
          </w:p>
          <w:p w14:paraId="4FA299D8">
            <w:pPr>
              <w:pStyle w:val="13"/>
              <w:keepLines w:val="0"/>
              <w:pageBreakBefore w:val="0"/>
              <w:shd w:val="clear" w:color="auto" w:fill="auto"/>
              <w:tabs>
                <w:tab w:val="left" w:pos="962"/>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8</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同一投标人未提交两个以上不同的投标文件，但招标文件要求提交备选投标的除外。</w:t>
            </w:r>
          </w:p>
          <w:p w14:paraId="27162129">
            <w:pPr>
              <w:pStyle w:val="13"/>
              <w:keepLines w:val="0"/>
              <w:pageBreakBefore w:val="0"/>
              <w:shd w:val="clear" w:color="auto" w:fill="auto"/>
              <w:tabs>
                <w:tab w:val="left" w:pos="1181"/>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9</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投标文件中未出现有关投标报价的内容。</w:t>
            </w:r>
          </w:p>
          <w:p w14:paraId="58CF8113">
            <w:pPr>
              <w:pStyle w:val="13"/>
              <w:keepLines w:val="0"/>
              <w:pageBreakBefore w:val="0"/>
              <w:shd w:val="clear" w:color="auto" w:fill="auto"/>
              <w:tabs>
                <w:tab w:val="left" w:pos="936"/>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0</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投标文件载明的招标项目完成期限未超过招标文件规定的时限。</w:t>
            </w:r>
          </w:p>
          <w:p w14:paraId="4F65E469">
            <w:pPr>
              <w:pStyle w:val="13"/>
              <w:keepLines w:val="0"/>
              <w:pageBreakBefore w:val="0"/>
              <w:shd w:val="clear" w:color="auto" w:fill="auto"/>
              <w:tabs>
                <w:tab w:val="left" w:pos="1181"/>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1</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投标文件对招标文件的实质性要求和条件作出响应。</w:t>
            </w:r>
          </w:p>
          <w:p w14:paraId="3ABE7D03">
            <w:pPr>
              <w:pStyle w:val="13"/>
              <w:keepLines w:val="0"/>
              <w:pageBreakBefore w:val="0"/>
              <w:shd w:val="clear" w:color="auto" w:fill="auto"/>
              <w:tabs>
                <w:tab w:val="left" w:pos="1176"/>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lang w:eastAsia="zh-CN"/>
              </w:rPr>
              <w:t>2</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权利义务符合招标文件规定</w:t>
            </w:r>
            <w:r>
              <w:rPr>
                <w:rStyle w:val="16"/>
                <w:rFonts w:hint="eastAsia" w:ascii="宋体" w:hAnsi="宋体" w:eastAsia="宋体" w:cs="宋体"/>
                <w:b w:val="0"/>
                <w:color w:val="auto"/>
                <w:sz w:val="21"/>
                <w:szCs w:val="21"/>
                <w:highlight w:val="none"/>
              </w:rPr>
              <w:t>：</w:t>
            </w:r>
          </w:p>
          <w:p w14:paraId="0AFC3F03">
            <w:pPr>
              <w:pStyle w:val="13"/>
              <w:keepLines w:val="0"/>
              <w:pageBreakBefore w:val="0"/>
              <w:shd w:val="clear" w:color="auto" w:fill="auto"/>
              <w:tabs>
                <w:tab w:val="left" w:pos="569"/>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投标人应接受招标文件规定的风险划分原则，未提出新的风险划分办法；</w:t>
            </w:r>
          </w:p>
          <w:p w14:paraId="38F70438">
            <w:pPr>
              <w:pStyle w:val="13"/>
              <w:keepLines w:val="0"/>
              <w:pageBreakBefore w:val="0"/>
              <w:shd w:val="clear" w:color="auto" w:fill="auto"/>
              <w:tabs>
                <w:tab w:val="left" w:pos="710"/>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投标人未增加发包人的责任范围，或减少投标人义务；</w:t>
            </w:r>
          </w:p>
          <w:p w14:paraId="709CD7A2">
            <w:pPr>
              <w:pStyle w:val="13"/>
              <w:keepLines w:val="0"/>
              <w:pageBreakBefore w:val="0"/>
              <w:shd w:val="clear" w:color="auto" w:fill="auto"/>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投标人未提出不同的支付办法；</w:t>
            </w:r>
          </w:p>
          <w:p w14:paraId="25DD506E">
            <w:pPr>
              <w:pStyle w:val="13"/>
              <w:keepLines w:val="0"/>
              <w:pageBreakBefore w:val="0"/>
              <w:shd w:val="clear" w:color="auto" w:fill="auto"/>
              <w:tabs>
                <w:tab w:val="left" w:pos="703"/>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d.</w:t>
            </w:r>
            <w:r>
              <w:rPr>
                <w:rStyle w:val="15"/>
                <w:rFonts w:hint="eastAsia" w:ascii="宋体" w:hAnsi="宋体" w:eastAsia="宋体" w:cs="宋体"/>
                <w:color w:val="auto"/>
                <w:sz w:val="21"/>
                <w:szCs w:val="21"/>
                <w:highlight w:val="none"/>
                <w:shd w:val="clear" w:color="auto" w:fill="auto"/>
              </w:rPr>
              <w:t>投标人对合同纠纷、事故处理办法未提出异议；</w:t>
            </w:r>
          </w:p>
          <w:p w14:paraId="544DE4E1">
            <w:pPr>
              <w:pStyle w:val="13"/>
              <w:keepLines w:val="0"/>
              <w:pageBreakBefore w:val="0"/>
              <w:shd w:val="clear" w:color="auto" w:fill="auto"/>
              <w:tabs>
                <w:tab w:val="left" w:pos="689"/>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e.</w:t>
            </w:r>
            <w:r>
              <w:rPr>
                <w:rStyle w:val="15"/>
                <w:rFonts w:hint="eastAsia" w:ascii="宋体" w:hAnsi="宋体" w:eastAsia="宋体" w:cs="宋体"/>
                <w:color w:val="auto"/>
                <w:sz w:val="21"/>
                <w:szCs w:val="21"/>
                <w:highlight w:val="none"/>
                <w:shd w:val="clear" w:color="auto" w:fill="auto"/>
              </w:rPr>
              <w:t>投标人在投标活动中无欺诈行为；</w:t>
            </w:r>
          </w:p>
          <w:p w14:paraId="4314CBA8">
            <w:pPr>
              <w:pStyle w:val="13"/>
              <w:keepLines w:val="0"/>
              <w:pageBreakBefore w:val="0"/>
              <w:shd w:val="clear" w:color="auto" w:fill="auto"/>
              <w:tabs>
                <w:tab w:val="left" w:pos="679"/>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lang w:eastAsia="zh-CN"/>
              </w:rPr>
              <w:t>f</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投标人未对合同条款有重要保留。</w:t>
            </w:r>
          </w:p>
          <w:p w14:paraId="32070E50">
            <w:pPr>
              <w:keepLines w:val="0"/>
              <w:pageBreakBefore w:val="0"/>
              <w:tabs>
                <w:tab w:val="left" w:pos="735"/>
              </w:tabs>
              <w:kinsoku/>
              <w:wordWrap/>
              <w:overflowPunct/>
              <w:topLinePunct w:val="0"/>
              <w:bidi w:val="0"/>
              <w:spacing w:line="360" w:lineRule="exact"/>
              <w:ind w:firstLine="420" w:firstLineChars="200"/>
              <w:rPr>
                <w:rFonts w:hint="eastAsia" w:ascii="宋体" w:hAnsi="宋体" w:eastAsia="宋体" w:cs="宋体"/>
                <w:sz w:val="21"/>
                <w:szCs w:val="21"/>
                <w:highlight w:val="none"/>
              </w:rPr>
            </w:pPr>
          </w:p>
          <w:p w14:paraId="719A3FFB">
            <w:pPr>
              <w:pStyle w:val="13"/>
              <w:keepLines w:val="0"/>
              <w:pageBreakBefore w:val="0"/>
              <w:shd w:val="clear" w:color="auto" w:fill="auto"/>
              <w:kinsoku/>
              <w:wordWrap/>
              <w:overflowPunct/>
              <w:topLinePunct w:val="0"/>
              <w:bidi w:val="0"/>
              <w:spacing w:before="0" w:line="360" w:lineRule="exact"/>
              <w:jc w:val="left"/>
              <w:rPr>
                <w:rFonts w:hint="eastAsia" w:ascii="宋体" w:hAnsi="宋体" w:eastAsia="宋体" w:cs="宋体"/>
                <w:sz w:val="21"/>
                <w:szCs w:val="21"/>
                <w:highlight w:val="none"/>
              </w:rPr>
            </w:pPr>
            <w:r>
              <w:rPr>
                <w:rStyle w:val="16"/>
                <w:rFonts w:hint="eastAsia" w:ascii="宋体" w:hAnsi="宋体" w:eastAsia="宋体" w:cs="宋体"/>
                <w:b w:val="0"/>
                <w:color w:val="auto"/>
                <w:sz w:val="21"/>
                <w:szCs w:val="21"/>
                <w:highlight w:val="none"/>
              </w:rPr>
              <w:t>第二个信封（报价文件）评审标准：</w:t>
            </w:r>
          </w:p>
          <w:p w14:paraId="1443E719">
            <w:pPr>
              <w:keepLines w:val="0"/>
              <w:pageBreakBefore w:val="0"/>
              <w:tabs>
                <w:tab w:val="left" w:pos="735"/>
              </w:tabs>
              <w:kinsoku/>
              <w:wordWrap/>
              <w:overflowPunct/>
              <w:topLinePunct w:val="0"/>
              <w:bidi w:val="0"/>
              <w:spacing w:line="360" w:lineRule="exact"/>
              <w:ind w:firstLine="420" w:firstLineChars="200"/>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投标文件按照招标文件规定的格式、内容填写，字迹清晰可辨，内容齐全完整：</w:t>
            </w:r>
          </w:p>
          <w:p w14:paraId="6CDC9BDE">
            <w:pPr>
              <w:pStyle w:val="13"/>
              <w:keepLines w:val="0"/>
              <w:pageBreakBefore w:val="0"/>
              <w:shd w:val="clear" w:color="auto" w:fill="auto"/>
              <w:tabs>
                <w:tab w:val="left" w:pos="569"/>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a.</w:t>
            </w:r>
            <w:r>
              <w:rPr>
                <w:rStyle w:val="15"/>
                <w:rFonts w:hint="eastAsia" w:ascii="宋体" w:hAnsi="宋体" w:eastAsia="宋体" w:cs="宋体"/>
                <w:color w:val="auto"/>
                <w:sz w:val="21"/>
                <w:szCs w:val="21"/>
                <w:highlight w:val="none"/>
                <w:shd w:val="clear" w:color="auto" w:fill="auto"/>
              </w:rPr>
              <w:t>投标函按招标文件规定填报了项目名称、标段号、补遗书编号（如有)、投标价（包括大写金额和小写金额</w:t>
            </w:r>
            <w:r>
              <w:rPr>
                <w:rStyle w:val="15"/>
                <w:rFonts w:hint="eastAsia" w:ascii="宋体" w:hAnsi="宋体" w:eastAsia="宋体" w:cs="宋体"/>
                <w:color w:val="auto"/>
                <w:sz w:val="21"/>
                <w:szCs w:val="21"/>
                <w:highlight w:val="none"/>
                <w:shd w:val="clear" w:color="auto" w:fill="auto"/>
                <w:lang w:bidi="en-US"/>
              </w:rPr>
              <w:t>)；</w:t>
            </w:r>
          </w:p>
          <w:p w14:paraId="33646134">
            <w:pPr>
              <w:pStyle w:val="13"/>
              <w:keepLines w:val="0"/>
              <w:pageBreakBefore w:val="0"/>
              <w:shd w:val="clear" w:color="auto" w:fill="auto"/>
              <w:tabs>
                <w:tab w:val="left" w:pos="593"/>
              </w:tabs>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b.</w:t>
            </w:r>
            <w:r>
              <w:rPr>
                <w:rStyle w:val="15"/>
                <w:rFonts w:hint="eastAsia" w:ascii="宋体" w:hAnsi="宋体" w:eastAsia="宋体" w:cs="宋体"/>
                <w:color w:val="auto"/>
                <w:sz w:val="21"/>
                <w:szCs w:val="21"/>
                <w:highlight w:val="none"/>
                <w:shd w:val="clear" w:color="auto" w:fill="auto"/>
              </w:rPr>
              <w:t>已标价报价清单说明文字与招标文件规定一致，未进行实质性修改和删减；</w:t>
            </w:r>
          </w:p>
          <w:p w14:paraId="2386E802">
            <w:pPr>
              <w:pStyle w:val="13"/>
              <w:keepLines w:val="0"/>
              <w:pageBreakBefore w:val="0"/>
              <w:shd w:val="clear" w:color="auto" w:fill="auto"/>
              <w:kinsoku/>
              <w:wordWrap/>
              <w:overflowPunct/>
              <w:topLinePunct w:val="0"/>
              <w:bidi w:val="0"/>
              <w:spacing w:before="0" w:line="360" w:lineRule="exact"/>
              <w:ind w:firstLine="420" w:firstLineChars="200"/>
              <w:jc w:val="left"/>
              <w:rPr>
                <w:rFonts w:hint="eastAsia" w:ascii="宋体" w:hAnsi="宋体" w:eastAsia="宋体" w:cs="宋体"/>
                <w:sz w:val="21"/>
                <w:szCs w:val="21"/>
                <w:highlight w:val="none"/>
              </w:rPr>
            </w:pPr>
            <w:r>
              <w:rPr>
                <w:rStyle w:val="17"/>
                <w:rFonts w:hint="eastAsia" w:ascii="宋体" w:hAnsi="宋体" w:eastAsia="宋体" w:cs="宋体"/>
                <w:color w:val="auto"/>
                <w:sz w:val="21"/>
                <w:szCs w:val="21"/>
                <w:highlight w:val="none"/>
                <w:shd w:val="clear" w:color="auto" w:fill="auto"/>
                <w:lang w:eastAsia="zh-CN"/>
              </w:rPr>
              <w:t>c.</w:t>
            </w:r>
            <w:r>
              <w:rPr>
                <w:rStyle w:val="15"/>
                <w:rFonts w:hint="eastAsia" w:ascii="宋体" w:hAnsi="宋体" w:eastAsia="宋体" w:cs="宋体"/>
                <w:color w:val="auto"/>
                <w:sz w:val="21"/>
                <w:szCs w:val="21"/>
                <w:highlight w:val="none"/>
                <w:shd w:val="clear" w:color="auto" w:fill="auto"/>
              </w:rPr>
              <w:t>投标文件组成齐全完整，内容均按规定填写。</w:t>
            </w:r>
          </w:p>
          <w:p w14:paraId="6F6E6209">
            <w:pPr>
              <w:pStyle w:val="13"/>
              <w:keepLines w:val="0"/>
              <w:pageBreakBefore w:val="0"/>
              <w:shd w:val="clear" w:color="auto" w:fill="auto"/>
              <w:tabs>
                <w:tab w:val="left" w:pos="948"/>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投标文件上法定代表人或其委托代理人的签字、投标人的单位章盖章齐全，符合招标文件规定。</w:t>
            </w:r>
          </w:p>
          <w:p w14:paraId="18A24A52">
            <w:pPr>
              <w:pStyle w:val="13"/>
              <w:keepLines w:val="0"/>
              <w:pageBreakBefore w:val="0"/>
              <w:shd w:val="clear" w:color="auto" w:fill="auto"/>
              <w:tabs>
                <w:tab w:val="left" w:pos="107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投标报价未超过招标文件设定的最高投标限价。</w:t>
            </w:r>
          </w:p>
          <w:p w14:paraId="07997F68">
            <w:pPr>
              <w:pStyle w:val="13"/>
              <w:keepLines w:val="0"/>
              <w:pageBreakBefore w:val="0"/>
              <w:shd w:val="clear" w:color="auto" w:fill="auto"/>
              <w:tabs>
                <w:tab w:val="left" w:pos="107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投标报价的大写金额能够确定具体数值。</w:t>
            </w:r>
          </w:p>
          <w:p w14:paraId="5CCB2DDA">
            <w:pPr>
              <w:pStyle w:val="13"/>
              <w:keepLines w:val="0"/>
              <w:pageBreakBefore w:val="0"/>
              <w:shd w:val="clear" w:color="auto" w:fill="auto"/>
              <w:tabs>
                <w:tab w:val="left" w:pos="965"/>
              </w:tabs>
              <w:kinsoku/>
              <w:wordWrap/>
              <w:overflowPunct/>
              <w:topLinePunct w:val="0"/>
              <w:bidi w:val="0"/>
              <w:spacing w:before="0" w:line="360" w:lineRule="exact"/>
              <w:ind w:firstLine="420" w:firstLineChars="200"/>
              <w:jc w:val="both"/>
              <w:rPr>
                <w:rFonts w:hint="eastAsia" w:ascii="宋体" w:hAnsi="宋体" w:eastAsia="宋体" w:cs="宋体"/>
                <w:sz w:val="21"/>
                <w:szCs w:val="21"/>
                <w:highlight w:val="none"/>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同一投标人未提交两个以上不同的投标报价，但招标文件要求提交备选投标的除外。</w:t>
            </w:r>
          </w:p>
        </w:tc>
      </w:tr>
      <w:tr w14:paraId="3E07E3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184A802F">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2.1.2</w:t>
            </w:r>
          </w:p>
        </w:tc>
        <w:tc>
          <w:tcPr>
            <w:tcW w:w="1173" w:type="dxa"/>
            <w:shd w:val="clear" w:color="auto" w:fill="auto"/>
            <w:vAlign w:val="center"/>
          </w:tcPr>
          <w:p w14:paraId="39C40A47">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资格</w:t>
            </w:r>
          </w:p>
          <w:p w14:paraId="009EE64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评审标准</w:t>
            </w:r>
          </w:p>
        </w:tc>
        <w:tc>
          <w:tcPr>
            <w:tcW w:w="7536" w:type="dxa"/>
            <w:shd w:val="clear" w:color="auto" w:fill="auto"/>
          </w:tcPr>
          <w:p w14:paraId="49C04364">
            <w:pPr>
              <w:pStyle w:val="13"/>
              <w:keepLines w:val="0"/>
              <w:pageBreakBefore w:val="0"/>
              <w:shd w:val="clear" w:color="auto" w:fill="auto"/>
              <w:tabs>
                <w:tab w:val="left" w:pos="946"/>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（1）</w:t>
            </w:r>
            <w:r>
              <w:rPr>
                <w:rStyle w:val="15"/>
                <w:rFonts w:hint="eastAsia" w:ascii="宋体" w:hAnsi="宋体" w:eastAsia="宋体" w:cs="宋体"/>
                <w:color w:val="auto"/>
                <w:sz w:val="21"/>
                <w:szCs w:val="21"/>
                <w:highlight w:val="none"/>
                <w:shd w:val="clear" w:color="auto" w:fill="auto"/>
              </w:rPr>
              <w:t>投标人具备有效的营业执照、勘察资质证书、设计资质证书和基本账户开户许可证明材料。</w:t>
            </w:r>
          </w:p>
          <w:p w14:paraId="624754DC">
            <w:pPr>
              <w:pStyle w:val="13"/>
              <w:keepLines w:val="0"/>
              <w:pageBreakBefore w:val="0"/>
              <w:shd w:val="clear" w:color="auto" w:fill="auto"/>
              <w:tabs>
                <w:tab w:val="left" w:pos="1073"/>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（2）</w:t>
            </w:r>
            <w:r>
              <w:rPr>
                <w:rStyle w:val="15"/>
                <w:rFonts w:hint="eastAsia" w:ascii="宋体" w:hAnsi="宋体" w:eastAsia="宋体" w:cs="宋体"/>
                <w:color w:val="auto"/>
                <w:sz w:val="21"/>
                <w:szCs w:val="21"/>
                <w:highlight w:val="none"/>
                <w:shd w:val="clear" w:color="auto" w:fill="auto"/>
              </w:rPr>
              <w:t>投标人的资质等级符合招标文件规定。</w:t>
            </w:r>
          </w:p>
          <w:p w14:paraId="61702BFE">
            <w:pPr>
              <w:pStyle w:val="13"/>
              <w:keepLines w:val="0"/>
              <w:pageBreakBefore w:val="0"/>
              <w:shd w:val="clear" w:color="auto" w:fill="auto"/>
              <w:tabs>
                <w:tab w:val="left" w:pos="1078"/>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（3）</w:t>
            </w:r>
            <w:r>
              <w:rPr>
                <w:rStyle w:val="15"/>
                <w:rFonts w:hint="eastAsia" w:ascii="宋体" w:hAnsi="宋体" w:eastAsia="宋体" w:cs="宋体"/>
                <w:color w:val="auto"/>
                <w:sz w:val="21"/>
                <w:szCs w:val="21"/>
                <w:highlight w:val="none"/>
                <w:shd w:val="clear" w:color="auto" w:fill="auto"/>
              </w:rPr>
              <w:t>投标人的类似项目业绩符合招标文件规定。</w:t>
            </w:r>
          </w:p>
          <w:p w14:paraId="29CB581B">
            <w:pPr>
              <w:pStyle w:val="13"/>
              <w:keepLines w:val="0"/>
              <w:pageBreakBefore w:val="0"/>
              <w:shd w:val="clear" w:color="auto" w:fill="auto"/>
              <w:tabs>
                <w:tab w:val="left" w:pos="1075"/>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（4）</w:t>
            </w:r>
            <w:r>
              <w:rPr>
                <w:rStyle w:val="15"/>
                <w:rFonts w:hint="eastAsia" w:ascii="宋体" w:hAnsi="宋体" w:eastAsia="宋体" w:cs="宋体"/>
                <w:color w:val="auto"/>
                <w:sz w:val="21"/>
                <w:szCs w:val="21"/>
                <w:highlight w:val="none"/>
                <w:shd w:val="clear" w:color="auto" w:fill="auto"/>
              </w:rPr>
              <w:t>投标人的信誉符合招标文件规定。</w:t>
            </w:r>
          </w:p>
          <w:p w14:paraId="6B941AB7">
            <w:pPr>
              <w:pStyle w:val="13"/>
              <w:keepLines w:val="0"/>
              <w:pageBreakBefore w:val="0"/>
              <w:shd w:val="clear" w:color="auto" w:fill="auto"/>
              <w:tabs>
                <w:tab w:val="left" w:pos="1078"/>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（5）</w:t>
            </w:r>
            <w:r>
              <w:rPr>
                <w:rStyle w:val="15"/>
                <w:rFonts w:hint="eastAsia" w:ascii="宋体" w:hAnsi="宋体" w:eastAsia="宋体" w:cs="宋体"/>
                <w:color w:val="auto"/>
                <w:sz w:val="21"/>
                <w:szCs w:val="21"/>
                <w:highlight w:val="none"/>
                <w:shd w:val="clear" w:color="auto" w:fill="auto"/>
              </w:rPr>
              <w:t>投标人的项目负责人资格符合招标文件规定。</w:t>
            </w:r>
          </w:p>
          <w:p w14:paraId="014A12BA">
            <w:pPr>
              <w:pStyle w:val="13"/>
              <w:keepLines w:val="0"/>
              <w:pageBreakBefore w:val="0"/>
              <w:shd w:val="clear" w:color="auto" w:fill="auto"/>
              <w:tabs>
                <w:tab w:val="left" w:pos="1073"/>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（6）</w:t>
            </w:r>
            <w:r>
              <w:rPr>
                <w:rStyle w:val="15"/>
                <w:rFonts w:hint="eastAsia" w:ascii="宋体" w:hAnsi="宋体" w:eastAsia="宋体" w:cs="宋体"/>
                <w:color w:val="auto"/>
                <w:sz w:val="21"/>
                <w:szCs w:val="21"/>
                <w:highlight w:val="none"/>
                <w:shd w:val="clear" w:color="auto" w:fill="auto"/>
              </w:rPr>
              <w:t>投标人不存在第二章“投标人须知”第1.4.3项或第1.4.4项规定的任何一种情形。</w:t>
            </w:r>
          </w:p>
          <w:p w14:paraId="58815020">
            <w:pPr>
              <w:pStyle w:val="13"/>
              <w:keepLines w:val="0"/>
              <w:pageBreakBefore w:val="0"/>
              <w:shd w:val="clear" w:color="auto" w:fill="auto"/>
              <w:tabs>
                <w:tab w:val="left" w:pos="1073"/>
              </w:tabs>
              <w:kinsoku/>
              <w:wordWrap/>
              <w:overflowPunct/>
              <w:topLinePunct w:val="0"/>
              <w:bidi w:val="0"/>
              <w:spacing w:before="0"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lang w:eastAsia="zh-CN"/>
              </w:rPr>
              <w:t>7</w:t>
            </w:r>
            <w:r>
              <w:rPr>
                <w:rStyle w:val="15"/>
                <w:rFonts w:hint="eastAsia" w:ascii="宋体" w:hAnsi="宋体" w:eastAsia="宋体" w:cs="宋体"/>
                <w:color w:val="auto"/>
                <w:sz w:val="21"/>
                <w:szCs w:val="21"/>
                <w:highlight w:val="none"/>
                <w:shd w:val="clear" w:color="auto" w:fill="auto"/>
              </w:rPr>
              <w:t>）</w:t>
            </w:r>
            <w:r>
              <w:rPr>
                <w:rStyle w:val="15"/>
                <w:rFonts w:hint="eastAsia" w:ascii="宋体" w:hAnsi="宋体" w:eastAsia="宋体" w:cs="宋体"/>
                <w:color w:val="auto"/>
                <w:sz w:val="21"/>
                <w:szCs w:val="21"/>
                <w:highlight w:val="none"/>
                <w:shd w:val="clear" w:color="auto" w:fill="auto"/>
              </w:rPr>
              <w:t>投标人符合第二章“投标人须知”第1.4.5项规定。</w:t>
            </w:r>
          </w:p>
          <w:p w14:paraId="549C101A">
            <w:pPr>
              <w:keepLines w:val="0"/>
              <w:pageBreakBefore w:val="0"/>
              <w:kinsoku/>
              <w:wordWrap/>
              <w:overflowPunct/>
              <w:topLinePunct w:val="0"/>
              <w:bidi w:val="0"/>
              <w:spacing w:line="360" w:lineRule="exact"/>
              <w:ind w:firstLine="420" w:firstLineChars="200"/>
              <w:rPr>
                <w:rStyle w:val="15"/>
                <w:rFonts w:hint="eastAsia" w:ascii="宋体" w:hAnsi="宋体" w:eastAsia="宋体" w:cs="宋体"/>
                <w:color w:val="auto"/>
                <w:kern w:val="0"/>
                <w:sz w:val="21"/>
                <w:szCs w:val="21"/>
                <w:highlight w:val="none"/>
                <w:shd w:val="clear" w:color="auto" w:fill="auto"/>
              </w:rPr>
            </w:pP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lang w:eastAsia="zh-CN"/>
              </w:rPr>
              <w:t>8</w:t>
            </w:r>
            <w:r>
              <w:rPr>
                <w:rStyle w:val="15"/>
                <w:rFonts w:hint="eastAsia" w:ascii="宋体" w:hAnsi="宋体" w:eastAsia="宋体" w:cs="宋体"/>
                <w:color w:val="auto"/>
                <w:kern w:val="0"/>
                <w:sz w:val="21"/>
                <w:szCs w:val="21"/>
                <w:highlight w:val="none"/>
                <w:shd w:val="clear" w:color="auto" w:fill="auto"/>
              </w:rPr>
              <w:t>）</w:t>
            </w:r>
            <w:r>
              <w:rPr>
                <w:rStyle w:val="15"/>
                <w:rFonts w:hint="eastAsia" w:ascii="宋体" w:hAnsi="宋体" w:eastAsia="宋体" w:cs="宋体"/>
                <w:color w:val="auto"/>
                <w:kern w:val="0"/>
                <w:sz w:val="21"/>
                <w:szCs w:val="21"/>
                <w:highlight w:val="none"/>
                <w:shd w:val="clear" w:color="auto" w:fill="auto"/>
              </w:rPr>
              <w:t>以联合体形式参与投标的，联合体各方均未再以自己名义单独或参加其他联合体在同一标段中投标；独立参与投标的，投标人未同时参加联合体在同一标段中投标。</w:t>
            </w:r>
          </w:p>
        </w:tc>
      </w:tr>
    </w:tbl>
    <w:p w14:paraId="61AECA07">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p>
    <w:tbl>
      <w:tblPr>
        <w:tblStyle w:val="6"/>
        <w:tblW w:w="956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173"/>
        <w:gridCol w:w="7536"/>
      </w:tblGrid>
      <w:tr w14:paraId="4A15CC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3" w:type="dxa"/>
            <w:shd w:val="clear" w:color="auto" w:fill="auto"/>
            <w:vAlign w:val="center"/>
          </w:tcPr>
          <w:p w14:paraId="1171939E">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1173" w:type="dxa"/>
            <w:shd w:val="clear" w:color="auto" w:fill="auto"/>
            <w:vAlign w:val="center"/>
          </w:tcPr>
          <w:p w14:paraId="30ADBFAA">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条款内容</w:t>
            </w:r>
          </w:p>
        </w:tc>
        <w:tc>
          <w:tcPr>
            <w:tcW w:w="7536" w:type="dxa"/>
            <w:shd w:val="clear" w:color="auto" w:fill="auto"/>
            <w:vAlign w:val="center"/>
          </w:tcPr>
          <w:p w14:paraId="676C6AFE">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编列内容</w:t>
            </w:r>
          </w:p>
        </w:tc>
      </w:tr>
      <w:tr w14:paraId="3C65C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48" w:hRule="atLeast"/>
          <w:jc w:val="center"/>
        </w:trPr>
        <w:tc>
          <w:tcPr>
            <w:tcW w:w="853" w:type="dxa"/>
            <w:shd w:val="clear" w:color="auto" w:fill="auto"/>
            <w:vAlign w:val="center"/>
          </w:tcPr>
          <w:p w14:paraId="3E9CC7A0">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2.2.1</w:t>
            </w:r>
          </w:p>
        </w:tc>
        <w:tc>
          <w:tcPr>
            <w:tcW w:w="1173" w:type="dxa"/>
            <w:shd w:val="clear" w:color="auto" w:fill="auto"/>
            <w:vAlign w:val="center"/>
          </w:tcPr>
          <w:p w14:paraId="01B613B7">
            <w:pPr>
              <w:keepLines w:val="0"/>
              <w:pageBreakBefore w:val="0"/>
              <w:kinsoku/>
              <w:wordWrap/>
              <w:overflowPunct/>
              <w:topLinePunct w:val="0"/>
              <w:bidi w:val="0"/>
              <w:spacing w:line="360" w:lineRule="exact"/>
              <w:jc w:val="center"/>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分值构成</w:t>
            </w:r>
          </w:p>
          <w:p w14:paraId="60D5C24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(总分</w:t>
            </w:r>
            <w:r>
              <w:rPr>
                <w:rStyle w:val="16"/>
                <w:rFonts w:hint="eastAsia" w:ascii="宋体" w:hAnsi="宋体" w:eastAsia="宋体" w:cs="宋体"/>
                <w:b w:val="0"/>
                <w:color w:val="auto"/>
                <w:sz w:val="21"/>
                <w:szCs w:val="21"/>
                <w:highlight w:val="none"/>
              </w:rPr>
              <w:br w:type="textWrapping"/>
            </w:r>
            <w:r>
              <w:rPr>
                <w:rStyle w:val="16"/>
                <w:rFonts w:hint="eastAsia" w:ascii="宋体" w:hAnsi="宋体" w:eastAsia="宋体" w:cs="宋体"/>
                <w:b w:val="0"/>
                <w:color w:val="auto"/>
                <w:sz w:val="21"/>
                <w:szCs w:val="21"/>
                <w:highlight w:val="none"/>
              </w:rPr>
              <w:t>100分）</w:t>
            </w:r>
          </w:p>
        </w:tc>
        <w:tc>
          <w:tcPr>
            <w:tcW w:w="7536" w:type="dxa"/>
            <w:shd w:val="clear" w:color="auto" w:fill="auto"/>
          </w:tcPr>
          <w:p w14:paraId="532CD6CD">
            <w:pPr>
              <w:pStyle w:val="13"/>
              <w:keepLines w:val="0"/>
              <w:pageBreakBefore w:val="0"/>
              <w:shd w:val="clear" w:color="auto" w:fill="auto"/>
              <w:kinsoku/>
              <w:wordWrap/>
              <w:overflowPunct/>
              <w:topLinePunct w:val="0"/>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第一个信封（商务及技术文件）评分分值构成：</w:t>
            </w:r>
          </w:p>
          <w:p w14:paraId="234851F9">
            <w:pPr>
              <w:pStyle w:val="13"/>
              <w:keepLines w:val="0"/>
              <w:pageBreakBefore w:val="0"/>
              <w:shd w:val="clear" w:color="auto" w:fill="auto"/>
              <w:kinsoku/>
              <w:wordWrap/>
              <w:overflowPunct/>
              <w:topLinePunct w:val="0"/>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技术建议书：</w:t>
            </w:r>
            <w:r>
              <w:rPr>
                <w:rStyle w:val="16"/>
                <w:rFonts w:hint="eastAsia" w:ascii="宋体" w:hAnsi="宋体" w:eastAsia="宋体" w:cs="宋体"/>
                <w:b w:val="0"/>
                <w:color w:val="auto"/>
                <w:sz w:val="21"/>
                <w:szCs w:val="21"/>
                <w:highlight w:val="none"/>
                <w:u w:val="single"/>
                <w:lang w:eastAsia="zh-CN"/>
              </w:rPr>
              <w:t>30</w:t>
            </w:r>
            <w:r>
              <w:rPr>
                <w:rStyle w:val="16"/>
                <w:rFonts w:hint="eastAsia" w:ascii="宋体" w:hAnsi="宋体" w:eastAsia="宋体" w:cs="宋体"/>
                <w:b w:val="0"/>
                <w:color w:val="auto"/>
                <w:sz w:val="21"/>
                <w:szCs w:val="21"/>
                <w:highlight w:val="none"/>
              </w:rPr>
              <w:t>分</w:t>
            </w:r>
          </w:p>
          <w:p w14:paraId="07039FE2">
            <w:pPr>
              <w:pStyle w:val="13"/>
              <w:keepLines w:val="0"/>
              <w:pageBreakBefore w:val="0"/>
              <w:shd w:val="clear" w:color="auto" w:fill="auto"/>
              <w:kinsoku/>
              <w:wordWrap/>
              <w:overflowPunct/>
              <w:topLinePunct w:val="0"/>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主要人员：</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3A0ADA78">
            <w:pPr>
              <w:pStyle w:val="13"/>
              <w:keepLines w:val="0"/>
              <w:pageBreakBefore w:val="0"/>
              <w:shd w:val="clear" w:color="auto" w:fill="auto"/>
              <w:kinsoku/>
              <w:wordWrap/>
              <w:overflowPunct/>
              <w:topLinePunct w:val="0"/>
              <w:bidi w:val="0"/>
              <w:spacing w:before="0" w:line="360" w:lineRule="exact"/>
              <w:ind w:firstLine="420" w:firstLineChars="200"/>
              <w:jc w:val="left"/>
              <w:rPr>
                <w:rStyle w:val="16"/>
                <w:rFonts w:hint="eastAsia" w:ascii="宋体" w:hAnsi="宋体" w:eastAsia="宋体" w:cs="宋体"/>
                <w:b w:val="0"/>
                <w:color w:val="auto"/>
                <w:sz w:val="21"/>
                <w:szCs w:val="21"/>
                <w:highlight w:val="none"/>
              </w:rPr>
            </w:pPr>
            <w:r>
              <w:rPr>
                <w:rStyle w:val="16"/>
                <w:rFonts w:hint="eastAsia" w:ascii="宋体" w:hAnsi="宋体" w:eastAsia="宋体" w:cs="宋体"/>
                <w:b w:val="0"/>
                <w:color w:val="auto"/>
                <w:sz w:val="21"/>
                <w:szCs w:val="21"/>
                <w:highlight w:val="none"/>
              </w:rPr>
              <w:t>业绩：</w:t>
            </w:r>
            <w:r>
              <w:rPr>
                <w:rStyle w:val="16"/>
                <w:rFonts w:hint="eastAsia" w:ascii="宋体" w:hAnsi="宋体" w:eastAsia="宋体" w:cs="宋体"/>
                <w:b w:val="0"/>
                <w:color w:val="auto"/>
                <w:sz w:val="21"/>
                <w:szCs w:val="21"/>
                <w:highlight w:val="none"/>
                <w:u w:val="single"/>
                <w:lang w:eastAsia="zh-CN"/>
              </w:rPr>
              <w:t>25</w:t>
            </w:r>
            <w:r>
              <w:rPr>
                <w:rStyle w:val="16"/>
                <w:rFonts w:hint="eastAsia" w:ascii="宋体" w:hAnsi="宋体" w:eastAsia="宋体" w:cs="宋体"/>
                <w:b w:val="0"/>
                <w:color w:val="auto"/>
                <w:sz w:val="21"/>
                <w:szCs w:val="21"/>
                <w:highlight w:val="none"/>
              </w:rPr>
              <w:t>分</w:t>
            </w:r>
          </w:p>
          <w:p w14:paraId="47BE433E">
            <w:pPr>
              <w:pStyle w:val="13"/>
              <w:keepLines w:val="0"/>
              <w:pageBreakBefore w:val="0"/>
              <w:shd w:val="clear" w:color="auto" w:fill="auto"/>
              <w:kinsoku/>
              <w:wordWrap/>
              <w:overflowPunct/>
              <w:topLinePunct w:val="0"/>
              <w:bidi w:val="0"/>
              <w:spacing w:before="0" w:line="360" w:lineRule="exact"/>
              <w:ind w:firstLine="420" w:firstLineChars="200"/>
              <w:jc w:val="left"/>
              <w:rPr>
                <w:rStyle w:val="16"/>
                <w:rFonts w:hint="eastAsia" w:ascii="宋体" w:hAnsi="宋体" w:eastAsia="宋体" w:cs="宋体"/>
                <w:b w:val="0"/>
                <w:color w:val="auto"/>
                <w:sz w:val="21"/>
                <w:szCs w:val="21"/>
                <w:highlight w:val="none"/>
                <w:lang w:eastAsia="zh-CN"/>
              </w:rPr>
            </w:pPr>
            <w:r>
              <w:rPr>
                <w:rStyle w:val="16"/>
                <w:rFonts w:hint="eastAsia" w:ascii="宋体" w:hAnsi="宋体" w:eastAsia="宋体" w:cs="宋体"/>
                <w:b w:val="0"/>
                <w:color w:val="auto"/>
                <w:sz w:val="21"/>
                <w:szCs w:val="21"/>
                <w:highlight w:val="none"/>
              </w:rPr>
              <w:t>履约信誉：</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p w14:paraId="13B48A2A">
            <w:pPr>
              <w:pStyle w:val="13"/>
              <w:keepLines w:val="0"/>
              <w:pageBreakBefore w:val="0"/>
              <w:shd w:val="clear" w:color="auto" w:fill="auto"/>
              <w:kinsoku/>
              <w:wordWrap/>
              <w:overflowPunct/>
              <w:topLinePunct w:val="0"/>
              <w:bidi w:val="0"/>
              <w:spacing w:before="0" w:line="360" w:lineRule="exact"/>
              <w:ind w:firstLine="420" w:firstLineChars="200"/>
              <w:jc w:val="left"/>
              <w:rPr>
                <w:rFonts w:hint="eastAsia" w:ascii="宋体" w:hAnsi="宋体" w:eastAsia="宋体" w:cs="宋体"/>
                <w:bCs/>
                <w:sz w:val="21"/>
                <w:szCs w:val="21"/>
                <w:highlight w:val="none"/>
                <w:lang w:val="zh-TW" w:bidi="zh-TW"/>
              </w:rPr>
            </w:pPr>
            <w:r>
              <w:rPr>
                <w:rStyle w:val="16"/>
                <w:rFonts w:hint="eastAsia" w:ascii="宋体" w:hAnsi="宋体" w:eastAsia="宋体" w:cs="宋体"/>
                <w:b w:val="0"/>
                <w:color w:val="auto"/>
                <w:sz w:val="21"/>
                <w:szCs w:val="21"/>
                <w:highlight w:val="none"/>
              </w:rPr>
              <w:t>第二个信封（报价文件）评分分值构成：</w:t>
            </w:r>
          </w:p>
          <w:p w14:paraId="66258B95">
            <w:pPr>
              <w:keepLines w:val="0"/>
              <w:pageBreakBefore w:val="0"/>
              <w:kinsoku/>
              <w:wordWrap/>
              <w:overflowPunct/>
              <w:topLinePunct w:val="0"/>
              <w:bidi w:val="0"/>
              <w:spacing w:line="360" w:lineRule="exact"/>
              <w:ind w:firstLine="420" w:firstLineChars="200"/>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评标价</w:t>
            </w:r>
            <w:r>
              <w:rPr>
                <w:rStyle w:val="16"/>
                <w:rFonts w:hint="eastAsia" w:ascii="宋体" w:hAnsi="宋体" w:eastAsia="宋体" w:cs="宋体"/>
                <w:b w:val="0"/>
                <w:color w:val="auto"/>
                <w:sz w:val="21"/>
                <w:szCs w:val="21"/>
                <w:highlight w:val="none"/>
              </w:rPr>
              <w:t>：</w:t>
            </w:r>
            <w:r>
              <w:rPr>
                <w:rStyle w:val="16"/>
                <w:rFonts w:hint="eastAsia" w:ascii="宋体" w:hAnsi="宋体" w:eastAsia="宋体" w:cs="宋体"/>
                <w:b w:val="0"/>
                <w:color w:val="auto"/>
                <w:sz w:val="21"/>
                <w:szCs w:val="21"/>
                <w:highlight w:val="none"/>
                <w:u w:val="single"/>
                <w:lang w:eastAsia="zh-CN"/>
              </w:rPr>
              <w:t>10</w:t>
            </w:r>
            <w:r>
              <w:rPr>
                <w:rStyle w:val="16"/>
                <w:rFonts w:hint="eastAsia" w:ascii="宋体" w:hAnsi="宋体" w:eastAsia="宋体" w:cs="宋体"/>
                <w:b w:val="0"/>
                <w:color w:val="auto"/>
                <w:sz w:val="21"/>
                <w:szCs w:val="21"/>
                <w:highlight w:val="none"/>
              </w:rPr>
              <w:t>分</w:t>
            </w:r>
          </w:p>
        </w:tc>
      </w:tr>
      <w:tr w14:paraId="1E70B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C010870">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2.2.2</w:t>
            </w:r>
          </w:p>
        </w:tc>
        <w:tc>
          <w:tcPr>
            <w:tcW w:w="1173" w:type="dxa"/>
            <w:shd w:val="clear" w:color="auto" w:fill="auto"/>
            <w:vAlign w:val="center"/>
          </w:tcPr>
          <w:p w14:paraId="6E49E3E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6"/>
                <w:rFonts w:hint="eastAsia" w:ascii="宋体" w:hAnsi="宋体" w:eastAsia="宋体" w:cs="宋体"/>
                <w:b w:val="0"/>
                <w:color w:val="auto"/>
                <w:sz w:val="21"/>
                <w:szCs w:val="21"/>
                <w:highlight w:val="none"/>
              </w:rPr>
              <w:t>评标基准价计算方法</w:t>
            </w:r>
          </w:p>
        </w:tc>
        <w:tc>
          <w:tcPr>
            <w:tcW w:w="7536" w:type="dxa"/>
            <w:shd w:val="clear" w:color="auto" w:fill="auto"/>
          </w:tcPr>
          <w:p w14:paraId="1F539F6C">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评标基准价的计算：</w:t>
            </w:r>
          </w:p>
          <w:p w14:paraId="583CB42D">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在开标现场，招标人将当场计算并宣布评标基准价。</w:t>
            </w:r>
          </w:p>
          <w:p w14:paraId="70EEC60B">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（1）评标价的确定：</w:t>
            </w:r>
          </w:p>
          <w:p w14:paraId="44F17C12">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评标价=投标函文字报价系数</w:t>
            </w:r>
          </w:p>
          <w:p w14:paraId="7FA24D0A">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（2）评标价平均值的计算：</w:t>
            </w:r>
          </w:p>
          <w:p w14:paraId="17F68092">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bCs/>
                <w:sz w:val="21"/>
                <w:szCs w:val="21"/>
                <w:highlight w:val="none"/>
              </w:rPr>
            </w:pPr>
            <w:r>
              <w:rPr>
                <w:rFonts w:hint="eastAsia" w:ascii="宋体" w:hAnsi="宋体" w:eastAsia="宋体" w:cs="宋体"/>
                <w:sz w:val="21"/>
                <w:szCs w:val="21"/>
                <w:highlight w:val="none"/>
              </w:rPr>
              <w:t>按第一个信封（商务及技术文件）评审得分由高到低的顺序选取前3名（若不足3名，则选取相应数量），对其第二个信封（报价文件）的评标价作算术平均（根据第二章“投标人须知”第5.2.4项规定在开标现场被宣布为不进入评标基准价计算的报价系数除外），将该平均值作为评标价平均值（</w:t>
            </w:r>
            <w:r>
              <w:rPr>
                <w:rFonts w:hint="eastAsia" w:ascii="宋体" w:hAnsi="宋体" w:eastAsia="宋体" w:cs="宋体"/>
                <w:sz w:val="21"/>
                <w:szCs w:val="21"/>
                <w:highlight w:val="none"/>
              </w:rPr>
              <w:t>评标价平均值计算保留至二位小数，小数点后第三位“四舍五入”）。</w:t>
            </w:r>
          </w:p>
          <w:p w14:paraId="79605BE7">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（3）评标基准价的确定：</w:t>
            </w:r>
          </w:p>
          <w:p w14:paraId="152131B3">
            <w:pPr>
              <w:pStyle w:val="14"/>
              <w:keepLines w:val="0"/>
              <w:pageBreakBefore w:val="0"/>
              <w:kinsoku/>
              <w:wordWrap/>
              <w:overflowPunct/>
              <w:topLinePunct w:val="0"/>
              <w:bidi w:val="0"/>
              <w:adjustRightInd w:val="0"/>
              <w:snapToGrid w:val="0"/>
              <w:spacing w:line="360" w:lineRule="exact"/>
              <w:jc w:val="left"/>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将评标价平均值直接作为评标基准价。</w:t>
            </w:r>
          </w:p>
          <w:p w14:paraId="7F0DFED2">
            <w:pPr>
              <w:keepLines w:val="0"/>
              <w:pageBreakBefore w:val="0"/>
              <w:kinsoku/>
              <w:wordWrap/>
              <w:overflowPunct/>
              <w:topLinePunct w:val="0"/>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436721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shd w:val="clear" w:color="auto" w:fill="auto"/>
            <w:vAlign w:val="center"/>
          </w:tcPr>
          <w:p w14:paraId="2236EF4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2.2.3</w:t>
            </w:r>
          </w:p>
        </w:tc>
        <w:tc>
          <w:tcPr>
            <w:tcW w:w="1173" w:type="dxa"/>
            <w:shd w:val="clear" w:color="auto" w:fill="auto"/>
            <w:vAlign w:val="center"/>
          </w:tcPr>
          <w:p w14:paraId="2E434E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评标价的偏差率计算公式</w:t>
            </w:r>
          </w:p>
        </w:tc>
        <w:tc>
          <w:tcPr>
            <w:tcW w:w="7536" w:type="dxa"/>
            <w:shd w:val="clear" w:color="auto" w:fill="auto"/>
            <w:vAlign w:val="center"/>
          </w:tcPr>
          <w:p w14:paraId="69A60533">
            <w:pPr>
              <w:keepLines w:val="0"/>
              <w:pageBreakBefore w:val="0"/>
              <w:kinsoku/>
              <w:wordWrap/>
              <w:overflowPunct/>
              <w:topLinePunct w:val="0"/>
              <w:bidi w:val="0"/>
              <w:spacing w:line="360" w:lineRule="exact"/>
              <w:ind w:firstLine="420" w:firstLineChars="200"/>
              <w:jc w:val="both"/>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偏差率=100%</w:t>
            </w:r>
            <w:r>
              <w:rPr>
                <w:rStyle w:val="17"/>
                <w:rFonts w:hint="eastAsia" w:ascii="宋体" w:hAnsi="宋体" w:eastAsia="宋体" w:cs="宋体"/>
                <w:color w:val="auto"/>
                <w:sz w:val="21"/>
                <w:szCs w:val="21"/>
                <w:highlight w:val="none"/>
                <w:shd w:val="clear" w:color="auto" w:fill="auto"/>
                <w:lang w:eastAsia="zh-CN"/>
              </w:rPr>
              <w:t>×</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投标人评标价-评标基准价</w:t>
            </w:r>
            <w:r>
              <w:rPr>
                <w:rStyle w:val="15"/>
                <w:rFonts w:hint="eastAsia" w:ascii="宋体" w:hAnsi="宋体" w:eastAsia="宋体" w:cs="宋体"/>
                <w:color w:val="auto"/>
                <w:sz w:val="21"/>
                <w:szCs w:val="21"/>
                <w:highlight w:val="none"/>
                <w:shd w:val="clear" w:color="auto" w:fill="auto"/>
                <w:lang w:bidi="en-US"/>
              </w:rPr>
              <w:t>）/</w:t>
            </w:r>
            <w:r>
              <w:rPr>
                <w:rStyle w:val="15"/>
                <w:rFonts w:hint="eastAsia" w:ascii="宋体" w:hAnsi="宋体" w:eastAsia="宋体" w:cs="宋体"/>
                <w:color w:val="auto"/>
                <w:sz w:val="21"/>
                <w:szCs w:val="21"/>
                <w:highlight w:val="none"/>
                <w:shd w:val="clear" w:color="auto" w:fill="auto"/>
              </w:rPr>
              <w:t>评标基准价</w:t>
            </w:r>
          </w:p>
          <w:p w14:paraId="498A6178">
            <w:pPr>
              <w:pStyle w:val="13"/>
              <w:keepLines w:val="0"/>
              <w:pageBreakBefore w:val="0"/>
              <w:shd w:val="clear" w:color="auto" w:fill="auto"/>
              <w:kinsoku/>
              <w:wordWrap/>
              <w:overflowPunct/>
              <w:topLinePunct w:val="0"/>
              <w:bidi w:val="0"/>
              <w:spacing w:before="0" w:line="360" w:lineRule="exact"/>
              <w:ind w:firstLine="420" w:firstLineChars="200"/>
              <w:jc w:val="both"/>
              <w:rPr>
                <w:rStyle w:val="16"/>
                <w:rFonts w:hint="eastAsia" w:ascii="宋体" w:hAnsi="宋体" w:eastAsia="宋体" w:cs="宋体"/>
                <w:b w:val="0"/>
                <w:color w:val="auto"/>
                <w:sz w:val="21"/>
                <w:szCs w:val="21"/>
                <w:highlight w:val="none"/>
              </w:rPr>
            </w:pPr>
            <w:r>
              <w:rPr>
                <w:rStyle w:val="15"/>
                <w:rFonts w:hint="eastAsia" w:ascii="宋体" w:hAnsi="宋体" w:eastAsia="宋体" w:cs="宋体"/>
                <w:color w:val="auto"/>
                <w:sz w:val="21"/>
                <w:szCs w:val="21"/>
                <w:highlight w:val="none"/>
                <w:shd w:val="clear" w:color="auto" w:fill="auto"/>
              </w:rPr>
              <w:t>偏差率保留</w:t>
            </w:r>
            <w:r>
              <w:rPr>
                <w:rStyle w:val="15"/>
                <w:rFonts w:hint="eastAsia" w:ascii="宋体" w:hAnsi="宋体" w:eastAsia="宋体" w:cs="宋体"/>
                <w:color w:val="auto"/>
                <w:sz w:val="21"/>
                <w:szCs w:val="21"/>
                <w:highlight w:val="none"/>
                <w:shd w:val="clear" w:color="auto" w:fill="auto"/>
                <w:lang w:eastAsia="zh-CN"/>
              </w:rPr>
              <w:t>两</w:t>
            </w:r>
            <w:r>
              <w:rPr>
                <w:rStyle w:val="15"/>
                <w:rFonts w:hint="eastAsia" w:ascii="宋体" w:hAnsi="宋体" w:eastAsia="宋体" w:cs="宋体"/>
                <w:color w:val="auto"/>
                <w:sz w:val="21"/>
                <w:szCs w:val="21"/>
                <w:highlight w:val="none"/>
                <w:shd w:val="clear" w:color="auto" w:fill="auto"/>
              </w:rPr>
              <w:t>位小数</w:t>
            </w:r>
          </w:p>
        </w:tc>
      </w:tr>
    </w:tbl>
    <w:p w14:paraId="5CB79989">
      <w:pPr>
        <w:keepLines w:val="0"/>
        <w:pageBreakBefore w:val="0"/>
        <w:kinsoku/>
        <w:wordWrap/>
        <w:overflowPunct/>
        <w:topLinePunct w:val="0"/>
        <w:bidi w:val="0"/>
        <w:spacing w:line="360" w:lineRule="exact"/>
        <w:ind w:right="420"/>
        <w:jc w:val="left"/>
        <w:rPr>
          <w:rFonts w:hint="eastAsia" w:ascii="宋体" w:hAnsi="宋体" w:eastAsia="宋体" w:cs="宋体"/>
          <w:kern w:val="20"/>
          <w:sz w:val="21"/>
          <w:szCs w:val="21"/>
          <w:highlight w:val="none"/>
        </w:rPr>
      </w:pPr>
    </w:p>
    <w:tbl>
      <w:tblPr>
        <w:tblStyle w:val="6"/>
        <w:tblW w:w="95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7"/>
        <w:gridCol w:w="573"/>
        <w:gridCol w:w="586"/>
        <w:gridCol w:w="1091"/>
        <w:gridCol w:w="1909"/>
        <w:gridCol w:w="723"/>
        <w:gridCol w:w="3822"/>
      </w:tblGrid>
      <w:tr w14:paraId="567A022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59" w:type="dxa"/>
            <w:gridSpan w:val="6"/>
            <w:shd w:val="clear" w:color="auto" w:fill="auto"/>
            <w:vAlign w:val="center"/>
          </w:tcPr>
          <w:p w14:paraId="66763020">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评分因素与权重分值</w:t>
            </w:r>
            <w:r>
              <w:rPr>
                <w:rStyle w:val="8"/>
                <w:rFonts w:hint="eastAsia" w:ascii="宋体" w:hAnsi="宋体" w:eastAsia="宋体" w:cs="宋体"/>
                <w:kern w:val="20"/>
                <w:sz w:val="21"/>
                <w:szCs w:val="21"/>
                <w:highlight w:val="none"/>
              </w:rPr>
              <w:footnoteReference w:id="3"/>
            </w:r>
          </w:p>
        </w:tc>
        <w:tc>
          <w:tcPr>
            <w:tcW w:w="3822" w:type="dxa"/>
            <w:vMerge w:val="restart"/>
            <w:shd w:val="clear" w:color="auto" w:fill="auto"/>
            <w:vAlign w:val="center"/>
          </w:tcPr>
          <w:p w14:paraId="64D95F3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评分标准</w:t>
            </w:r>
          </w:p>
        </w:tc>
      </w:tr>
      <w:tr w14:paraId="26D18A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7" w:type="dxa"/>
            <w:shd w:val="clear" w:color="auto" w:fill="auto"/>
            <w:vAlign w:val="center"/>
          </w:tcPr>
          <w:p w14:paraId="348130E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条款号</w:t>
            </w:r>
          </w:p>
        </w:tc>
        <w:tc>
          <w:tcPr>
            <w:tcW w:w="1159" w:type="dxa"/>
            <w:gridSpan w:val="2"/>
            <w:shd w:val="clear" w:color="auto" w:fill="auto"/>
            <w:vAlign w:val="center"/>
          </w:tcPr>
          <w:p w14:paraId="4E5C0EA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w:t>
            </w:r>
          </w:p>
        </w:tc>
        <w:tc>
          <w:tcPr>
            <w:tcW w:w="1091" w:type="dxa"/>
            <w:shd w:val="clear" w:color="auto" w:fill="auto"/>
            <w:vAlign w:val="center"/>
          </w:tcPr>
          <w:p w14:paraId="7681B2C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评分因素权重分值</w:t>
            </w:r>
          </w:p>
        </w:tc>
        <w:tc>
          <w:tcPr>
            <w:tcW w:w="1909" w:type="dxa"/>
            <w:shd w:val="clear" w:color="auto" w:fill="auto"/>
            <w:vAlign w:val="center"/>
          </w:tcPr>
          <w:p w14:paraId="49001FFB">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各评分因素细分项</w:t>
            </w:r>
          </w:p>
        </w:tc>
        <w:tc>
          <w:tcPr>
            <w:tcW w:w="723" w:type="dxa"/>
            <w:shd w:val="clear" w:color="auto" w:fill="auto"/>
            <w:vAlign w:val="center"/>
          </w:tcPr>
          <w:p w14:paraId="30F48D8B">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分值</w:t>
            </w:r>
          </w:p>
        </w:tc>
        <w:tc>
          <w:tcPr>
            <w:tcW w:w="3822" w:type="dxa"/>
            <w:vMerge w:val="continue"/>
            <w:shd w:val="clear" w:color="auto" w:fill="auto"/>
          </w:tcPr>
          <w:p w14:paraId="6F9102E0">
            <w:pPr>
              <w:keepLines w:val="0"/>
              <w:pageBreakBefore w:val="0"/>
              <w:kinsoku/>
              <w:wordWrap/>
              <w:overflowPunct/>
              <w:topLinePunct w:val="0"/>
              <w:bidi w:val="0"/>
              <w:spacing w:line="360" w:lineRule="exact"/>
              <w:rPr>
                <w:rFonts w:hint="eastAsia" w:ascii="宋体" w:hAnsi="宋体" w:eastAsia="宋体" w:cs="宋体"/>
                <w:kern w:val="20"/>
                <w:sz w:val="21"/>
                <w:szCs w:val="21"/>
                <w:highlight w:val="none"/>
              </w:rPr>
            </w:pPr>
          </w:p>
        </w:tc>
      </w:tr>
      <w:tr w14:paraId="691525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77" w:type="dxa"/>
            <w:vMerge w:val="restart"/>
            <w:shd w:val="clear" w:color="auto" w:fill="auto"/>
            <w:vAlign w:val="center"/>
          </w:tcPr>
          <w:p w14:paraId="3702E38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(1)</w:t>
            </w:r>
          </w:p>
        </w:tc>
        <w:tc>
          <w:tcPr>
            <w:tcW w:w="1159" w:type="dxa"/>
            <w:gridSpan w:val="2"/>
            <w:vMerge w:val="restart"/>
            <w:shd w:val="clear" w:color="auto" w:fill="auto"/>
            <w:vAlign w:val="center"/>
          </w:tcPr>
          <w:p w14:paraId="5975566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技术</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建议书</w:t>
            </w:r>
          </w:p>
        </w:tc>
        <w:tc>
          <w:tcPr>
            <w:tcW w:w="1091" w:type="dxa"/>
            <w:vMerge w:val="restart"/>
            <w:shd w:val="clear" w:color="auto" w:fill="auto"/>
            <w:vAlign w:val="center"/>
          </w:tcPr>
          <w:p w14:paraId="0B903062">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30</w:t>
            </w:r>
            <w:r>
              <w:rPr>
                <w:rFonts w:hint="eastAsia" w:ascii="宋体" w:hAnsi="宋体" w:eastAsia="宋体" w:cs="宋体"/>
                <w:kern w:val="20"/>
                <w:sz w:val="21"/>
                <w:szCs w:val="21"/>
                <w:highlight w:val="none"/>
              </w:rPr>
              <w:t>分</w:t>
            </w:r>
          </w:p>
        </w:tc>
        <w:tc>
          <w:tcPr>
            <w:tcW w:w="1909" w:type="dxa"/>
            <w:shd w:val="clear" w:color="auto" w:fill="auto"/>
            <w:vAlign w:val="center"/>
          </w:tcPr>
          <w:p w14:paraId="0299943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对招标项目的理解和总体设计思路</w:t>
            </w:r>
          </w:p>
        </w:tc>
        <w:tc>
          <w:tcPr>
            <w:tcW w:w="723" w:type="dxa"/>
            <w:shd w:val="clear" w:color="auto" w:fill="auto"/>
            <w:vAlign w:val="center"/>
          </w:tcPr>
          <w:p w14:paraId="31BB2B0C">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0192636D">
            <w:pPr>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1131C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vMerge w:val="continue"/>
            <w:shd w:val="clear" w:color="auto" w:fill="auto"/>
            <w:vAlign w:val="center"/>
          </w:tcPr>
          <w:p w14:paraId="41F0B174">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159" w:type="dxa"/>
            <w:gridSpan w:val="2"/>
            <w:vMerge w:val="continue"/>
            <w:shd w:val="clear" w:color="auto" w:fill="auto"/>
            <w:vAlign w:val="center"/>
          </w:tcPr>
          <w:p w14:paraId="5CA3F239">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1091" w:type="dxa"/>
            <w:vMerge w:val="continue"/>
            <w:shd w:val="clear" w:color="auto" w:fill="auto"/>
            <w:vAlign w:val="center"/>
          </w:tcPr>
          <w:p w14:paraId="1DB6D471">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shd w:val="clear" w:color="auto" w:fill="auto"/>
            <w:vAlign w:val="center"/>
          </w:tcPr>
          <w:p w14:paraId="2CE01BFD">
            <w:pPr>
              <w:keepLines w:val="0"/>
              <w:pageBreakBefore w:val="0"/>
              <w:kinsoku/>
              <w:wordWrap/>
              <w:overflowPunct/>
              <w:topLinePunct w:val="0"/>
              <w:bidi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对招标项目勘察设计的特点、关键技术问题的认识及对策措施</w:t>
            </w:r>
          </w:p>
        </w:tc>
        <w:tc>
          <w:tcPr>
            <w:tcW w:w="723" w:type="dxa"/>
            <w:shd w:val="clear" w:color="auto" w:fill="auto"/>
            <w:vAlign w:val="center"/>
          </w:tcPr>
          <w:p w14:paraId="21F27359">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3B3A8875">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42EC0A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77" w:type="dxa"/>
            <w:vMerge w:val="continue"/>
            <w:shd w:val="clear" w:color="auto" w:fill="auto"/>
            <w:vAlign w:val="center"/>
          </w:tcPr>
          <w:p w14:paraId="32955494">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70AB18A3">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31FDD1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3998C4DD">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勘察设计工作量及计划安排</w:t>
            </w:r>
          </w:p>
        </w:tc>
        <w:tc>
          <w:tcPr>
            <w:tcW w:w="723" w:type="dxa"/>
            <w:shd w:val="clear" w:color="auto" w:fill="auto"/>
            <w:vAlign w:val="center"/>
          </w:tcPr>
          <w:p w14:paraId="7C12BB9D">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09A9728A">
            <w:pPr>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工作量和计划安排与招标文件相符得6分，设计完成时间每提前一天加0.5分，最多加4分。</w:t>
            </w:r>
          </w:p>
          <w:p w14:paraId="4C46B3ED">
            <w:pPr>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注：①提前天数以外业验收申请、提交施工图设计文件送审稿和提交施工图设计文件报批稿累计提前的天数计算。</w:t>
            </w:r>
          </w:p>
          <w:p w14:paraId="0B509F80">
            <w:pPr>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    ②如投标函与技术建议书的时间安排不一致时，以投标函中时间安排为准。</w:t>
            </w:r>
          </w:p>
        </w:tc>
      </w:tr>
      <w:tr w14:paraId="10BA7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877" w:type="dxa"/>
            <w:vMerge w:val="continue"/>
            <w:shd w:val="clear" w:color="auto" w:fill="auto"/>
            <w:vAlign w:val="center"/>
          </w:tcPr>
          <w:p w14:paraId="07561B8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6A1388F0">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8E8D45E">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14B7677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勘察设计的质量保证措施、进度保证措施、安全保证措施</w:t>
            </w:r>
          </w:p>
        </w:tc>
        <w:tc>
          <w:tcPr>
            <w:tcW w:w="723" w:type="dxa"/>
            <w:shd w:val="clear" w:color="auto" w:fill="auto"/>
            <w:vAlign w:val="center"/>
          </w:tcPr>
          <w:p w14:paraId="40C0EC32">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7ED3AF3A">
            <w:pPr>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10F4EE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877" w:type="dxa"/>
            <w:vMerge w:val="continue"/>
            <w:shd w:val="clear" w:color="auto" w:fill="auto"/>
            <w:vAlign w:val="center"/>
          </w:tcPr>
          <w:p w14:paraId="1DF87573">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159" w:type="dxa"/>
            <w:gridSpan w:val="2"/>
            <w:vMerge w:val="continue"/>
            <w:shd w:val="clear" w:color="auto" w:fill="auto"/>
            <w:vAlign w:val="center"/>
          </w:tcPr>
          <w:p w14:paraId="39BB689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5C645043">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909" w:type="dxa"/>
            <w:shd w:val="clear" w:color="auto" w:fill="auto"/>
            <w:vAlign w:val="center"/>
          </w:tcPr>
          <w:p w14:paraId="409ADEE3">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后续服务的安排及保证措施</w:t>
            </w:r>
          </w:p>
        </w:tc>
        <w:tc>
          <w:tcPr>
            <w:tcW w:w="723" w:type="dxa"/>
            <w:shd w:val="clear" w:color="auto" w:fill="auto"/>
            <w:vAlign w:val="center"/>
          </w:tcPr>
          <w:p w14:paraId="0C5CA422">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5</w:t>
            </w:r>
            <w:r>
              <w:rPr>
                <w:rFonts w:hint="eastAsia" w:ascii="宋体" w:hAnsi="宋体" w:eastAsia="宋体" w:cs="宋体"/>
                <w:sz w:val="21"/>
                <w:szCs w:val="21"/>
                <w:highlight w:val="none"/>
              </w:rPr>
              <w:t>分</w:t>
            </w:r>
          </w:p>
        </w:tc>
        <w:tc>
          <w:tcPr>
            <w:tcW w:w="3822" w:type="dxa"/>
            <w:shd w:val="clear" w:color="auto" w:fill="auto"/>
            <w:vAlign w:val="center"/>
          </w:tcPr>
          <w:p w14:paraId="5AB2B691">
            <w:pPr>
              <w:keepLines w:val="0"/>
              <w:pageBreakBefore w:val="0"/>
              <w:kinsoku/>
              <w:wordWrap/>
              <w:overflowPunct/>
              <w:topLinePunct w:val="0"/>
              <w:bidi w:val="0"/>
              <w:adjustRightInd w:val="0"/>
              <w:snapToGrid w:val="0"/>
              <w:spacing w:line="360" w:lineRule="exact"/>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基本分3分，较好酌情加分，最多加2分。</w:t>
            </w:r>
          </w:p>
        </w:tc>
      </w:tr>
      <w:tr w14:paraId="418461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877" w:type="dxa"/>
            <w:shd w:val="clear" w:color="auto" w:fill="auto"/>
            <w:vAlign w:val="center"/>
          </w:tcPr>
          <w:p w14:paraId="3A19D255">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(2)</w:t>
            </w:r>
          </w:p>
        </w:tc>
        <w:tc>
          <w:tcPr>
            <w:tcW w:w="1159" w:type="dxa"/>
            <w:gridSpan w:val="2"/>
            <w:shd w:val="clear" w:color="auto" w:fill="auto"/>
            <w:vAlign w:val="center"/>
          </w:tcPr>
          <w:p w14:paraId="2F34FEC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主要人员</w:t>
            </w:r>
          </w:p>
        </w:tc>
        <w:tc>
          <w:tcPr>
            <w:tcW w:w="1091" w:type="dxa"/>
            <w:shd w:val="clear" w:color="auto" w:fill="auto"/>
            <w:vAlign w:val="center"/>
          </w:tcPr>
          <w:p w14:paraId="77D6DCE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5105FF94">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lang w:eastAsia="zh-CN"/>
              </w:rPr>
            </w:pPr>
            <w:r>
              <w:rPr>
                <w:rStyle w:val="15"/>
                <w:rFonts w:hint="eastAsia" w:ascii="宋体" w:hAnsi="宋体" w:eastAsia="宋体" w:cs="宋体"/>
                <w:color w:val="auto"/>
                <w:sz w:val="21"/>
                <w:szCs w:val="21"/>
                <w:highlight w:val="none"/>
                <w:shd w:val="clear" w:color="auto" w:fill="auto"/>
                <w:lang w:eastAsia="zh-CN"/>
              </w:rPr>
              <w:t>项目负责人</w:t>
            </w:r>
          </w:p>
          <w:p w14:paraId="067F6F0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任职资格与业绩</w:t>
            </w:r>
          </w:p>
        </w:tc>
        <w:tc>
          <w:tcPr>
            <w:tcW w:w="723" w:type="dxa"/>
            <w:shd w:val="clear" w:color="auto" w:fill="auto"/>
            <w:vAlign w:val="center"/>
          </w:tcPr>
          <w:p w14:paraId="2DA69257">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3822" w:type="dxa"/>
            <w:shd w:val="clear" w:color="auto" w:fill="auto"/>
            <w:vAlign w:val="center"/>
          </w:tcPr>
          <w:p w14:paraId="009BAA7A">
            <w:pPr>
              <w:keepLines w:val="0"/>
              <w:pageBreakBefore w:val="0"/>
              <w:kinsoku/>
              <w:wordWrap/>
              <w:overflowPunct/>
              <w:topLinePunct w:val="0"/>
              <w:bidi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满足最低资格条件得15分，职称为高级工程师得21分、职称为正高级工程师（研究员）得25分。</w:t>
            </w:r>
          </w:p>
        </w:tc>
      </w:tr>
      <w:tr w14:paraId="33C3DA9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06" w:hRule="atLeast"/>
          <w:jc w:val="center"/>
        </w:trPr>
        <w:tc>
          <w:tcPr>
            <w:tcW w:w="877" w:type="dxa"/>
            <w:shd w:val="clear" w:color="auto" w:fill="auto"/>
            <w:vAlign w:val="center"/>
          </w:tcPr>
          <w:p w14:paraId="504BA503">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2.2.4</w:t>
            </w:r>
            <w:r>
              <w:rPr>
                <w:rStyle w:val="15"/>
                <w:rFonts w:hint="eastAsia" w:ascii="宋体" w:hAnsi="宋体" w:eastAsia="宋体" w:cs="宋体"/>
                <w:color w:val="auto"/>
                <w:sz w:val="21"/>
                <w:szCs w:val="21"/>
                <w:highlight w:val="none"/>
                <w:shd w:val="clear" w:color="auto" w:fill="auto"/>
              </w:rPr>
              <w:br w:type="textWrapping"/>
            </w:r>
            <w:r>
              <w:rPr>
                <w:rStyle w:val="15"/>
                <w:rFonts w:hint="eastAsia" w:ascii="宋体" w:hAnsi="宋体" w:eastAsia="宋体" w:cs="宋体"/>
                <w:color w:val="auto"/>
                <w:sz w:val="21"/>
                <w:szCs w:val="21"/>
                <w:highlight w:val="none"/>
                <w:shd w:val="clear" w:color="auto" w:fill="auto"/>
              </w:rPr>
              <w:t>(3)</w:t>
            </w:r>
          </w:p>
        </w:tc>
        <w:tc>
          <w:tcPr>
            <w:tcW w:w="1159" w:type="dxa"/>
            <w:gridSpan w:val="2"/>
            <w:shd w:val="clear" w:color="auto" w:fill="auto"/>
            <w:vAlign w:val="center"/>
          </w:tcPr>
          <w:p w14:paraId="786362C3">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Style w:val="15"/>
                <w:rFonts w:hint="eastAsia" w:ascii="宋体" w:hAnsi="宋体" w:eastAsia="宋体" w:cs="宋体"/>
                <w:color w:val="auto"/>
                <w:sz w:val="21"/>
                <w:szCs w:val="21"/>
                <w:highlight w:val="none"/>
                <w:shd w:val="clear" w:color="auto" w:fill="auto"/>
              </w:rPr>
              <w:t>评标价</w:t>
            </w:r>
          </w:p>
        </w:tc>
        <w:tc>
          <w:tcPr>
            <w:tcW w:w="1091" w:type="dxa"/>
            <w:shd w:val="clear" w:color="auto" w:fill="auto"/>
            <w:vAlign w:val="center"/>
          </w:tcPr>
          <w:p w14:paraId="3A369D07">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6454" w:type="dxa"/>
            <w:gridSpan w:val="3"/>
            <w:shd w:val="clear" w:color="auto" w:fill="auto"/>
            <w:vAlign w:val="center"/>
          </w:tcPr>
          <w:p w14:paraId="78F584E9">
            <w:pPr>
              <w:keepLines w:val="0"/>
              <w:pageBreakBefore w:val="0"/>
              <w:kinsoku/>
              <w:wordWrap/>
              <w:overflowPunct/>
              <w:topLinePunct w:val="0"/>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评标价得分计算公式示例：</w:t>
            </w:r>
          </w:p>
          <w:p w14:paraId="1EB8594B">
            <w:pPr>
              <w:keepLines w:val="0"/>
              <w:pageBreakBefore w:val="0"/>
              <w:kinsoku/>
              <w:wordWrap/>
              <w:overflowPunct/>
              <w:topLinePunct w:val="0"/>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w:t>
            </w:r>
          </w:p>
          <w:p w14:paraId="4026899C">
            <w:pPr>
              <w:keepLines w:val="0"/>
              <w:pageBreakBefore w:val="0"/>
              <w:kinsoku/>
              <w:wordWrap/>
              <w:overflowPunct/>
              <w:topLinePunct w:val="0"/>
              <w:bidi w:val="0"/>
              <w:adjustRightInd w:val="0"/>
              <w:snapToGrid w:val="0"/>
              <w:spacing w:line="360" w:lineRule="exact"/>
              <w:ind w:firstLine="420" w:firstLineChars="200"/>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（2）如果投标人的评标价≤评标基准价，则评标价得分=</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+偏差率×100×</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w:t>
            </w:r>
          </w:p>
          <w:p w14:paraId="3F9B6ACC">
            <w:pPr>
              <w:keepLines w:val="0"/>
              <w:pageBreakBefore w:val="0"/>
              <w:kinsoku/>
              <w:wordWrap/>
              <w:overflowPunct/>
              <w:topLinePunct w:val="0"/>
              <w:bidi w:val="0"/>
              <w:spacing w:line="360" w:lineRule="exact"/>
              <w:ind w:firstLine="420" w:firstLineChars="200"/>
              <w:rPr>
                <w:rFonts w:hint="eastAsia" w:ascii="宋体" w:hAnsi="宋体" w:eastAsia="宋体" w:cs="宋体"/>
                <w:kern w:val="20"/>
                <w:sz w:val="21"/>
                <w:szCs w:val="21"/>
                <w:highlight w:val="none"/>
              </w:rPr>
            </w:pPr>
            <w:r>
              <w:rPr>
                <w:rFonts w:hint="eastAsia" w:ascii="宋体" w:hAnsi="宋体" w:eastAsia="宋体" w:cs="宋体"/>
                <w:sz w:val="21"/>
                <w:szCs w:val="21"/>
                <w:highlight w:val="none"/>
              </w:rPr>
              <w:t>其中，</w:t>
            </w:r>
            <w:r>
              <w:rPr>
                <w:rFonts w:hint="eastAsia" w:ascii="宋体" w:hAnsi="宋体" w:eastAsia="宋体" w:cs="宋体"/>
                <w:i/>
                <w:sz w:val="21"/>
                <w:szCs w:val="21"/>
                <w:highlight w:val="none"/>
              </w:rPr>
              <w:t>F</w:t>
            </w:r>
            <w:r>
              <w:rPr>
                <w:rFonts w:hint="eastAsia" w:ascii="宋体" w:hAnsi="宋体" w:eastAsia="宋体" w:cs="宋体"/>
                <w:sz w:val="21"/>
                <w:szCs w:val="21"/>
                <w:highlight w:val="none"/>
              </w:rPr>
              <w:t>是评标价所占的权重分值，</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1</w:t>
            </w:r>
            <w:r>
              <w:rPr>
                <w:rFonts w:hint="eastAsia" w:ascii="宋体" w:hAnsi="宋体" w:eastAsia="宋体" w:cs="宋体"/>
                <w:sz w:val="21"/>
                <w:szCs w:val="21"/>
                <w:highlight w:val="none"/>
              </w:rPr>
              <w:t>是评标价每高于评标基准价一个百分点的扣分值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1</w:t>
            </w:r>
            <w:r>
              <w:rPr>
                <w:rFonts w:hint="eastAsia" w:ascii="宋体" w:hAnsi="宋体" w:eastAsia="宋体" w:cs="宋体"/>
                <w:b/>
                <w:sz w:val="21"/>
                <w:szCs w:val="21"/>
                <w:highlight w:val="none"/>
              </w:rPr>
              <w:t>=0.1</w:t>
            </w:r>
            <w:r>
              <w:rPr>
                <w:rFonts w:hint="eastAsia" w:ascii="宋体" w:hAnsi="宋体" w:eastAsia="宋体" w:cs="宋体"/>
                <w:sz w:val="21"/>
                <w:szCs w:val="21"/>
                <w:highlight w:val="none"/>
              </w:rPr>
              <w:t>，</w:t>
            </w:r>
            <w:r>
              <w:rPr>
                <w:rFonts w:hint="eastAsia" w:ascii="宋体" w:hAnsi="宋体" w:eastAsia="宋体" w:cs="宋体"/>
                <w:i/>
                <w:sz w:val="21"/>
                <w:szCs w:val="21"/>
                <w:highlight w:val="none"/>
              </w:rPr>
              <w:t>E</w:t>
            </w:r>
            <w:r>
              <w:rPr>
                <w:rFonts w:hint="eastAsia" w:ascii="宋体" w:hAnsi="宋体" w:eastAsia="宋体" w:cs="宋体"/>
                <w:sz w:val="21"/>
                <w:szCs w:val="21"/>
                <w:highlight w:val="none"/>
                <w:vertAlign w:val="subscript"/>
              </w:rPr>
              <w:t>2</w:t>
            </w:r>
            <w:r>
              <w:rPr>
                <w:rFonts w:hint="eastAsia" w:ascii="宋体" w:hAnsi="宋体" w:eastAsia="宋体" w:cs="宋体"/>
                <w:sz w:val="21"/>
                <w:szCs w:val="21"/>
                <w:highlight w:val="none"/>
              </w:rPr>
              <w:t>是评标价每低于评标基准价一个百分点的扣分值</w:t>
            </w:r>
            <w:r>
              <w:rPr>
                <w:rFonts w:hint="eastAsia" w:ascii="宋体" w:hAnsi="宋体" w:eastAsia="宋体" w:cs="宋体"/>
                <w:b/>
                <w:i/>
                <w:sz w:val="21"/>
                <w:szCs w:val="21"/>
                <w:highlight w:val="none"/>
              </w:rPr>
              <w:t>E</w:t>
            </w:r>
            <w:r>
              <w:rPr>
                <w:rFonts w:hint="eastAsia" w:ascii="宋体" w:hAnsi="宋体" w:eastAsia="宋体" w:cs="宋体"/>
                <w:b/>
                <w:sz w:val="21"/>
                <w:szCs w:val="21"/>
                <w:highlight w:val="none"/>
                <w:vertAlign w:val="subscript"/>
              </w:rPr>
              <w:t>2</w:t>
            </w:r>
            <w:r>
              <w:rPr>
                <w:rFonts w:hint="eastAsia" w:ascii="宋体" w:hAnsi="宋体" w:eastAsia="宋体" w:cs="宋体"/>
                <w:b/>
                <w:sz w:val="21"/>
                <w:szCs w:val="21"/>
                <w:highlight w:val="none"/>
              </w:rPr>
              <w:t>=0.05</w:t>
            </w:r>
            <w:r>
              <w:rPr>
                <w:rFonts w:hint="eastAsia" w:ascii="宋体" w:hAnsi="宋体" w:eastAsia="宋体" w:cs="宋体"/>
                <w:sz w:val="21"/>
                <w:szCs w:val="21"/>
                <w:highlight w:val="none"/>
              </w:rPr>
              <w:t>。</w:t>
            </w:r>
          </w:p>
        </w:tc>
      </w:tr>
      <w:tr w14:paraId="110177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restart"/>
            <w:shd w:val="clear" w:color="auto" w:fill="auto"/>
            <w:vAlign w:val="center"/>
          </w:tcPr>
          <w:p w14:paraId="10E20724">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r>
              <w:rPr>
                <w:rFonts w:hint="eastAsia" w:ascii="宋体" w:hAnsi="宋体" w:eastAsia="宋体" w:cs="宋体"/>
                <w:kern w:val="20"/>
                <w:sz w:val="21"/>
                <w:szCs w:val="21"/>
                <w:highlight w:val="none"/>
              </w:rPr>
              <w:t>2.2.4（4）</w:t>
            </w:r>
          </w:p>
        </w:tc>
        <w:tc>
          <w:tcPr>
            <w:tcW w:w="573" w:type="dxa"/>
            <w:vMerge w:val="restart"/>
            <w:shd w:val="clear" w:color="auto" w:fill="auto"/>
            <w:vAlign w:val="center"/>
          </w:tcPr>
          <w:p w14:paraId="1478F61D">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r>
              <w:rPr>
                <w:rStyle w:val="15"/>
                <w:rFonts w:hint="eastAsia" w:ascii="宋体" w:hAnsi="宋体" w:eastAsia="宋体" w:cs="宋体"/>
                <w:color w:val="auto"/>
                <w:sz w:val="21"/>
                <w:szCs w:val="21"/>
                <w:highlight w:val="none"/>
                <w:shd w:val="clear" w:color="auto" w:fill="auto"/>
              </w:rPr>
              <w:t>其他因素</w:t>
            </w:r>
          </w:p>
        </w:tc>
        <w:tc>
          <w:tcPr>
            <w:tcW w:w="586" w:type="dxa"/>
            <w:shd w:val="clear" w:color="auto" w:fill="auto"/>
            <w:vAlign w:val="center"/>
          </w:tcPr>
          <w:p w14:paraId="7549C210">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w:t>
            </w:r>
          </w:p>
        </w:tc>
        <w:tc>
          <w:tcPr>
            <w:tcW w:w="1091" w:type="dxa"/>
            <w:shd w:val="clear" w:color="auto" w:fill="auto"/>
            <w:vAlign w:val="center"/>
          </w:tcPr>
          <w:p w14:paraId="3F7C79B2">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kern w:val="20"/>
                <w:sz w:val="21"/>
                <w:szCs w:val="21"/>
                <w:highlight w:val="none"/>
                <w:u w:val="single"/>
              </w:rPr>
              <w:t>25</w:t>
            </w:r>
            <w:r>
              <w:rPr>
                <w:rFonts w:hint="eastAsia" w:ascii="宋体" w:hAnsi="宋体" w:eastAsia="宋体" w:cs="宋体"/>
                <w:kern w:val="20"/>
                <w:sz w:val="21"/>
                <w:szCs w:val="21"/>
                <w:highlight w:val="none"/>
              </w:rPr>
              <w:t>分</w:t>
            </w:r>
          </w:p>
        </w:tc>
        <w:tc>
          <w:tcPr>
            <w:tcW w:w="1909" w:type="dxa"/>
            <w:shd w:val="clear" w:color="auto" w:fill="auto"/>
            <w:vAlign w:val="center"/>
          </w:tcPr>
          <w:p w14:paraId="7233CDFE">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设计业绩</w:t>
            </w:r>
          </w:p>
        </w:tc>
        <w:tc>
          <w:tcPr>
            <w:tcW w:w="723" w:type="dxa"/>
            <w:shd w:val="clear" w:color="auto" w:fill="auto"/>
            <w:vAlign w:val="center"/>
          </w:tcPr>
          <w:p w14:paraId="0E0AEA10">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25</w:t>
            </w:r>
            <w:r>
              <w:rPr>
                <w:rFonts w:hint="eastAsia" w:ascii="宋体" w:hAnsi="宋体" w:eastAsia="宋体" w:cs="宋体"/>
                <w:sz w:val="21"/>
                <w:szCs w:val="21"/>
                <w:highlight w:val="none"/>
              </w:rPr>
              <w:t>分</w:t>
            </w:r>
          </w:p>
        </w:tc>
        <w:tc>
          <w:tcPr>
            <w:tcW w:w="3822" w:type="dxa"/>
            <w:shd w:val="clear" w:color="auto" w:fill="auto"/>
            <w:vAlign w:val="center"/>
          </w:tcPr>
          <w:p w14:paraId="7858E8E1">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满足最低资格条件得15分。</w:t>
            </w:r>
          </w:p>
          <w:p w14:paraId="4828D864">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在满足最低资格条件基础上，每增加</w:t>
            </w:r>
            <w:r>
              <w:rPr>
                <w:rFonts w:hint="eastAsia" w:ascii="宋体" w:hAnsi="宋体" w:eastAsia="宋体" w:cs="宋体"/>
                <w:b/>
                <w:sz w:val="21"/>
                <w:szCs w:val="21"/>
                <w:highlight w:val="none"/>
                <w:lang w:val="en-US" w:eastAsia="zh-CN"/>
              </w:rPr>
              <w:t>5</w:t>
            </w:r>
            <w:r>
              <w:rPr>
                <w:rFonts w:hint="eastAsia" w:ascii="宋体" w:hAnsi="宋体" w:eastAsia="宋体" w:cs="宋体"/>
                <w:sz w:val="21"/>
                <w:szCs w:val="21"/>
                <w:highlight w:val="none"/>
              </w:rPr>
              <w:t>公里最低资格条件要求的业绩（一级公路和高速公路业绩全幅按2倍长度计算、半幅按1倍长度计算）加</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分，最多加10分，</w:t>
            </w:r>
            <w:r>
              <w:rPr>
                <w:rFonts w:hint="eastAsia" w:ascii="宋体" w:hAnsi="宋体" w:eastAsia="宋体" w:cs="宋体"/>
                <w:sz w:val="21"/>
                <w:szCs w:val="21"/>
                <w:highlight w:val="none"/>
                <w:lang w:val="en-US" w:eastAsia="zh-CN"/>
              </w:rPr>
              <w:t>中间值按比例内插计算。</w:t>
            </w:r>
          </w:p>
          <w:p w14:paraId="1092BADC">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注：①批复的调整设计与原设计不重复计算；</w:t>
            </w:r>
          </w:p>
          <w:p w14:paraId="0BD1DEDD">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②以联合体形式投标的，只计算联合体牵头人业绩。</w:t>
            </w:r>
          </w:p>
          <w:p w14:paraId="469ACEAC">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③以上设计业绩应是交通运输部“全国公路建设市场监督管理系统”或省级交通运输主管部门“公路建设市场信用信息管理系统”已载明业绩。</w:t>
            </w:r>
          </w:p>
        </w:tc>
      </w:tr>
      <w:tr w14:paraId="7AF8B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26657ED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157DD247">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restart"/>
            <w:shd w:val="clear" w:color="auto" w:fill="auto"/>
            <w:vAlign w:val="center"/>
          </w:tcPr>
          <w:p w14:paraId="56537FBA">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履约</w:t>
            </w:r>
          </w:p>
          <w:p w14:paraId="5D55C7A5">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rPr>
              <w:t>信誉</w:t>
            </w:r>
          </w:p>
        </w:tc>
        <w:tc>
          <w:tcPr>
            <w:tcW w:w="1091" w:type="dxa"/>
            <w:vMerge w:val="restart"/>
            <w:shd w:val="clear" w:color="auto" w:fill="auto"/>
            <w:vAlign w:val="center"/>
          </w:tcPr>
          <w:p w14:paraId="4C1F681B">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r>
              <w:rPr>
                <w:rFonts w:hint="eastAsia" w:ascii="宋体" w:hAnsi="宋体" w:eastAsia="宋体" w:cs="宋体"/>
                <w:kern w:val="20"/>
                <w:sz w:val="21"/>
                <w:szCs w:val="21"/>
                <w:highlight w:val="none"/>
                <w:u w:val="single"/>
              </w:rPr>
              <w:t>10</w:t>
            </w:r>
            <w:r>
              <w:rPr>
                <w:rFonts w:hint="eastAsia" w:ascii="宋体" w:hAnsi="宋体" w:eastAsia="宋体" w:cs="宋体"/>
                <w:kern w:val="20"/>
                <w:sz w:val="21"/>
                <w:szCs w:val="21"/>
                <w:highlight w:val="none"/>
              </w:rPr>
              <w:t>分</w:t>
            </w:r>
          </w:p>
        </w:tc>
        <w:tc>
          <w:tcPr>
            <w:tcW w:w="1909" w:type="dxa"/>
            <w:vMerge w:val="restart"/>
            <w:shd w:val="clear" w:color="auto" w:fill="auto"/>
            <w:vAlign w:val="center"/>
          </w:tcPr>
          <w:p w14:paraId="4F3C3F4C">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信用评价等级</w:t>
            </w:r>
          </w:p>
        </w:tc>
        <w:tc>
          <w:tcPr>
            <w:tcW w:w="723" w:type="dxa"/>
            <w:shd w:val="clear" w:color="auto" w:fill="auto"/>
            <w:vAlign w:val="center"/>
          </w:tcPr>
          <w:p w14:paraId="4F8A7D0D">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10</w:t>
            </w:r>
            <w:r>
              <w:rPr>
                <w:rFonts w:hint="eastAsia" w:ascii="宋体" w:hAnsi="宋体" w:eastAsia="宋体" w:cs="宋体"/>
                <w:sz w:val="21"/>
                <w:szCs w:val="21"/>
                <w:highlight w:val="none"/>
              </w:rPr>
              <w:t>分</w:t>
            </w:r>
          </w:p>
        </w:tc>
        <w:tc>
          <w:tcPr>
            <w:tcW w:w="3822" w:type="dxa"/>
            <w:shd w:val="clear" w:color="auto" w:fill="auto"/>
            <w:vAlign w:val="center"/>
          </w:tcPr>
          <w:p w14:paraId="155BEBEA">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信用评价AA级</w:t>
            </w:r>
          </w:p>
        </w:tc>
      </w:tr>
      <w:tr w14:paraId="50E647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7C9670C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088A1DE8">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51384DCB">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654A1E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0BFE8E3B">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47EA3E05">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single"/>
              </w:rPr>
              <w:t>8</w:t>
            </w:r>
            <w:r>
              <w:rPr>
                <w:rFonts w:hint="eastAsia" w:ascii="宋体" w:hAnsi="宋体" w:eastAsia="宋体" w:cs="宋体"/>
                <w:sz w:val="21"/>
                <w:szCs w:val="21"/>
                <w:highlight w:val="none"/>
              </w:rPr>
              <w:t>分</w:t>
            </w:r>
          </w:p>
        </w:tc>
        <w:tc>
          <w:tcPr>
            <w:tcW w:w="3822" w:type="dxa"/>
            <w:shd w:val="clear" w:color="auto" w:fill="auto"/>
            <w:vAlign w:val="center"/>
          </w:tcPr>
          <w:p w14:paraId="077DC583">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信用评价A级</w:t>
            </w:r>
          </w:p>
        </w:tc>
      </w:tr>
      <w:tr w14:paraId="1A96D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46A8235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143787B8">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08C704E9">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136D9966">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6C6AB9BC">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342F09BF">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6</w:t>
            </w:r>
            <w:r>
              <w:rPr>
                <w:rFonts w:hint="eastAsia" w:ascii="宋体" w:hAnsi="宋体" w:eastAsia="宋体" w:cs="宋体"/>
                <w:sz w:val="21"/>
                <w:szCs w:val="21"/>
                <w:highlight w:val="none"/>
              </w:rPr>
              <w:t>分</w:t>
            </w:r>
          </w:p>
        </w:tc>
        <w:tc>
          <w:tcPr>
            <w:tcW w:w="3822" w:type="dxa"/>
            <w:shd w:val="clear" w:color="auto" w:fill="auto"/>
            <w:vAlign w:val="center"/>
          </w:tcPr>
          <w:p w14:paraId="326C7055">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信用评价B级</w:t>
            </w:r>
          </w:p>
        </w:tc>
      </w:tr>
      <w:tr w14:paraId="5FB8BD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5B8C93B">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30078C94">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0FE4621E">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30018C40">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69CDA058">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392F656D">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4</w:t>
            </w:r>
            <w:r>
              <w:rPr>
                <w:rFonts w:hint="eastAsia" w:ascii="宋体" w:hAnsi="宋体" w:eastAsia="宋体" w:cs="宋体"/>
                <w:sz w:val="21"/>
                <w:szCs w:val="21"/>
                <w:highlight w:val="none"/>
              </w:rPr>
              <w:t>分</w:t>
            </w:r>
          </w:p>
        </w:tc>
        <w:tc>
          <w:tcPr>
            <w:tcW w:w="3822" w:type="dxa"/>
            <w:shd w:val="clear" w:color="auto" w:fill="auto"/>
            <w:vAlign w:val="center"/>
          </w:tcPr>
          <w:p w14:paraId="07C538E2">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信用评价C级</w:t>
            </w:r>
          </w:p>
        </w:tc>
      </w:tr>
      <w:tr w14:paraId="78781D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6179AD74">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50CB56F4">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593661C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06ED4668">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1909" w:type="dxa"/>
            <w:vMerge w:val="continue"/>
            <w:shd w:val="clear" w:color="auto" w:fill="auto"/>
            <w:vAlign w:val="center"/>
          </w:tcPr>
          <w:p w14:paraId="5F7B7153">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p>
        </w:tc>
        <w:tc>
          <w:tcPr>
            <w:tcW w:w="723" w:type="dxa"/>
            <w:shd w:val="clear" w:color="auto" w:fill="auto"/>
            <w:vAlign w:val="center"/>
          </w:tcPr>
          <w:p w14:paraId="5BD04D2A">
            <w:pPr>
              <w:keepLines w:val="0"/>
              <w:pageBreakBefore w:val="0"/>
              <w:kinsoku/>
              <w:wordWrap/>
              <w:overflowPunct/>
              <w:topLinePunct w:val="0"/>
              <w:bidi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0</w:t>
            </w:r>
            <w:r>
              <w:rPr>
                <w:rFonts w:hint="eastAsia" w:ascii="宋体" w:hAnsi="宋体" w:eastAsia="宋体" w:cs="宋体"/>
                <w:sz w:val="21"/>
                <w:szCs w:val="21"/>
                <w:highlight w:val="none"/>
              </w:rPr>
              <w:t>分</w:t>
            </w:r>
          </w:p>
        </w:tc>
        <w:tc>
          <w:tcPr>
            <w:tcW w:w="3822" w:type="dxa"/>
            <w:shd w:val="clear" w:color="auto" w:fill="auto"/>
            <w:vAlign w:val="center"/>
          </w:tcPr>
          <w:p w14:paraId="6D05B43A">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信用评价D级（只适用于“全国评价”）</w:t>
            </w:r>
          </w:p>
        </w:tc>
      </w:tr>
      <w:tr w14:paraId="4F1CD6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vMerge w:val="continue"/>
            <w:shd w:val="clear" w:color="auto" w:fill="auto"/>
            <w:vAlign w:val="center"/>
          </w:tcPr>
          <w:p w14:paraId="79653DE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573" w:type="dxa"/>
            <w:vMerge w:val="continue"/>
            <w:shd w:val="clear" w:color="auto" w:fill="auto"/>
            <w:vAlign w:val="center"/>
          </w:tcPr>
          <w:p w14:paraId="5961FF6E">
            <w:pPr>
              <w:keepLines w:val="0"/>
              <w:pageBreakBefore w:val="0"/>
              <w:kinsoku/>
              <w:wordWrap/>
              <w:overflowPunct/>
              <w:topLinePunct w:val="0"/>
              <w:bidi w:val="0"/>
              <w:spacing w:line="360" w:lineRule="exact"/>
              <w:jc w:val="center"/>
              <w:rPr>
                <w:rStyle w:val="15"/>
                <w:rFonts w:hint="eastAsia" w:ascii="宋体" w:hAnsi="宋体" w:eastAsia="宋体" w:cs="宋体"/>
                <w:color w:val="auto"/>
                <w:sz w:val="21"/>
                <w:szCs w:val="21"/>
                <w:highlight w:val="none"/>
                <w:shd w:val="clear" w:color="auto" w:fill="auto"/>
              </w:rPr>
            </w:pPr>
          </w:p>
        </w:tc>
        <w:tc>
          <w:tcPr>
            <w:tcW w:w="586" w:type="dxa"/>
            <w:vMerge w:val="continue"/>
            <w:shd w:val="clear" w:color="auto" w:fill="auto"/>
            <w:vAlign w:val="center"/>
          </w:tcPr>
          <w:p w14:paraId="756B68DD">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rPr>
            </w:pPr>
          </w:p>
        </w:tc>
        <w:tc>
          <w:tcPr>
            <w:tcW w:w="1091" w:type="dxa"/>
            <w:vMerge w:val="continue"/>
            <w:shd w:val="clear" w:color="auto" w:fill="auto"/>
            <w:vAlign w:val="center"/>
          </w:tcPr>
          <w:p w14:paraId="46E347EC">
            <w:pPr>
              <w:keepLines w:val="0"/>
              <w:pageBreakBefore w:val="0"/>
              <w:kinsoku/>
              <w:wordWrap/>
              <w:overflowPunct/>
              <w:topLinePunct w:val="0"/>
              <w:bidi w:val="0"/>
              <w:spacing w:line="360" w:lineRule="exact"/>
              <w:jc w:val="center"/>
              <w:rPr>
                <w:rFonts w:hint="eastAsia" w:ascii="宋体" w:hAnsi="宋体" w:eastAsia="宋体" w:cs="宋体"/>
                <w:kern w:val="20"/>
                <w:sz w:val="21"/>
                <w:szCs w:val="21"/>
                <w:highlight w:val="none"/>
                <w:u w:val="single"/>
              </w:rPr>
            </w:pPr>
          </w:p>
        </w:tc>
        <w:tc>
          <w:tcPr>
            <w:tcW w:w="6454" w:type="dxa"/>
            <w:gridSpan w:val="3"/>
            <w:shd w:val="clear" w:color="auto" w:fill="auto"/>
            <w:vAlign w:val="center"/>
          </w:tcPr>
          <w:p w14:paraId="2467334D">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投标人的信用评价等级按照以下优先顺序采用：</w:t>
            </w:r>
          </w:p>
          <w:p w14:paraId="3744DBBC">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采用其《吉林省公路管理局2024年普通国省干线公路养护工程设计企业信用评价结果公告》（下称“2024年吉林省评价”）中的信用等级，如未列入2024年吉林省评价的，采用其《吉林省公路管理局2023年普通国省干线公路养护工程设计企业信用评价结果公告》中的信用等级；</w:t>
            </w:r>
          </w:p>
          <w:p w14:paraId="1AA6493C">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采用其《交通运输部关于公布2023年度公路建设市场全国综合信用评价结果的公告》（下称“2023年度全国评价”）中的设计企业评价等级，如未列入2023年度全国评价的，采用其《交通运输部关于公布2022年度公路建设市场全国综合信用评价结果的公告》中的</w:t>
            </w:r>
            <w:r>
              <w:rPr>
                <w:rFonts w:hint="eastAsia" w:ascii="宋体" w:hAnsi="宋体" w:eastAsia="宋体" w:cs="宋体"/>
                <w:sz w:val="21"/>
                <w:szCs w:val="21"/>
                <w:highlight w:val="none"/>
                <w:lang w:val="en-US" w:eastAsia="zh-CN"/>
              </w:rPr>
              <w:t>设计企业</w:t>
            </w:r>
            <w:r>
              <w:rPr>
                <w:rFonts w:hint="eastAsia" w:ascii="宋体" w:hAnsi="宋体" w:eastAsia="宋体" w:cs="宋体"/>
                <w:sz w:val="21"/>
                <w:szCs w:val="21"/>
                <w:highlight w:val="none"/>
              </w:rPr>
              <w:t>评价等级；</w:t>
            </w:r>
          </w:p>
          <w:p w14:paraId="17A0920F">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（3）投标人无以上的信用评价时，若未列入交通运输部“全国公路建设市场监督管理系统”中“不良信用记录”的，按A级对待，否则视其严重程度按B级或以下等级对待。</w:t>
            </w:r>
          </w:p>
          <w:p w14:paraId="00CDFADB">
            <w:pPr>
              <w:keepLines w:val="0"/>
              <w:pageBreakBefore w:val="0"/>
              <w:kinsoku/>
              <w:wordWrap/>
              <w:overflowPunct/>
              <w:topLinePunct w:val="0"/>
              <w:bidi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注：以联合体形式投标的，只计算联合体牵头人信用评价等级。</w:t>
            </w:r>
          </w:p>
        </w:tc>
      </w:tr>
      <w:tr w14:paraId="0312E2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9581" w:type="dxa"/>
            <w:gridSpan w:val="7"/>
            <w:shd w:val="clear" w:color="auto" w:fill="auto"/>
            <w:vAlign w:val="center"/>
          </w:tcPr>
          <w:p w14:paraId="0F2B4FBC">
            <w:pPr>
              <w:pStyle w:val="14"/>
              <w:keepLines w:val="0"/>
              <w:pageBreakBefore w:val="0"/>
              <w:kinsoku/>
              <w:wordWrap/>
              <w:overflowPunct/>
              <w:topLinePunct w:val="0"/>
              <w:bidi w:val="0"/>
              <w:adjustRightInd w:val="0"/>
              <w:snapToGrid w:val="0"/>
              <w:spacing w:line="360" w:lineRule="exact"/>
              <w:ind w:left="420" w:firstLine="0" w:firstLineChars="0"/>
              <w:textAlignment w:val="baseline"/>
              <w:rPr>
                <w:rFonts w:hint="eastAsia" w:ascii="宋体" w:hAnsi="宋体" w:eastAsia="宋体" w:cs="宋体"/>
                <w:sz w:val="21"/>
                <w:szCs w:val="21"/>
                <w:highlight w:val="none"/>
              </w:rPr>
            </w:pPr>
            <w:r>
              <w:rPr>
                <w:rFonts w:hint="eastAsia" w:ascii="宋体" w:hAnsi="宋体" w:eastAsia="宋体" w:cs="宋体"/>
                <w:kern w:val="20"/>
                <w:sz w:val="21"/>
                <w:szCs w:val="21"/>
                <w:highlight w:val="none"/>
              </w:rPr>
              <w:t>需要补充的其他内容：</w:t>
            </w:r>
            <w:r>
              <w:rPr>
                <w:rFonts w:hint="eastAsia" w:ascii="宋体" w:hAnsi="宋体" w:eastAsia="宋体" w:cs="宋体"/>
                <w:b/>
                <w:bCs/>
                <w:sz w:val="21"/>
                <w:szCs w:val="21"/>
                <w:highlight w:val="none"/>
              </w:rPr>
              <w:t>投标文件的技术建议书部分采用“暗标”形式，如果技术建议书出现能识别投标人的内容，经评标委员会确定后，将否决其投标。</w:t>
            </w:r>
          </w:p>
        </w:tc>
      </w:tr>
    </w:tbl>
    <w:p w14:paraId="11F8C757">
      <w:pPr>
        <w:keepLines w:val="0"/>
        <w:pageBreakBefore w:val="0"/>
        <w:kinsoku/>
        <w:wordWrap/>
        <w:overflowPunct/>
        <w:topLinePunct w:val="0"/>
        <w:bidi w:val="0"/>
        <w:spacing w:line="360" w:lineRule="exact"/>
        <w:rPr>
          <w:rFonts w:hint="eastAsia" w:ascii="宋体" w:hAnsi="宋体" w:eastAsia="宋体" w:cs="宋体"/>
          <w:sz w:val="21"/>
          <w:szCs w:val="21"/>
        </w:rPr>
      </w:pPr>
    </w:p>
    <w:p w14:paraId="369A492C">
      <w:pPr>
        <w:keepLines w:val="0"/>
        <w:pageBreakBefore w:val="0"/>
        <w:kinsoku/>
        <w:wordWrap/>
        <w:overflowPunct/>
        <w:topLinePunct w:val="0"/>
        <w:bidi w:val="0"/>
        <w:spacing w:line="360" w:lineRule="exact"/>
        <w:rPr>
          <w:rFonts w:hint="eastAsia" w:ascii="宋体" w:hAnsi="宋体" w:eastAsia="宋体" w:cs="宋体"/>
          <w:b/>
          <w:sz w:val="21"/>
          <w:szCs w:val="21"/>
        </w:rPr>
      </w:pPr>
      <w:r>
        <w:rPr>
          <w:rFonts w:hint="eastAsia" w:ascii="宋体" w:hAnsi="宋体" w:eastAsia="宋体" w:cs="宋体"/>
          <w:b/>
          <w:sz w:val="21"/>
          <w:szCs w:val="21"/>
        </w:rPr>
        <w:t>四、联系方式</w:t>
      </w:r>
    </w:p>
    <w:tbl>
      <w:tblPr>
        <w:tblStyle w:val="6"/>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5460"/>
      </w:tblGrid>
      <w:tr w14:paraId="12586AD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57F5F8D8">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招 标 人：</w:t>
            </w:r>
            <w:r>
              <w:rPr>
                <w:rFonts w:hint="eastAsia" w:ascii="宋体" w:hAnsi="宋体" w:eastAsia="宋体" w:cs="宋体"/>
                <w:color w:val="auto"/>
                <w:sz w:val="21"/>
                <w:szCs w:val="21"/>
                <w:highlight w:val="none"/>
                <w:lang w:eastAsia="zh-CN"/>
              </w:rPr>
              <w:t>松原市公路服务中心</w:t>
            </w:r>
          </w:p>
        </w:tc>
      </w:tr>
      <w:tr w14:paraId="63C55B3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65074A96">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地    址：</w:t>
            </w:r>
            <w:r>
              <w:rPr>
                <w:rFonts w:hint="eastAsia" w:ascii="宋体" w:hAnsi="宋体" w:eastAsia="宋体" w:cs="宋体"/>
                <w:i w:val="0"/>
                <w:iCs w:val="0"/>
                <w:caps w:val="0"/>
                <w:color w:val="auto"/>
                <w:spacing w:val="0"/>
                <w:sz w:val="21"/>
                <w:szCs w:val="21"/>
                <w:highlight w:val="none"/>
                <w:shd w:val="clear" w:fill="FFFFFF"/>
              </w:rPr>
              <w:t>松原市宁江区沿江东路</w:t>
            </w:r>
            <w:r>
              <w:rPr>
                <w:rFonts w:hint="eastAsia" w:ascii="宋体" w:hAnsi="宋体" w:eastAsia="宋体" w:cs="宋体"/>
                <w:i w:val="0"/>
                <w:iCs w:val="0"/>
                <w:caps w:val="0"/>
                <w:color w:val="auto"/>
                <w:spacing w:val="0"/>
                <w:sz w:val="21"/>
                <w:szCs w:val="21"/>
                <w:highlight w:val="none"/>
                <w:shd w:val="clear" w:fill="FFFFFF"/>
                <w:lang w:val="en-US"/>
              </w:rPr>
              <w:t>77</w:t>
            </w:r>
            <w:r>
              <w:rPr>
                <w:rFonts w:hint="eastAsia" w:ascii="宋体" w:hAnsi="宋体" w:eastAsia="宋体" w:cs="宋体"/>
                <w:i w:val="0"/>
                <w:iCs w:val="0"/>
                <w:caps w:val="0"/>
                <w:color w:val="auto"/>
                <w:spacing w:val="0"/>
                <w:sz w:val="21"/>
                <w:szCs w:val="21"/>
                <w:highlight w:val="none"/>
                <w:shd w:val="clear" w:fill="FFFFFF"/>
              </w:rPr>
              <w:t>号</w:t>
            </w:r>
          </w:p>
        </w:tc>
      </w:tr>
      <w:tr w14:paraId="668778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25486CED">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联 系 人：</w:t>
            </w:r>
            <w:r>
              <w:rPr>
                <w:rFonts w:hint="eastAsia" w:ascii="宋体" w:hAnsi="宋体" w:eastAsia="宋体" w:cs="宋体"/>
                <w:i w:val="0"/>
                <w:iCs w:val="0"/>
                <w:caps w:val="0"/>
                <w:color w:val="auto"/>
                <w:spacing w:val="0"/>
                <w:sz w:val="21"/>
                <w:szCs w:val="21"/>
                <w:highlight w:val="none"/>
                <w:shd w:val="clear" w:fill="FFFFFF"/>
                <w:lang w:val="en-US" w:eastAsia="zh-CN"/>
              </w:rPr>
              <w:t>刘广成</w:t>
            </w:r>
          </w:p>
        </w:tc>
      </w:tr>
      <w:tr w14:paraId="176FC6A4">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7632D705">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r>
              <w:rPr>
                <w:rFonts w:hint="eastAsia" w:ascii="宋体" w:hAnsi="宋体" w:eastAsia="宋体" w:cs="宋体"/>
                <w:color w:val="auto"/>
                <w:sz w:val="21"/>
                <w:szCs w:val="21"/>
                <w:highlight w:val="none"/>
                <w:lang w:val="zh-CN"/>
              </w:rPr>
              <w:t>电    话：0438-</w:t>
            </w:r>
            <w:r>
              <w:rPr>
                <w:rFonts w:hint="eastAsia" w:ascii="宋体" w:hAnsi="宋体" w:eastAsia="宋体" w:cs="宋体"/>
                <w:color w:val="auto"/>
                <w:sz w:val="21"/>
                <w:szCs w:val="21"/>
                <w:highlight w:val="none"/>
                <w:lang w:val="zh-CN" w:eastAsia="zh-CN"/>
              </w:rPr>
              <w:t>2114138</w:t>
            </w:r>
          </w:p>
        </w:tc>
      </w:tr>
      <w:tr w14:paraId="2847926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Ex>
        <w:trPr>
          <w:trHeight w:val="166" w:hRule="atLeast"/>
        </w:trPr>
        <w:tc>
          <w:tcPr>
            <w:tcW w:w="5460" w:type="dxa"/>
            <w:tcBorders>
              <w:top w:val="single" w:color="FFFFFF" w:sz="4" w:space="0"/>
              <w:left w:val="single" w:color="FFFFFF" w:sz="4" w:space="0"/>
              <w:bottom w:val="single" w:color="FFFFFF" w:sz="4" w:space="0"/>
              <w:right w:val="single" w:color="FFFFFF" w:sz="4" w:space="0"/>
            </w:tcBorders>
          </w:tcPr>
          <w:p w14:paraId="362443BE">
            <w:pPr>
              <w:keepLines w:val="0"/>
              <w:pageBreakBefore w:val="0"/>
              <w:kinsoku/>
              <w:wordWrap/>
              <w:overflowPunct/>
              <w:topLinePunct w:val="0"/>
              <w:autoSpaceDE w:val="0"/>
              <w:autoSpaceDN w:val="0"/>
              <w:bidi w:val="0"/>
              <w:adjustRightInd w:val="0"/>
              <w:spacing w:line="360" w:lineRule="exact"/>
              <w:jc w:val="both"/>
              <w:rPr>
                <w:rFonts w:hint="eastAsia" w:ascii="宋体" w:hAnsi="宋体" w:eastAsia="宋体" w:cs="宋体"/>
                <w:color w:val="000000"/>
                <w:sz w:val="21"/>
                <w:szCs w:val="21"/>
              </w:rPr>
            </w:pPr>
          </w:p>
        </w:tc>
      </w:tr>
    </w:tbl>
    <w:p w14:paraId="54FF1559">
      <w:pPr>
        <w:rPr>
          <w:rFonts w:asciiTheme="minorEastAsia" w:hAnsiTheme="minorEastAsia"/>
          <w:sz w:val="18"/>
        </w:rPr>
      </w:pPr>
    </w:p>
    <w:sectPr>
      <w:footnotePr>
        <w:numFmt w:val="decimalEnclosedCircleChinese"/>
        <w:numRestart w:val="eachPage"/>
      </w:footnote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細明體">
    <w:altName w:val="Segoe Print"/>
    <w:panose1 w:val="00000000000000000000"/>
    <w:charset w:val="00"/>
    <w:family w:val="auto"/>
    <w:pitch w:val="default"/>
    <w:sig w:usb0="00000000" w:usb1="00000000" w:usb2="00000000" w:usb3="00000000" w:csb0="00000000" w:csb1="00000000"/>
  </w:font>
  <w:font w:name="BatangChe">
    <w:altName w:val="Malgun Gothic"/>
    <w:panose1 w:val="00000000000000000000"/>
    <w:charset w:val="81"/>
    <w:family w:val="modern"/>
    <w:pitch w:val="default"/>
    <w:sig w:usb0="00000000" w:usb1="00000000" w:usb2="00000030" w:usb3="00000000" w:csb0="0008009F" w:csb1="00000000"/>
  </w:font>
  <w:font w:name="Arial Unicode MS">
    <w:altName w:val="Arial"/>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 w:name="PMingLiU-ExtB">
    <w:panose1 w:val="02020500000000000000"/>
    <w:charset w:val="88"/>
    <w:family w:val="auto"/>
    <w:pitch w:val="default"/>
    <w:sig w:usb0="8000002F" w:usb1="02000008" w:usb2="00000000" w:usb3="00000000" w:csb0="00100001" w:csb1="00000000"/>
  </w:font>
  <w:font w:name="Segoe Print">
    <w:panose1 w:val="02000600000000000000"/>
    <w:charset w:val="00"/>
    <w:family w:val="auto"/>
    <w:pitch w:val="default"/>
    <w:sig w:usb0="0000028F" w:usb1="00000000" w:usb2="00000000" w:usb3="00000000" w:csb0="2000009F" w:csb1="47010000"/>
  </w:font>
  <w:font w:name="Arial">
    <w:panose1 w:val="020B0604020202020204"/>
    <w:charset w:val="00"/>
    <w:family w:val="auto"/>
    <w:pitch w:val="default"/>
    <w:sig w:usb0="E0002EFF" w:usb1="C000785B" w:usb2="00000009" w:usb3="00000000" w:csb0="400001FF" w:csb1="FFFF0000"/>
  </w:font>
  <w:font w:name="华文楷体">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
    <w:p>
      <w:r>
        <w:separator/>
      </w:r>
    </w:p>
  </w:footnote>
  <w:footnote w:type="continuationSeparator" w:id="9">
    <w:p>
      <w:r>
        <w:continuationSeparator/>
      </w:r>
    </w:p>
  </w:footnote>
  <w:footnote w:id="0">
    <w:p w14:paraId="29097625">
      <w:pPr>
        <w:pStyle w:val="5"/>
      </w:pPr>
      <w:r>
        <w:rPr>
          <w:rStyle w:val="8"/>
        </w:rPr>
        <w:footnoteRef/>
      </w:r>
      <w:r>
        <w:rPr>
          <w:rFonts w:hint="eastAsia"/>
        </w:rPr>
        <w:t>本项规定仅适用于根据《关于发布公路工程从业企业资质名录的通知》（厅公路字</w:t>
      </w:r>
      <w:r>
        <w:t>[2011]114</w:t>
      </w:r>
      <w:r>
        <w:rPr>
          <w:rFonts w:hint="eastAsia"/>
        </w:rPr>
        <w:t>号）要求，招标人应通过名录对投标人资质条件进行审核的公路设计企业。</w:t>
      </w:r>
    </w:p>
  </w:footnote>
  <w:footnote w:id="1">
    <w:p w14:paraId="5AE9E637">
      <w:pPr>
        <w:pStyle w:val="5"/>
        <w:snapToGrid w:val="0"/>
      </w:pPr>
      <w:r>
        <w:rPr>
          <w:rStyle w:val="8"/>
        </w:rPr>
        <w:footnoteRef/>
      </w:r>
      <w:bookmarkStart w:id="18" w:name="OLE_LINK74"/>
      <w:bookmarkStart w:id="19" w:name="OLE_LINK75"/>
      <w:r>
        <w:rPr>
          <w:rFonts w:hint="eastAsia" w:ascii="BatangChe" w:hAnsi="BatangChe"/>
          <w:b/>
        </w:rPr>
        <w:t>“</w:t>
      </w:r>
      <w:r>
        <w:rPr>
          <w:rFonts w:hint="eastAsia" w:ascii="BatangChe" w:hAnsi="BatangChe"/>
          <w:b/>
          <w:spacing w:val="-6"/>
        </w:rPr>
        <w:t>投标人自有人员”</w:t>
      </w:r>
      <w:bookmarkEnd w:id="18"/>
      <w:bookmarkEnd w:id="19"/>
      <w:r>
        <w:rPr>
          <w:rFonts w:hint="eastAsia" w:ascii="BatangChe" w:hAnsi="BatangChe"/>
          <w:spacing w:val="-6"/>
        </w:rPr>
        <w:t>指</w:t>
      </w:r>
      <w:r>
        <w:rPr>
          <w:rFonts w:hint="eastAsia"/>
        </w:rPr>
        <w:t>社保缴费证明中</w:t>
      </w:r>
      <w:r>
        <w:rPr>
          <w:rFonts w:hint="eastAsia" w:ascii="宋体" w:hAnsi="宋体"/>
        </w:rPr>
        <w:t>缴费单位与投标人名称一致</w:t>
      </w:r>
      <w:r>
        <w:rPr>
          <w:rFonts w:hint="eastAsia" w:ascii="BatangChe" w:hAnsi="BatangChe"/>
          <w:spacing w:val="-6"/>
        </w:rPr>
        <w:t>。</w:t>
      </w:r>
      <w:r>
        <w:rPr>
          <w:rFonts w:hint="eastAsia" w:ascii="宋体" w:hAnsi="宋体"/>
          <w:color w:val="000000"/>
          <w:lang w:val="zh-CN"/>
        </w:rPr>
        <w:t>如果投标人属事业法人单位，则应提供该人员是投标人单位职工的有效书面证明材料。</w:t>
      </w:r>
    </w:p>
  </w:footnote>
  <w:footnote w:id="2">
    <w:p w14:paraId="02EBEC81">
      <w:pPr>
        <w:pStyle w:val="5"/>
        <w:snapToGrid w:val="0"/>
      </w:pPr>
      <w:r>
        <w:rPr>
          <w:rStyle w:val="8"/>
        </w:rPr>
        <w:footnoteRef/>
      </w:r>
      <w:r>
        <w:rPr>
          <w:rFonts w:hint="eastAsia" w:ascii="宋体" w:hAnsi="宋体" w:cs="宋体"/>
          <w:lang w:val="zh-CN"/>
        </w:rPr>
        <w:t>公路工程相关专业职称包括公路工程、桥梁工程、公路与桥梁工程、交通土建、隧道（地下结构）工程、交通工程等专业职称。如职称证上无专业，则以毕业证上的专业为准。</w:t>
      </w:r>
    </w:p>
  </w:footnote>
  <w:footnote w:id="3">
    <w:p w14:paraId="1BD97BFD">
      <w:pPr>
        <w:pStyle w:val="5"/>
      </w:pPr>
      <w:r>
        <w:rPr>
          <w:rStyle w:val="8"/>
        </w:rPr>
        <w:footnoteRef/>
      </w:r>
      <w:r>
        <w:t>各评分因素</w:t>
      </w:r>
      <w:r>
        <w:rPr>
          <w:lang w:bidi="en-US"/>
        </w:rPr>
        <w:t>（</w:t>
      </w:r>
      <w:r>
        <w:t>评标价和履约信誉评分项除外）得分一般不得低于其权重分值的60%，且各评分因素得分应以评标委员会各成员的打分平均值确定。评标委员会成员总数为</w:t>
      </w:r>
      <w:r>
        <w:rPr>
          <w:rFonts w:hint="eastAsia"/>
        </w:rPr>
        <w:t>7人以上</w:t>
      </w:r>
      <w:bookmarkStart w:id="20" w:name="_Hlk143771950"/>
      <w:r>
        <w:rPr>
          <w:rFonts w:hint="eastAsia"/>
        </w:rPr>
        <w:t>（含7人）</w:t>
      </w:r>
      <w:bookmarkEnd w:id="20"/>
      <w:r>
        <w:rPr>
          <w:rFonts w:hint="eastAsia"/>
        </w:rPr>
        <w:t>时，该平均值以去掉一个最高分和一个最低分后计算。</w:t>
      </w:r>
      <w:r>
        <w:t>评标委员会成员对某一项评分因素的评分低于权重分值60%的</w:t>
      </w:r>
      <w:r>
        <w:rPr>
          <w:rFonts w:hint="eastAsia"/>
        </w:rPr>
        <w:t>，应在评标报告中做出说明。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numFmt w:val="decimalEnclosedCircleChinese"/>
    <w:numRestart w:val="eachPage"/>
    <w:footnote w:id="8"/>
    <w:footnote w:id="9"/>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DE1914"/>
    <w:rsid w:val="00007D0D"/>
    <w:rsid w:val="000C7FFE"/>
    <w:rsid w:val="001F4B00"/>
    <w:rsid w:val="001F767C"/>
    <w:rsid w:val="00250688"/>
    <w:rsid w:val="00316C16"/>
    <w:rsid w:val="003171A3"/>
    <w:rsid w:val="0037455E"/>
    <w:rsid w:val="003E1571"/>
    <w:rsid w:val="00530DB1"/>
    <w:rsid w:val="005C0428"/>
    <w:rsid w:val="00643E44"/>
    <w:rsid w:val="006A39C9"/>
    <w:rsid w:val="006C28DA"/>
    <w:rsid w:val="006D6162"/>
    <w:rsid w:val="0072686E"/>
    <w:rsid w:val="00786838"/>
    <w:rsid w:val="00810ED6"/>
    <w:rsid w:val="008715DB"/>
    <w:rsid w:val="00873F02"/>
    <w:rsid w:val="008E2951"/>
    <w:rsid w:val="009B01BC"/>
    <w:rsid w:val="009D3B6D"/>
    <w:rsid w:val="00A73217"/>
    <w:rsid w:val="00AB197A"/>
    <w:rsid w:val="00B77B1E"/>
    <w:rsid w:val="00BB6447"/>
    <w:rsid w:val="00BE0105"/>
    <w:rsid w:val="00C15CD1"/>
    <w:rsid w:val="00C40C09"/>
    <w:rsid w:val="00CA3A18"/>
    <w:rsid w:val="00D57E3A"/>
    <w:rsid w:val="00DC39DC"/>
    <w:rsid w:val="00DE1914"/>
    <w:rsid w:val="00DF2D8E"/>
    <w:rsid w:val="00E16787"/>
    <w:rsid w:val="00E7408A"/>
    <w:rsid w:val="00EA5385"/>
    <w:rsid w:val="00F641C5"/>
    <w:rsid w:val="00FC5FAE"/>
    <w:rsid w:val="00FD038E"/>
    <w:rsid w:val="00FF554C"/>
    <w:rsid w:val="07C911F2"/>
    <w:rsid w:val="12BE7183"/>
    <w:rsid w:val="18203860"/>
    <w:rsid w:val="3DB2627F"/>
    <w:rsid w:val="5F2137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ind w:firstLine="420" w:firstLineChars="200"/>
      <w:jc w:val="center"/>
    </w:pPr>
    <w:rPr>
      <w:rFonts w:ascii="Times New Roman" w:hAnsi="Times New Roman" w:eastAsia="宋体" w:cs="Times New Roman"/>
      <w:b/>
      <w:kern w:val="0"/>
      <w:sz w:val="44"/>
      <w:szCs w:val="20"/>
    </w:rPr>
  </w:style>
  <w:style w:type="paragraph" w:styleId="3">
    <w:name w:val="footer"/>
    <w:basedOn w:val="1"/>
    <w:link w:val="19"/>
    <w:unhideWhenUsed/>
    <w:qFormat/>
    <w:uiPriority w:val="99"/>
    <w:pPr>
      <w:tabs>
        <w:tab w:val="center" w:pos="4153"/>
        <w:tab w:val="right" w:pos="8306"/>
      </w:tabs>
      <w:snapToGrid w:val="0"/>
      <w:jc w:val="left"/>
    </w:pPr>
    <w:rPr>
      <w:sz w:val="18"/>
      <w:szCs w:val="18"/>
    </w:rPr>
  </w:style>
  <w:style w:type="paragraph" w:styleId="4">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1"/>
    <w:unhideWhenUsed/>
    <w:qFormat/>
    <w:uiPriority w:val="99"/>
    <w:pPr>
      <w:snapToGrid w:val="0"/>
      <w:jc w:val="left"/>
    </w:pPr>
    <w:rPr>
      <w:rFonts w:ascii="Times New Roman" w:hAnsi="Times New Roman" w:eastAsia="宋体" w:cs="Times New Roman"/>
      <w:kern w:val="0"/>
      <w:sz w:val="18"/>
      <w:szCs w:val="18"/>
    </w:rPr>
  </w:style>
  <w:style w:type="character" w:styleId="8">
    <w:name w:val="footnote reference"/>
    <w:qFormat/>
    <w:uiPriority w:val="0"/>
    <w:rPr>
      <w:vertAlign w:val="superscript"/>
    </w:rPr>
  </w:style>
  <w:style w:type="character" w:customStyle="1" w:styleId="9">
    <w:name w:val="其他_"/>
    <w:link w:val="10"/>
    <w:qFormat/>
    <w:uiPriority w:val="0"/>
    <w:rPr>
      <w:rFonts w:ascii="宋体" w:hAnsi="宋体" w:cs="宋体"/>
      <w:shd w:val="clear" w:color="auto" w:fill="FFFFFF"/>
      <w:lang w:val="zh-CN" w:bidi="zh-CN"/>
    </w:rPr>
  </w:style>
  <w:style w:type="paragraph" w:customStyle="1" w:styleId="10">
    <w:name w:val="其他"/>
    <w:basedOn w:val="1"/>
    <w:link w:val="9"/>
    <w:qFormat/>
    <w:uiPriority w:val="0"/>
    <w:pPr>
      <w:shd w:val="clear" w:color="auto" w:fill="FFFFFF"/>
      <w:spacing w:line="430" w:lineRule="auto"/>
      <w:ind w:firstLine="400"/>
      <w:jc w:val="distribute"/>
    </w:pPr>
    <w:rPr>
      <w:rFonts w:ascii="宋体" w:hAnsi="宋体" w:cs="宋体"/>
      <w:lang w:val="zh-CN" w:bidi="zh-CN"/>
    </w:rPr>
  </w:style>
  <w:style w:type="character" w:customStyle="1" w:styleId="11">
    <w:name w:val="脚注文本 字符"/>
    <w:basedOn w:val="7"/>
    <w:link w:val="5"/>
    <w:qFormat/>
    <w:uiPriority w:val="99"/>
    <w:rPr>
      <w:rFonts w:ascii="Times New Roman" w:hAnsi="Times New Roman" w:eastAsia="宋体" w:cs="Times New Roman"/>
      <w:kern w:val="0"/>
      <w:sz w:val="18"/>
      <w:szCs w:val="18"/>
    </w:rPr>
  </w:style>
  <w:style w:type="character" w:customStyle="1" w:styleId="12">
    <w:name w:val="正文文本 (2)_"/>
    <w:link w:val="13"/>
    <w:qFormat/>
    <w:uiPriority w:val="0"/>
    <w:rPr>
      <w:rFonts w:ascii="宋体" w:hAnsi="宋体" w:cs="宋体"/>
      <w:sz w:val="22"/>
      <w:shd w:val="clear" w:color="auto" w:fill="FFFFFF"/>
    </w:rPr>
  </w:style>
  <w:style w:type="paragraph" w:customStyle="1" w:styleId="13">
    <w:name w:val="正文文本 (2)"/>
    <w:basedOn w:val="1"/>
    <w:link w:val="12"/>
    <w:qFormat/>
    <w:uiPriority w:val="0"/>
    <w:pPr>
      <w:shd w:val="clear" w:color="auto" w:fill="FFFFFF"/>
      <w:spacing w:before="300" w:line="439" w:lineRule="exact"/>
      <w:jc w:val="distribute"/>
    </w:pPr>
    <w:rPr>
      <w:rFonts w:ascii="宋体" w:hAnsi="宋体" w:cs="宋体"/>
      <w:sz w:val="22"/>
    </w:rPr>
  </w:style>
  <w:style w:type="paragraph" w:styleId="14">
    <w:name w:val="List Paragraph"/>
    <w:basedOn w:val="1"/>
    <w:qFormat/>
    <w:uiPriority w:val="34"/>
    <w:pPr>
      <w:ind w:firstLine="420" w:firstLineChars="200"/>
    </w:pPr>
    <w:rPr>
      <w:rFonts w:ascii="Times New Roman" w:hAnsi="Times New Roman" w:eastAsia="宋体" w:cs="Times New Roman"/>
    </w:rPr>
  </w:style>
  <w:style w:type="character" w:customStyle="1" w:styleId="15">
    <w:name w:val="正文文本 (2) + 9.5 pt"/>
    <w:qFormat/>
    <w:uiPriority w:val="0"/>
    <w:rPr>
      <w:rFonts w:ascii="MingLiU" w:hAnsi="MingLiU" w:eastAsia="MingLiU" w:cs="MingLiU"/>
      <w:color w:val="000000"/>
      <w:spacing w:val="0"/>
      <w:w w:val="100"/>
      <w:position w:val="0"/>
      <w:sz w:val="19"/>
      <w:szCs w:val="19"/>
      <w:shd w:val="clear" w:color="auto" w:fill="FFFFFF"/>
      <w:lang w:val="zh-TW" w:eastAsia="zh-TW" w:bidi="zh-TW"/>
    </w:rPr>
  </w:style>
  <w:style w:type="character" w:customStyle="1" w:styleId="16">
    <w:name w:val="正文文本 (2) + 10 pt"/>
    <w:qFormat/>
    <w:uiPriority w:val="0"/>
    <w:rPr>
      <w:rFonts w:ascii="MingLiU" w:hAnsi="MingLiU" w:eastAsia="MingLiU" w:cs="MingLiU"/>
      <w:b/>
      <w:bCs/>
      <w:color w:val="000000"/>
      <w:spacing w:val="0"/>
      <w:w w:val="100"/>
      <w:position w:val="0"/>
      <w:sz w:val="20"/>
      <w:szCs w:val="20"/>
      <w:u w:val="none"/>
      <w:lang w:val="zh-TW" w:eastAsia="zh-TW" w:bidi="zh-TW"/>
    </w:rPr>
  </w:style>
  <w:style w:type="character" w:customStyle="1" w:styleId="17">
    <w:name w:val="正文文本 (2) + 9 pt"/>
    <w:qFormat/>
    <w:uiPriority w:val="0"/>
    <w:rPr>
      <w:rFonts w:ascii="MingLiU" w:hAnsi="MingLiU" w:eastAsia="MingLiU" w:cs="MingLiU"/>
      <w:color w:val="000000"/>
      <w:spacing w:val="0"/>
      <w:w w:val="100"/>
      <w:position w:val="0"/>
      <w:sz w:val="18"/>
      <w:szCs w:val="18"/>
      <w:u w:val="none"/>
      <w:shd w:val="clear" w:color="auto" w:fill="FFFFFF"/>
      <w:lang w:val="en-US" w:eastAsia="en-US" w:bidi="en-US"/>
    </w:rPr>
  </w:style>
  <w:style w:type="character" w:customStyle="1" w:styleId="18">
    <w:name w:val="页眉 字符"/>
    <w:basedOn w:val="7"/>
    <w:link w:val="4"/>
    <w:qFormat/>
    <w:uiPriority w:val="99"/>
    <w:rPr>
      <w:sz w:val="18"/>
      <w:szCs w:val="18"/>
    </w:rPr>
  </w:style>
  <w:style w:type="character" w:customStyle="1" w:styleId="19">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D1415-EB3F-4E4B-8E9A-7202B2D1D162}">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1333</Words>
  <Characters>1454</Characters>
  <Lines>42</Lines>
  <Paragraphs>12</Paragraphs>
  <TotalTime>2</TotalTime>
  <ScaleCrop>false</ScaleCrop>
  <LinksUpToDate>false</LinksUpToDate>
  <CharactersWithSpaces>1464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2021-08-02T04:08:00Z</dcterms:created>
  <dc:creator>微软用户</dc:creator>
  <cp:lastModifiedBy>ASUS</cp:lastModifiedBy>
  <dcterms:modified xsi:type="dcterms:W3CDTF">2026-01-06T02:26:45Z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eyJoZGlkIjoiZWEyZGQyZDIxYjdjNzVlYjVkM2EyZTg3MWQ0M2U4ODUiLCJ1c2VySWQiOiI0MzE5OTkyMDAifQ==</vt:lpwstr>
  </property>
  <property fmtid="{D5CDD505-2E9C-101B-9397-08002B2CF9AE}" pid="3" name="KSOProductBuildVer">
    <vt:lpwstr>2052-12.1.0.24034</vt:lpwstr>
  </property>
  <property fmtid="{D5CDD505-2E9C-101B-9397-08002B2CF9AE}" pid="4" name="ICV">
    <vt:lpwstr>D3FFF19BAB014F3AB6904F72D2573AD4_12</vt:lpwstr>
  </property>
</Properties>
</file>