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A676">
      <w:pPr>
        <w:pStyle w:val="2"/>
        <w:keepNext w:val="0"/>
        <w:keepLines w:val="0"/>
        <w:spacing w:before="120" w:after="120" w:line="380" w:lineRule="exact"/>
        <w:jc w:val="center"/>
        <w:rPr>
          <w:rFonts w:hint="eastAsia" w:ascii="黑体" w:hAnsi="Times New Roman" w:eastAsia="黑体" w:cs="Times New Roman"/>
          <w:b/>
          <w:bCs/>
          <w:color w:val="auto"/>
          <w:sz w:val="30"/>
          <w:szCs w:val="30"/>
          <w:highlight w:val="none"/>
          <w:lang w:val="zh-CN" w:eastAsia="zh-CN"/>
        </w:rPr>
      </w:pPr>
      <w:r>
        <w:rPr>
          <w:rFonts w:hint="eastAsia" w:ascii="黑体" w:hAnsi="Times New Roman" w:eastAsia="黑体" w:cs="Times New Roman"/>
          <w:b/>
          <w:bCs/>
          <w:color w:val="auto"/>
          <w:sz w:val="30"/>
          <w:szCs w:val="30"/>
          <w:highlight w:val="none"/>
          <w:lang w:val="zh-CN" w:eastAsia="zh-CN"/>
        </w:rPr>
        <w:t>国道和南线（G611）和龙至南坪（柳渊屯）段工程施工</w:t>
      </w:r>
    </w:p>
    <w:p w14:paraId="060893A5">
      <w:pPr>
        <w:jc w:val="center"/>
        <w:rPr>
          <w:rFonts w:hint="eastAsia" w:ascii="黑体" w:hAnsi="Times New Roman" w:eastAsia="黑体" w:cs="Times New Roman"/>
          <w:b/>
          <w:bCs/>
          <w:color w:val="auto"/>
          <w:kern w:val="0"/>
          <w:sz w:val="30"/>
          <w:szCs w:val="30"/>
          <w:highlight w:val="none"/>
          <w:lang w:val="en-US" w:eastAsia="zh-CN" w:bidi="ar-SA"/>
        </w:rPr>
      </w:pPr>
      <w:r>
        <w:rPr>
          <w:rFonts w:hint="eastAsia" w:ascii="黑体" w:hAnsi="Times New Roman" w:eastAsia="黑体" w:cs="Times New Roman"/>
          <w:b/>
          <w:bCs/>
          <w:color w:val="auto"/>
          <w:kern w:val="0"/>
          <w:sz w:val="30"/>
          <w:szCs w:val="30"/>
          <w:highlight w:val="none"/>
          <w:lang w:val="zh-CN" w:eastAsia="zh-CN" w:bidi="ar-SA"/>
        </w:rPr>
        <w:t>招标</w:t>
      </w:r>
      <w:r>
        <w:rPr>
          <w:rFonts w:hint="eastAsia" w:ascii="黑体" w:hAnsi="Times New Roman" w:eastAsia="黑体" w:cs="Times New Roman"/>
          <w:b/>
          <w:bCs/>
          <w:color w:val="auto"/>
          <w:kern w:val="0"/>
          <w:sz w:val="30"/>
          <w:szCs w:val="30"/>
          <w:highlight w:val="none"/>
          <w:lang w:val="en-US" w:eastAsia="zh-CN" w:bidi="ar-SA"/>
        </w:rPr>
        <w:t>文件关键内容</w:t>
      </w:r>
    </w:p>
    <w:p w14:paraId="1A0AF211">
      <w:pPr>
        <w:keepNext w:val="0"/>
        <w:keepLines w:val="0"/>
        <w:pageBreakBefore w:val="0"/>
        <w:kinsoku/>
        <w:wordWrap/>
        <w:overflowPunct/>
        <w:topLinePunct w:val="0"/>
        <w:bidi w:val="0"/>
        <w:snapToGrid/>
        <w:spacing w:line="340" w:lineRule="exact"/>
        <w:textAlignment w:val="auto"/>
        <w:rPr>
          <w:rFonts w:ascii="黑体" w:hAnsi="黑体" w:eastAsia="黑体" w:cs="Times New Roman"/>
          <w:color w:val="auto"/>
          <w:sz w:val="28"/>
          <w:szCs w:val="28"/>
          <w:highlight w:val="none"/>
        </w:rPr>
      </w:pPr>
      <w:bookmarkStart w:id="0" w:name="_Toc248829791"/>
      <w:bookmarkStart w:id="1" w:name="_Toc515284070"/>
      <w:bookmarkStart w:id="2" w:name="_Toc35267642"/>
      <w:bookmarkStart w:id="3" w:name="_Toc262548124"/>
      <w:bookmarkStart w:id="4" w:name="_Toc35268487"/>
      <w:bookmarkStart w:id="5" w:name="_Toc35267772"/>
      <w:r>
        <w:rPr>
          <w:rFonts w:ascii="黑体" w:hAnsi="黑体" w:eastAsia="黑体" w:cs="Times New Roman"/>
          <w:color w:val="auto"/>
          <w:sz w:val="28"/>
          <w:szCs w:val="28"/>
          <w:highlight w:val="none"/>
        </w:rPr>
        <w:t>1.</w:t>
      </w:r>
      <w:r>
        <w:rPr>
          <w:rFonts w:hint="eastAsia" w:ascii="黑体" w:hAnsi="黑体" w:eastAsia="黑体" w:cs="Times New Roman"/>
          <w:color w:val="auto"/>
          <w:sz w:val="28"/>
          <w:szCs w:val="28"/>
          <w:highlight w:val="none"/>
        </w:rPr>
        <w:t>招标条件</w:t>
      </w:r>
      <w:bookmarkEnd w:id="0"/>
      <w:bookmarkEnd w:id="1"/>
      <w:bookmarkEnd w:id="2"/>
      <w:bookmarkEnd w:id="3"/>
      <w:bookmarkEnd w:id="4"/>
      <w:bookmarkEnd w:id="5"/>
    </w:p>
    <w:p w14:paraId="272794B7">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ascii="宋体" w:hAnsi="宋体"/>
          <w:color w:val="auto"/>
          <w:szCs w:val="21"/>
          <w:highlight w:val="none"/>
        </w:rPr>
      </w:pPr>
      <w:bookmarkStart w:id="6" w:name="_Toc248829792"/>
      <w:r>
        <w:rPr>
          <w:rFonts w:hint="eastAsia" w:ascii="宋体" w:hAnsi="宋体"/>
          <w:color w:val="auto"/>
          <w:szCs w:val="21"/>
          <w:highlight w:val="none"/>
        </w:rPr>
        <w:t>本招标项目</w:t>
      </w:r>
      <w:r>
        <w:rPr>
          <w:rFonts w:hint="eastAsia" w:ascii="宋体" w:hAnsi="宋体"/>
          <w:color w:val="auto"/>
          <w:szCs w:val="21"/>
          <w:highlight w:val="none"/>
          <w:lang w:val="zh-CN" w:eastAsia="zh-CN"/>
        </w:rPr>
        <w:t>国道和南线（G611）和龙至南坪（柳渊屯）段工程</w:t>
      </w:r>
      <w:r>
        <w:rPr>
          <w:rFonts w:hint="eastAsia" w:ascii="宋体" w:hAnsi="宋体"/>
          <w:color w:val="auto"/>
          <w:szCs w:val="21"/>
          <w:highlight w:val="none"/>
          <w:lang w:eastAsia="zh-CN"/>
        </w:rPr>
        <w:t>已由吉林省</w:t>
      </w:r>
      <w:r>
        <w:rPr>
          <w:rFonts w:hint="eastAsia" w:ascii="宋体" w:hAnsi="宋体"/>
          <w:color w:val="auto"/>
          <w:szCs w:val="21"/>
          <w:highlight w:val="none"/>
          <w:lang w:val="en-US" w:eastAsia="zh-CN"/>
        </w:rPr>
        <w:t>发展和改革委</w:t>
      </w:r>
      <w:r>
        <w:rPr>
          <w:rFonts w:hint="eastAsia" w:ascii="宋体" w:hAnsi="宋体"/>
          <w:color w:val="auto"/>
          <w:szCs w:val="21"/>
          <w:highlight w:val="none"/>
          <w:lang w:eastAsia="zh-CN"/>
        </w:rPr>
        <w:t>以《吉林省发展改革委关于国道和南线（G611）和龙至南坪（柳渊屯）段工程可行性研究报告的批复》（吉</w:t>
      </w:r>
      <w:r>
        <w:rPr>
          <w:rFonts w:hint="eastAsia" w:ascii="宋体" w:hAnsi="宋体"/>
          <w:color w:val="auto"/>
          <w:szCs w:val="21"/>
          <w:highlight w:val="none"/>
          <w:lang w:val="en-US" w:eastAsia="zh-CN"/>
        </w:rPr>
        <w:t>发改审批[</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4]312</w:t>
      </w:r>
      <w:r>
        <w:rPr>
          <w:rFonts w:hint="eastAsia" w:ascii="宋体" w:hAnsi="宋体"/>
          <w:color w:val="auto"/>
          <w:szCs w:val="21"/>
          <w:highlight w:val="none"/>
          <w:lang w:eastAsia="zh-CN"/>
        </w:rPr>
        <w:t>号文件）批准建设</w:t>
      </w:r>
      <w:r>
        <w:rPr>
          <w:rFonts w:hint="eastAsia" w:ascii="宋体" w:hAnsi="宋体"/>
          <w:color w:val="auto"/>
          <w:szCs w:val="21"/>
          <w:highlight w:val="none"/>
        </w:rPr>
        <w:t>，施工图设计已由吉林省交通运输厅以《吉林省交通运输厅关于</w:t>
      </w:r>
      <w:r>
        <w:rPr>
          <w:rFonts w:hint="eastAsia" w:ascii="宋体" w:hAnsi="宋体"/>
          <w:color w:val="auto"/>
          <w:szCs w:val="21"/>
          <w:highlight w:val="none"/>
          <w:lang w:eastAsia="zh-CN"/>
        </w:rPr>
        <w:t>国道和南线（G611）和龙至南坪（柳渊屯）段工程</w:t>
      </w:r>
      <w:r>
        <w:rPr>
          <w:rFonts w:hint="eastAsia" w:ascii="宋体" w:hAnsi="宋体"/>
          <w:color w:val="auto"/>
          <w:szCs w:val="21"/>
          <w:highlight w:val="none"/>
        </w:rPr>
        <w:t>施工图设计的批复》（吉交审批函[202</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号</w:t>
      </w:r>
      <w:r>
        <w:rPr>
          <w:rFonts w:hint="eastAsia" w:ascii="宋体" w:hAnsi="宋体"/>
          <w:color w:val="auto"/>
          <w:szCs w:val="21"/>
          <w:highlight w:val="none"/>
          <w:lang w:val="en-US" w:eastAsia="zh-CN"/>
        </w:rPr>
        <w:t>文件</w:t>
      </w:r>
      <w:r>
        <w:rPr>
          <w:rFonts w:hint="eastAsia" w:ascii="宋体" w:hAnsi="宋体"/>
          <w:color w:val="auto"/>
          <w:szCs w:val="21"/>
          <w:highlight w:val="none"/>
        </w:rPr>
        <w:t>）批准，项目</w:t>
      </w:r>
      <w:r>
        <w:rPr>
          <w:rFonts w:hint="eastAsia" w:ascii="宋体" w:hAnsi="宋体"/>
          <w:color w:val="auto"/>
          <w:szCs w:val="21"/>
          <w:highlight w:val="none"/>
          <w:lang w:val="en-US" w:eastAsia="zh-CN"/>
        </w:rPr>
        <w:t>法人</w:t>
      </w:r>
      <w:r>
        <w:rPr>
          <w:rFonts w:hint="eastAsia" w:ascii="宋体" w:hAnsi="宋体"/>
          <w:color w:val="auto"/>
          <w:szCs w:val="21"/>
          <w:highlight w:val="none"/>
        </w:rPr>
        <w:t>为</w:t>
      </w:r>
      <w:r>
        <w:rPr>
          <w:rFonts w:hint="eastAsia" w:ascii="宋体" w:hAnsi="宋体"/>
          <w:color w:val="auto"/>
          <w:szCs w:val="21"/>
          <w:highlight w:val="none"/>
          <w:lang w:eastAsia="zh-CN"/>
        </w:rPr>
        <w:t>和龙市公路建设项目服务中心</w:t>
      </w:r>
      <w:r>
        <w:rPr>
          <w:rFonts w:hint="eastAsia" w:ascii="宋体" w:hAnsi="宋体"/>
          <w:color w:val="auto"/>
          <w:szCs w:val="21"/>
          <w:highlight w:val="none"/>
        </w:rPr>
        <w:t>，</w:t>
      </w:r>
      <w:r>
        <w:rPr>
          <w:rFonts w:hint="eastAsia" w:ascii="宋体" w:hAnsi="宋体"/>
          <w:color w:val="auto"/>
          <w:szCs w:val="21"/>
          <w:highlight w:val="none"/>
          <w:lang w:eastAsia="zh-CN"/>
        </w:rPr>
        <w:t>代建单位为吉林省公路工程监理有限责任公司</w:t>
      </w:r>
      <w:r>
        <w:rPr>
          <w:rFonts w:hint="eastAsia" w:ascii="宋体" w:hAnsi="宋体"/>
          <w:color w:val="auto"/>
          <w:szCs w:val="21"/>
          <w:highlight w:val="none"/>
          <w:lang w:val="en-US" w:eastAsia="zh-CN"/>
        </w:rPr>
        <w:t>，</w:t>
      </w:r>
      <w:r>
        <w:rPr>
          <w:rFonts w:hint="eastAsia" w:ascii="宋体" w:hAnsi="宋体"/>
          <w:color w:val="auto"/>
          <w:szCs w:val="21"/>
          <w:highlight w:val="none"/>
        </w:rPr>
        <w:t>建设资金来自国家交通运输领域重点项目资金和和龙市人民政府财政资金，出资比例为：51.5%：48.5%，招标人为</w:t>
      </w:r>
      <w:r>
        <w:rPr>
          <w:rFonts w:hint="eastAsia" w:ascii="宋体" w:hAnsi="宋体"/>
          <w:color w:val="auto"/>
          <w:szCs w:val="21"/>
          <w:highlight w:val="none"/>
          <w:lang w:eastAsia="zh-CN"/>
        </w:rPr>
        <w:t>和龙市公路建设项目服务中心</w:t>
      </w:r>
      <w:r>
        <w:rPr>
          <w:rFonts w:hint="eastAsia" w:ascii="宋体" w:hAnsi="宋体"/>
          <w:color w:val="auto"/>
          <w:szCs w:val="21"/>
          <w:highlight w:val="none"/>
        </w:rPr>
        <w:t>。项目已具备招标条件，</w:t>
      </w:r>
      <w:r>
        <w:rPr>
          <w:rFonts w:ascii="宋体" w:hAnsi="宋体"/>
          <w:color w:val="auto"/>
          <w:szCs w:val="21"/>
          <w:highlight w:val="none"/>
        </w:rPr>
        <w:t>现对该项目</w:t>
      </w:r>
      <w:r>
        <w:rPr>
          <w:rFonts w:hint="eastAsia" w:ascii="宋体" w:hAnsi="宋体"/>
          <w:color w:val="auto"/>
          <w:szCs w:val="21"/>
          <w:highlight w:val="none"/>
        </w:rPr>
        <w:t>的</w:t>
      </w:r>
      <w:r>
        <w:rPr>
          <w:rFonts w:ascii="宋体" w:hAnsi="宋体"/>
          <w:color w:val="auto"/>
          <w:szCs w:val="21"/>
          <w:highlight w:val="none"/>
        </w:rPr>
        <w:t>施工进行</w:t>
      </w:r>
      <w:r>
        <w:rPr>
          <w:rFonts w:hint="eastAsia" w:ascii="宋体" w:hAnsi="宋体"/>
          <w:color w:val="auto"/>
          <w:szCs w:val="21"/>
          <w:highlight w:val="none"/>
        </w:rPr>
        <w:t>公开</w:t>
      </w:r>
      <w:r>
        <w:rPr>
          <w:rFonts w:ascii="宋体" w:hAnsi="宋体"/>
          <w:color w:val="auto"/>
          <w:szCs w:val="21"/>
          <w:highlight w:val="none"/>
        </w:rPr>
        <w:t>招标</w:t>
      </w:r>
      <w:r>
        <w:rPr>
          <w:rFonts w:hint="eastAsia" w:ascii="宋体" w:hAnsi="宋体"/>
          <w:color w:val="auto"/>
          <w:szCs w:val="21"/>
          <w:highlight w:val="none"/>
        </w:rPr>
        <w:t>。</w:t>
      </w:r>
    </w:p>
    <w:p w14:paraId="460ABBC2">
      <w:pPr>
        <w:keepNext w:val="0"/>
        <w:keepLines w:val="0"/>
        <w:pageBreakBefore w:val="0"/>
        <w:kinsoku/>
        <w:wordWrap/>
        <w:overflowPunct/>
        <w:topLinePunct w:val="0"/>
        <w:bidi w:val="0"/>
        <w:snapToGrid/>
        <w:spacing w:line="320" w:lineRule="exact"/>
        <w:textAlignment w:val="auto"/>
        <w:rPr>
          <w:rFonts w:ascii="黑体" w:hAnsi="黑体" w:eastAsia="黑体" w:cs="Times New Roman"/>
          <w:color w:val="auto"/>
          <w:sz w:val="28"/>
          <w:szCs w:val="28"/>
          <w:highlight w:val="none"/>
        </w:rPr>
      </w:pPr>
      <w:bookmarkStart w:id="7" w:name="_Toc35268488"/>
      <w:bookmarkStart w:id="8" w:name="_Toc35267773"/>
      <w:bookmarkStart w:id="9" w:name="_Toc262548125"/>
      <w:bookmarkStart w:id="10" w:name="_Toc515284071"/>
      <w:bookmarkStart w:id="11" w:name="_Toc35267643"/>
      <w:r>
        <w:rPr>
          <w:rFonts w:ascii="黑体" w:hAnsi="黑体" w:eastAsia="黑体" w:cs="Times New Roman"/>
          <w:color w:val="auto"/>
          <w:sz w:val="28"/>
          <w:szCs w:val="28"/>
          <w:highlight w:val="none"/>
        </w:rPr>
        <w:t>2.</w:t>
      </w:r>
      <w:r>
        <w:rPr>
          <w:rFonts w:hint="eastAsia" w:ascii="黑体" w:hAnsi="黑体" w:eastAsia="黑体" w:cs="Times New Roman"/>
          <w:color w:val="auto"/>
          <w:sz w:val="28"/>
          <w:szCs w:val="28"/>
          <w:highlight w:val="none"/>
        </w:rPr>
        <w:t>项目概况与招标范围</w:t>
      </w:r>
      <w:bookmarkEnd w:id="6"/>
      <w:bookmarkEnd w:id="7"/>
      <w:bookmarkEnd w:id="8"/>
      <w:bookmarkEnd w:id="9"/>
      <w:bookmarkEnd w:id="10"/>
      <w:bookmarkEnd w:id="11"/>
    </w:p>
    <w:p w14:paraId="5A40E426">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olor w:val="auto"/>
          <w:szCs w:val="21"/>
          <w:highlight w:val="none"/>
        </w:rPr>
      </w:pPr>
      <w:bookmarkStart w:id="12" w:name="_Toc248829793"/>
      <w:bookmarkStart w:id="13" w:name="_Toc262548126"/>
      <w:r>
        <w:rPr>
          <w:rFonts w:hint="eastAsia" w:ascii="宋体" w:hAnsi="宋体"/>
          <w:color w:val="auto"/>
          <w:szCs w:val="21"/>
          <w:highlight w:val="none"/>
        </w:rPr>
        <w:t>2.1 建设地点：吉林省和龙市境内。</w:t>
      </w:r>
    </w:p>
    <w:p w14:paraId="0A1446E6">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rPr>
        <w:t xml:space="preserve">2.2 </w:t>
      </w:r>
      <w:r>
        <w:rPr>
          <w:rFonts w:hint="eastAsia" w:ascii="宋体" w:hAnsi="宋体"/>
          <w:color w:val="auto"/>
          <w:szCs w:val="21"/>
          <w:highlight w:val="none"/>
          <w:lang w:val="en-US" w:eastAsia="zh-CN"/>
        </w:rPr>
        <w:t>建设</w:t>
      </w:r>
      <w:r>
        <w:rPr>
          <w:rFonts w:hint="eastAsia" w:ascii="宋体" w:hAnsi="宋体"/>
          <w:color w:val="auto"/>
          <w:szCs w:val="21"/>
          <w:highlight w:val="none"/>
        </w:rPr>
        <w:t>规模：路线全长47.</w:t>
      </w:r>
      <w:r>
        <w:rPr>
          <w:rFonts w:hint="eastAsia" w:ascii="宋体" w:hAnsi="宋体"/>
          <w:color w:val="auto"/>
          <w:szCs w:val="21"/>
          <w:highlight w:val="none"/>
          <w:lang w:val="en-US" w:eastAsia="zh-CN"/>
        </w:rPr>
        <w:t>7</w:t>
      </w:r>
      <w:r>
        <w:rPr>
          <w:rFonts w:hint="eastAsia" w:ascii="宋体" w:hAnsi="宋体"/>
          <w:color w:val="auto"/>
          <w:szCs w:val="21"/>
          <w:highlight w:val="none"/>
        </w:rPr>
        <w:t>公里，按照二级公路标准建设，设计速度80公里/小时，路基宽度12米，沥青混凝土路面，其中城镇过境段(K0+000-K8+600)</w:t>
      </w:r>
      <w:r>
        <w:rPr>
          <w:rFonts w:hint="eastAsia" w:ascii="宋体" w:hAnsi="宋体"/>
          <w:color w:val="auto"/>
          <w:szCs w:val="21"/>
          <w:highlight w:val="none"/>
          <w:lang w:val="en-US" w:eastAsia="zh-CN"/>
        </w:rPr>
        <w:t>维持</w:t>
      </w:r>
      <w:r>
        <w:rPr>
          <w:rFonts w:hint="eastAsia" w:ascii="宋体" w:hAnsi="宋体"/>
          <w:color w:val="auto"/>
          <w:szCs w:val="21"/>
          <w:highlight w:val="none"/>
        </w:rPr>
        <w:t>原有技术标准。全线设置隧道1</w:t>
      </w:r>
      <w:r>
        <w:rPr>
          <w:rFonts w:hint="eastAsia" w:ascii="宋体" w:hAnsi="宋体"/>
          <w:color w:val="auto"/>
          <w:szCs w:val="21"/>
          <w:highlight w:val="none"/>
          <w:lang w:val="en-US" w:eastAsia="zh-CN"/>
        </w:rPr>
        <w:t>675</w:t>
      </w:r>
      <w:r>
        <w:rPr>
          <w:rFonts w:hint="eastAsia" w:ascii="宋体" w:hAnsi="宋体"/>
          <w:color w:val="auto"/>
          <w:szCs w:val="21"/>
          <w:highlight w:val="none"/>
        </w:rPr>
        <w:t>米/1座，大桥9</w:t>
      </w:r>
      <w:r>
        <w:rPr>
          <w:rFonts w:hint="eastAsia" w:ascii="宋体" w:hAnsi="宋体"/>
          <w:color w:val="auto"/>
          <w:szCs w:val="21"/>
          <w:highlight w:val="none"/>
          <w:lang w:val="en-US" w:eastAsia="zh-CN"/>
        </w:rPr>
        <w:t>72.5</w:t>
      </w:r>
      <w:r>
        <w:rPr>
          <w:rFonts w:hint="eastAsia" w:ascii="宋体" w:hAnsi="宋体"/>
          <w:color w:val="auto"/>
          <w:szCs w:val="21"/>
          <w:highlight w:val="none"/>
        </w:rPr>
        <w:t>米/4座，中桥2</w:t>
      </w:r>
      <w:r>
        <w:rPr>
          <w:rFonts w:hint="eastAsia" w:ascii="宋体" w:hAnsi="宋体"/>
          <w:color w:val="auto"/>
          <w:szCs w:val="21"/>
          <w:highlight w:val="none"/>
          <w:lang w:val="en-US" w:eastAsia="zh-CN"/>
        </w:rPr>
        <w:t>90.9</w:t>
      </w:r>
      <w:r>
        <w:rPr>
          <w:rFonts w:hint="eastAsia" w:ascii="宋体" w:hAnsi="宋体"/>
          <w:color w:val="auto"/>
          <w:szCs w:val="21"/>
          <w:highlight w:val="none"/>
        </w:rPr>
        <w:t>米/4座，小桥</w:t>
      </w:r>
      <w:r>
        <w:rPr>
          <w:rFonts w:hint="eastAsia" w:ascii="宋体" w:hAnsi="宋体"/>
          <w:color w:val="auto"/>
          <w:szCs w:val="21"/>
          <w:highlight w:val="none"/>
          <w:lang w:val="en-US" w:eastAsia="zh-CN"/>
        </w:rPr>
        <w:t>68</w:t>
      </w:r>
      <w:r>
        <w:rPr>
          <w:rFonts w:hint="eastAsia" w:ascii="宋体" w:hAnsi="宋体"/>
          <w:color w:val="auto"/>
          <w:szCs w:val="21"/>
          <w:highlight w:val="none"/>
        </w:rPr>
        <w:t>米/8座，涵洞1</w:t>
      </w:r>
      <w:r>
        <w:rPr>
          <w:rFonts w:hint="eastAsia" w:ascii="宋体" w:hAnsi="宋体"/>
          <w:color w:val="auto"/>
          <w:szCs w:val="21"/>
          <w:highlight w:val="none"/>
          <w:lang w:val="en-US" w:eastAsia="zh-CN"/>
        </w:rPr>
        <w:t>1</w:t>
      </w:r>
      <w:r>
        <w:rPr>
          <w:rFonts w:hint="eastAsia" w:ascii="宋体" w:hAnsi="宋体"/>
          <w:color w:val="auto"/>
          <w:szCs w:val="21"/>
          <w:highlight w:val="none"/>
        </w:rPr>
        <w:t>6道，</w:t>
      </w:r>
      <w:r>
        <w:rPr>
          <w:rFonts w:hint="eastAsia" w:ascii="宋体" w:hAnsi="宋体"/>
          <w:color w:val="auto"/>
          <w:szCs w:val="21"/>
          <w:highlight w:val="none"/>
          <w:lang w:val="en-US" w:eastAsia="zh-CN"/>
        </w:rPr>
        <w:t>平面交叉22处，</w:t>
      </w:r>
      <w:r>
        <w:rPr>
          <w:rFonts w:hint="eastAsia" w:ascii="宋体" w:hAnsi="宋体"/>
          <w:color w:val="auto"/>
          <w:szCs w:val="21"/>
          <w:highlight w:val="none"/>
        </w:rPr>
        <w:t>停车区1处，隧道变电所2处，公共汽车临时停靠站</w:t>
      </w:r>
      <w:r>
        <w:rPr>
          <w:rFonts w:hint="eastAsia" w:ascii="宋体" w:hAnsi="宋体"/>
          <w:color w:val="auto"/>
          <w:szCs w:val="21"/>
          <w:highlight w:val="none"/>
          <w:lang w:val="en-US" w:eastAsia="zh-CN"/>
        </w:rPr>
        <w:t>26</w:t>
      </w:r>
      <w:r>
        <w:rPr>
          <w:rFonts w:hint="eastAsia" w:ascii="宋体" w:hAnsi="宋体"/>
          <w:color w:val="auto"/>
          <w:szCs w:val="21"/>
          <w:highlight w:val="none"/>
        </w:rPr>
        <w:t>处。桥涵设计荷载采用公路-</w:t>
      </w:r>
      <w:r>
        <w:rPr>
          <w:rFonts w:hint="eastAsia" w:ascii="宋体" w:hAnsi="宋体"/>
          <w:color w:val="auto"/>
          <w:szCs w:val="21"/>
          <w:highlight w:val="none"/>
          <w:lang w:val="en-US" w:eastAsia="zh-CN"/>
        </w:rPr>
        <w:t>I</w:t>
      </w:r>
      <w:r>
        <w:rPr>
          <w:rFonts w:hint="eastAsia" w:ascii="宋体" w:hAnsi="宋体"/>
          <w:color w:val="auto"/>
          <w:szCs w:val="21"/>
          <w:highlight w:val="none"/>
        </w:rPr>
        <w:t>级。</w:t>
      </w:r>
    </w:p>
    <w:p w14:paraId="655A5285">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2.3 计划工期：202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日至202</w:t>
      </w:r>
      <w:r>
        <w:rPr>
          <w:rFonts w:hint="eastAsia" w:ascii="宋体" w:hAnsi="宋体"/>
          <w:color w:val="auto"/>
          <w:szCs w:val="21"/>
          <w:highlight w:val="none"/>
          <w:lang w:val="en-US" w:eastAsia="zh-CN"/>
        </w:rPr>
        <w:t>7</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31</w:t>
      </w:r>
      <w:r>
        <w:rPr>
          <w:rFonts w:hint="eastAsia" w:ascii="宋体" w:hAnsi="宋体"/>
          <w:color w:val="auto"/>
          <w:szCs w:val="21"/>
          <w:highlight w:val="none"/>
        </w:rPr>
        <w:t>日，总计</w:t>
      </w:r>
      <w:r>
        <w:rPr>
          <w:rFonts w:hint="eastAsia" w:ascii="宋体" w:hAnsi="宋体"/>
          <w:color w:val="auto"/>
          <w:szCs w:val="21"/>
          <w:highlight w:val="none"/>
          <w:lang w:val="en-US" w:eastAsia="zh-CN"/>
        </w:rPr>
        <w:t>791</w:t>
      </w:r>
      <w:r>
        <w:rPr>
          <w:rFonts w:hint="eastAsia" w:ascii="宋体" w:hAnsi="宋体"/>
          <w:color w:val="auto"/>
          <w:szCs w:val="21"/>
          <w:highlight w:val="none"/>
        </w:rPr>
        <w:t xml:space="preserve">日历天。 </w:t>
      </w:r>
    </w:p>
    <w:p w14:paraId="0B03EE4F">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xml:space="preserve"> 招标范围</w:t>
      </w:r>
      <w:r>
        <w:rPr>
          <w:rFonts w:hint="eastAsia" w:ascii="宋体" w:hAnsi="宋体"/>
          <w:color w:val="auto"/>
          <w:szCs w:val="21"/>
          <w:highlight w:val="none"/>
        </w:rPr>
        <w:t>：路基、路面、桥涵、</w:t>
      </w:r>
      <w:r>
        <w:rPr>
          <w:rFonts w:hint="eastAsia" w:ascii="宋体" w:hAnsi="宋体"/>
          <w:color w:val="auto"/>
          <w:szCs w:val="21"/>
          <w:highlight w:val="none"/>
          <w:lang w:val="en-US" w:eastAsia="zh-CN"/>
        </w:rPr>
        <w:t>隧道、</w:t>
      </w:r>
      <w:r>
        <w:rPr>
          <w:rFonts w:hint="eastAsia" w:ascii="宋体" w:hAnsi="宋体"/>
          <w:color w:val="auto"/>
          <w:szCs w:val="21"/>
          <w:highlight w:val="none"/>
        </w:rPr>
        <w:t>交通安全设施、防护、排水、绿化</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房建</w:t>
      </w:r>
      <w:r>
        <w:rPr>
          <w:rFonts w:hint="eastAsia" w:ascii="宋体" w:hAnsi="宋体"/>
          <w:color w:val="auto"/>
          <w:szCs w:val="21"/>
          <w:highlight w:val="none"/>
        </w:rPr>
        <w:t>等施工图设计范围内的所有工程的施工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机电工程（含消防）、10KV外供电和公铁分离立交不在本次招标范围内</w:t>
      </w:r>
      <w:r>
        <w:rPr>
          <w:rFonts w:hint="eastAsia" w:ascii="宋体" w:hAnsi="宋体"/>
          <w:color w:val="auto"/>
          <w:szCs w:val="21"/>
          <w:highlight w:val="none"/>
          <w:lang w:eastAsia="zh-CN"/>
        </w:rPr>
        <w:t>）</w:t>
      </w:r>
      <w:r>
        <w:rPr>
          <w:rFonts w:hint="eastAsia" w:ascii="宋体" w:hAnsi="宋体"/>
          <w:color w:val="auto"/>
          <w:szCs w:val="21"/>
          <w:highlight w:val="none"/>
        </w:rPr>
        <w:t>。</w:t>
      </w:r>
    </w:p>
    <w:p w14:paraId="4B6E95FB">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2.5 标段划分：本次招标共划分为一个标段，即</w:t>
      </w:r>
      <w:r>
        <w:rPr>
          <w:rFonts w:hint="eastAsia" w:ascii="宋体" w:hAnsi="宋体"/>
          <w:color w:val="auto"/>
          <w:szCs w:val="21"/>
          <w:highlight w:val="none"/>
          <w:lang w:val="en-US" w:eastAsia="zh-CN"/>
        </w:rPr>
        <w:t>SG01</w:t>
      </w:r>
      <w:r>
        <w:rPr>
          <w:rFonts w:hint="eastAsia" w:ascii="宋体" w:hAnsi="宋体"/>
          <w:color w:val="auto"/>
          <w:szCs w:val="21"/>
          <w:highlight w:val="none"/>
        </w:rPr>
        <w:t>标段。</w:t>
      </w:r>
    </w:p>
    <w:p w14:paraId="51F8E107">
      <w:pPr>
        <w:keepNext w:val="0"/>
        <w:keepLines w:val="0"/>
        <w:pageBreakBefore w:val="0"/>
        <w:kinsoku/>
        <w:wordWrap/>
        <w:overflowPunct/>
        <w:topLinePunct w:val="0"/>
        <w:bidi w:val="0"/>
        <w:snapToGrid/>
        <w:spacing w:line="320" w:lineRule="exact"/>
        <w:textAlignment w:val="auto"/>
        <w:rPr>
          <w:rFonts w:ascii="黑体" w:hAnsi="黑体" w:eastAsia="黑体"/>
          <w:color w:val="auto"/>
          <w:sz w:val="28"/>
          <w:szCs w:val="28"/>
          <w:highlight w:val="none"/>
        </w:rPr>
      </w:pPr>
      <w:bookmarkStart w:id="14" w:name="_Toc35267774"/>
      <w:bookmarkStart w:id="15" w:name="_Toc515284072"/>
      <w:bookmarkStart w:id="16" w:name="_Toc35267644"/>
      <w:bookmarkStart w:id="17" w:name="_Toc35268489"/>
      <w:r>
        <w:rPr>
          <w:rFonts w:ascii="黑体" w:hAnsi="黑体" w:eastAsia="黑体"/>
          <w:color w:val="auto"/>
          <w:sz w:val="28"/>
          <w:szCs w:val="28"/>
          <w:highlight w:val="none"/>
        </w:rPr>
        <w:t>3.</w:t>
      </w:r>
      <w:r>
        <w:rPr>
          <w:rFonts w:hint="eastAsia" w:ascii="黑体" w:hAnsi="黑体" w:eastAsia="黑体"/>
          <w:color w:val="auto"/>
          <w:sz w:val="28"/>
          <w:szCs w:val="28"/>
          <w:highlight w:val="none"/>
        </w:rPr>
        <w:t>投标人资格要求</w:t>
      </w:r>
      <w:bookmarkEnd w:id="12"/>
      <w:bookmarkEnd w:id="13"/>
      <w:bookmarkEnd w:id="14"/>
      <w:bookmarkEnd w:id="15"/>
      <w:bookmarkEnd w:id="16"/>
      <w:bookmarkEnd w:id="17"/>
    </w:p>
    <w:p w14:paraId="03E5A0A1">
      <w:pPr>
        <w:keepNext w:val="0"/>
        <w:keepLines w:val="0"/>
        <w:pageBreakBefore w:val="0"/>
        <w:widowControl/>
        <w:shd w:val="clear" w:color="auto" w:fill="FFFFFF"/>
        <w:kinsoku/>
        <w:wordWrap/>
        <w:overflowPunct/>
        <w:topLinePunct w:val="0"/>
        <w:bidi w:val="0"/>
        <w:snapToGrid/>
        <w:spacing w:line="320" w:lineRule="exact"/>
        <w:ind w:firstLine="424" w:firstLineChars="202"/>
        <w:textAlignment w:val="auto"/>
        <w:rPr>
          <w:rFonts w:ascii="宋体" w:hAnsi="宋体"/>
          <w:color w:val="auto"/>
          <w:szCs w:val="21"/>
          <w:highlight w:val="none"/>
        </w:rPr>
      </w:pPr>
      <w:bookmarkStart w:id="18" w:name="_Toc248829794"/>
      <w:bookmarkStart w:id="19" w:name="_Toc262548127"/>
      <w:r>
        <w:rPr>
          <w:rFonts w:hint="eastAsia" w:ascii="宋体" w:hAnsi="宋体"/>
          <w:color w:val="auto"/>
          <w:szCs w:val="21"/>
          <w:highlight w:val="none"/>
        </w:rPr>
        <w:t>3.1</w:t>
      </w:r>
      <w:r>
        <w:rPr>
          <w:rFonts w:ascii="宋体" w:hAnsi="宋体"/>
          <w:color w:val="auto"/>
          <w:szCs w:val="21"/>
          <w:highlight w:val="none"/>
        </w:rPr>
        <w:t>本次招标要求投标人须具备以下资质和业绩，并在人员、设备、资金等方面具备相应的施工能力：</w:t>
      </w:r>
    </w:p>
    <w:tbl>
      <w:tblPr>
        <w:tblStyle w:val="6"/>
        <w:tblW w:w="9289" w:type="dxa"/>
        <w:jc w:val="center"/>
        <w:tblLayout w:type="autofit"/>
        <w:tblCellMar>
          <w:top w:w="0" w:type="dxa"/>
          <w:left w:w="0" w:type="dxa"/>
          <w:bottom w:w="0" w:type="dxa"/>
          <w:right w:w="0" w:type="dxa"/>
        </w:tblCellMar>
      </w:tblPr>
      <w:tblGrid>
        <w:gridCol w:w="4279"/>
        <w:gridCol w:w="5010"/>
      </w:tblGrid>
      <w:tr w14:paraId="071206F3">
        <w:tblPrEx>
          <w:tblCellMar>
            <w:top w:w="0" w:type="dxa"/>
            <w:left w:w="0" w:type="dxa"/>
            <w:bottom w:w="0" w:type="dxa"/>
            <w:right w:w="0" w:type="dxa"/>
          </w:tblCellMar>
        </w:tblPrEx>
        <w:trPr>
          <w:trHeight w:val="450" w:hRule="atLeast"/>
          <w:jc w:val="center"/>
        </w:trPr>
        <w:tc>
          <w:tcPr>
            <w:tcW w:w="42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3DA4B7">
            <w:pPr>
              <w:widowControl/>
              <w:spacing w:line="360" w:lineRule="atLeast"/>
              <w:jc w:val="center"/>
              <w:rPr>
                <w:rFonts w:ascii="宋体" w:hAnsi="宋体" w:cs="宋体"/>
                <w:color w:val="auto"/>
                <w:kern w:val="0"/>
                <w:sz w:val="24"/>
                <w:szCs w:val="24"/>
                <w:highlight w:val="none"/>
              </w:rPr>
            </w:pPr>
            <w:r>
              <w:rPr>
                <w:rFonts w:ascii="宋体" w:hAnsi="宋体" w:cs="宋体"/>
                <w:color w:val="auto"/>
                <w:kern w:val="0"/>
                <w:szCs w:val="21"/>
                <w:highlight w:val="none"/>
              </w:rPr>
              <w:t>资质要求</w:t>
            </w:r>
          </w:p>
        </w:tc>
        <w:tc>
          <w:tcPr>
            <w:tcW w:w="50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2DC6B5">
            <w:pPr>
              <w:widowControl/>
              <w:spacing w:line="360" w:lineRule="atLeast"/>
              <w:jc w:val="center"/>
              <w:rPr>
                <w:rFonts w:ascii="宋体" w:hAnsi="宋体" w:cs="宋体"/>
                <w:color w:val="auto"/>
                <w:kern w:val="0"/>
                <w:sz w:val="24"/>
                <w:szCs w:val="24"/>
                <w:highlight w:val="none"/>
              </w:rPr>
            </w:pPr>
            <w:r>
              <w:rPr>
                <w:rFonts w:ascii="宋体" w:hAnsi="宋体" w:cs="宋体"/>
                <w:color w:val="auto"/>
                <w:kern w:val="0"/>
                <w:szCs w:val="21"/>
                <w:highlight w:val="none"/>
              </w:rPr>
              <w:t>业绩要求</w:t>
            </w:r>
          </w:p>
        </w:tc>
      </w:tr>
      <w:tr w14:paraId="5EC6D6D7">
        <w:tblPrEx>
          <w:tblCellMar>
            <w:top w:w="0" w:type="dxa"/>
            <w:left w:w="0" w:type="dxa"/>
            <w:bottom w:w="0" w:type="dxa"/>
            <w:right w:w="0" w:type="dxa"/>
          </w:tblCellMar>
        </w:tblPrEx>
        <w:trPr>
          <w:trHeight w:val="745" w:hRule="atLeast"/>
          <w:jc w:val="center"/>
        </w:trPr>
        <w:tc>
          <w:tcPr>
            <w:tcW w:w="42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28BD0F">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资格要求满足下列要求之一：</w:t>
            </w:r>
          </w:p>
          <w:p w14:paraId="2C8E1F37">
            <w:pPr>
              <w:widowControl/>
              <w:numPr>
                <w:ilvl w:val="0"/>
                <w:numId w:val="1"/>
              </w:numPr>
              <w:spacing w:line="360" w:lineRule="atLeast"/>
              <w:jc w:val="left"/>
              <w:rPr>
                <w:rFonts w:hint="eastAsia" w:ascii="宋体" w:hAnsi="宋体" w:cs="宋体"/>
                <w:color w:val="auto"/>
                <w:kern w:val="0"/>
                <w:szCs w:val="21"/>
                <w:highlight w:val="none"/>
              </w:rPr>
            </w:pPr>
            <w:r>
              <w:rPr>
                <w:rFonts w:ascii="宋体" w:hAnsi="宋体" w:cs="宋体"/>
                <w:color w:val="auto"/>
                <w:kern w:val="0"/>
                <w:szCs w:val="21"/>
                <w:highlight w:val="none"/>
              </w:rPr>
              <w:t>公路工程施工总承包一级</w:t>
            </w:r>
            <w:r>
              <w:rPr>
                <w:rFonts w:hint="eastAsia" w:ascii="宋体" w:hAnsi="宋体" w:cs="宋体"/>
                <w:color w:val="auto"/>
                <w:kern w:val="0"/>
                <w:szCs w:val="21"/>
                <w:highlight w:val="none"/>
              </w:rPr>
              <w:t>以</w:t>
            </w:r>
            <w:r>
              <w:rPr>
                <w:rFonts w:ascii="宋体" w:hAnsi="宋体" w:cs="宋体"/>
                <w:color w:val="auto"/>
                <w:kern w:val="0"/>
                <w:szCs w:val="21"/>
                <w:highlight w:val="none"/>
              </w:rPr>
              <w:t>上（含一级）资质，</w:t>
            </w:r>
            <w:r>
              <w:rPr>
                <w:rFonts w:hint="eastAsia" w:ascii="宋体" w:hAnsi="宋体" w:cs="宋体"/>
                <w:color w:val="auto"/>
                <w:kern w:val="0"/>
                <w:szCs w:val="21"/>
                <w:highlight w:val="none"/>
              </w:rPr>
              <w:t>同时具备公路交通工程专业承包（公路安全设施分项）二级以上（含二级）资质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房屋建筑工程施工总承包二</w:t>
            </w:r>
            <w:r>
              <w:rPr>
                <w:rFonts w:ascii="宋体" w:hAnsi="宋体" w:cs="宋体"/>
                <w:color w:val="auto"/>
                <w:kern w:val="0"/>
                <w:szCs w:val="21"/>
                <w:highlight w:val="none"/>
              </w:rPr>
              <w:t>级</w:t>
            </w:r>
            <w:r>
              <w:rPr>
                <w:rFonts w:hint="eastAsia" w:ascii="宋体" w:hAnsi="宋体" w:cs="宋体"/>
                <w:color w:val="auto"/>
                <w:kern w:val="0"/>
                <w:szCs w:val="21"/>
                <w:highlight w:val="none"/>
              </w:rPr>
              <w:t>以</w:t>
            </w:r>
            <w:r>
              <w:rPr>
                <w:rFonts w:ascii="宋体" w:hAnsi="宋体" w:cs="宋体"/>
                <w:color w:val="auto"/>
                <w:kern w:val="0"/>
                <w:szCs w:val="21"/>
                <w:highlight w:val="none"/>
              </w:rPr>
              <w:t>上（含</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w:t>
            </w:r>
            <w:r>
              <w:rPr>
                <w:rFonts w:hint="eastAsia" w:ascii="宋体" w:hAnsi="宋体" w:cs="宋体"/>
                <w:color w:val="auto"/>
                <w:kern w:val="0"/>
                <w:szCs w:val="21"/>
                <w:highlight w:val="none"/>
              </w:rPr>
              <w:t>。</w:t>
            </w:r>
          </w:p>
          <w:p w14:paraId="1CEC5C48">
            <w:pPr>
              <w:widowControl/>
              <w:numPr>
                <w:ilvl w:val="0"/>
                <w:numId w:val="1"/>
              </w:numPr>
              <w:spacing w:line="360" w:lineRule="atLeast"/>
              <w:jc w:val="left"/>
              <w:rPr>
                <w:rFonts w:hint="eastAsia" w:ascii="宋体" w:hAnsi="宋体" w:eastAsia="宋体" w:cs="宋体"/>
                <w:color w:val="auto"/>
                <w:kern w:val="0"/>
                <w:szCs w:val="21"/>
                <w:highlight w:val="none"/>
                <w:lang w:val="en-US" w:eastAsia="zh-CN"/>
              </w:rPr>
            </w:pPr>
            <w:r>
              <w:rPr>
                <w:rFonts w:ascii="宋体" w:hAnsi="宋体" w:cs="宋体"/>
                <w:color w:val="auto"/>
                <w:kern w:val="0"/>
                <w:szCs w:val="21"/>
                <w:highlight w:val="none"/>
              </w:rPr>
              <w:t>公路工程施工总承包</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级资质和</w:t>
            </w:r>
            <w:r>
              <w:rPr>
                <w:rFonts w:hint="eastAsia" w:ascii="宋体" w:hAnsi="宋体" w:cs="宋体"/>
                <w:color w:val="auto"/>
                <w:kern w:val="0"/>
                <w:szCs w:val="21"/>
                <w:highlight w:val="none"/>
                <w:lang w:val="en-US" w:eastAsia="zh-CN"/>
              </w:rPr>
              <w:t>隧道</w:t>
            </w:r>
            <w:r>
              <w:rPr>
                <w:rFonts w:hint="eastAsia" w:ascii="宋体" w:hAnsi="宋体" w:cs="宋体"/>
                <w:color w:val="auto"/>
                <w:kern w:val="0"/>
                <w:szCs w:val="21"/>
                <w:highlight w:val="none"/>
              </w:rPr>
              <w:t>工程专业承包一级资质，同时具备公路交通工程专业承包（公路安全设施分项）二级以上（含二级）资质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房屋建筑工程施工总承包二</w:t>
            </w:r>
            <w:r>
              <w:rPr>
                <w:rFonts w:ascii="宋体" w:hAnsi="宋体" w:cs="宋体"/>
                <w:color w:val="auto"/>
                <w:kern w:val="0"/>
                <w:szCs w:val="21"/>
                <w:highlight w:val="none"/>
              </w:rPr>
              <w:t>级</w:t>
            </w:r>
            <w:r>
              <w:rPr>
                <w:rFonts w:hint="eastAsia" w:ascii="宋体" w:hAnsi="宋体" w:cs="宋体"/>
                <w:color w:val="auto"/>
                <w:kern w:val="0"/>
                <w:szCs w:val="21"/>
                <w:highlight w:val="none"/>
              </w:rPr>
              <w:t>以</w:t>
            </w:r>
            <w:r>
              <w:rPr>
                <w:rFonts w:ascii="宋体" w:hAnsi="宋体" w:cs="宋体"/>
                <w:color w:val="auto"/>
                <w:kern w:val="0"/>
                <w:szCs w:val="21"/>
                <w:highlight w:val="none"/>
              </w:rPr>
              <w:t>上（含</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w:t>
            </w:r>
            <w:r>
              <w:rPr>
                <w:rFonts w:hint="eastAsia" w:ascii="宋体" w:hAnsi="宋体" w:cs="宋体"/>
                <w:color w:val="auto"/>
                <w:kern w:val="0"/>
                <w:szCs w:val="21"/>
                <w:highlight w:val="none"/>
              </w:rPr>
              <w:t>。</w:t>
            </w:r>
          </w:p>
        </w:tc>
        <w:tc>
          <w:tcPr>
            <w:tcW w:w="501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E5692E">
            <w:pPr>
              <w:widowControl/>
              <w:spacing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lang w:val="en-US" w:eastAsia="zh-CN"/>
              </w:rPr>
              <w:t>2020</w:t>
            </w:r>
            <w:r>
              <w:rPr>
                <w:rFonts w:ascii="宋体" w:hAnsi="宋体" w:cs="宋体"/>
                <w:color w:val="auto"/>
                <w:kern w:val="0"/>
                <w:szCs w:val="21"/>
                <w:highlight w:val="none"/>
              </w:rPr>
              <w:t>年1月1日</w:t>
            </w:r>
            <w:r>
              <w:rPr>
                <w:rFonts w:hint="eastAsia" w:ascii="宋体" w:hAnsi="宋体" w:cs="宋体"/>
                <w:color w:val="auto"/>
                <w:kern w:val="0"/>
                <w:szCs w:val="21"/>
                <w:highlight w:val="none"/>
                <w:lang w:val="en-US" w:eastAsia="zh-CN"/>
              </w:rPr>
              <w:t>至投标截止时间</w:t>
            </w:r>
            <w:r>
              <w:rPr>
                <w:rFonts w:ascii="宋体" w:hAnsi="宋体" w:cs="宋体"/>
                <w:color w:val="auto"/>
                <w:kern w:val="0"/>
                <w:szCs w:val="21"/>
                <w:highlight w:val="none"/>
              </w:rPr>
              <w:t>（以交工时间为准），完成过不少于下列施工业绩：</w:t>
            </w:r>
          </w:p>
          <w:p w14:paraId="5BCDFED3">
            <w:pPr>
              <w:widowControl/>
              <w:spacing w:line="360"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lang w:val="en-US" w:eastAsia="zh-CN"/>
              </w:rPr>
              <w:t>累计40</w:t>
            </w:r>
            <w:r>
              <w:rPr>
                <w:rFonts w:ascii="宋体" w:hAnsi="宋体" w:cs="宋体"/>
                <w:color w:val="auto"/>
                <w:kern w:val="0"/>
                <w:szCs w:val="21"/>
                <w:highlight w:val="none"/>
              </w:rPr>
              <w:t>公里二级或二级以上公路路基工程；</w:t>
            </w:r>
          </w:p>
          <w:p w14:paraId="14121FD9">
            <w:pPr>
              <w:widowControl/>
              <w:spacing w:line="360" w:lineRule="atLeast"/>
              <w:jc w:val="left"/>
              <w:rPr>
                <w:rFonts w:hint="eastAsia" w:ascii="宋体" w:hAnsi="宋体" w:cs="宋体"/>
                <w:color w:val="auto"/>
                <w:kern w:val="0"/>
                <w:szCs w:val="21"/>
                <w:highlight w:val="none"/>
                <w:lang w:eastAsia="zh-CN"/>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累计40</w:t>
            </w:r>
            <w:r>
              <w:rPr>
                <w:rFonts w:ascii="宋体" w:hAnsi="宋体" w:cs="宋体"/>
                <w:color w:val="auto"/>
                <w:kern w:val="0"/>
                <w:szCs w:val="21"/>
                <w:highlight w:val="none"/>
              </w:rPr>
              <w:t>公里二级或二级以上公路沥青混凝土路面工程</w:t>
            </w:r>
            <w:r>
              <w:rPr>
                <w:rFonts w:hint="eastAsia" w:ascii="宋体" w:hAnsi="宋体" w:cs="宋体"/>
                <w:color w:val="auto"/>
                <w:kern w:val="0"/>
                <w:szCs w:val="21"/>
                <w:highlight w:val="none"/>
                <w:lang w:eastAsia="zh-CN"/>
              </w:rPr>
              <w:t>；</w:t>
            </w:r>
          </w:p>
          <w:p w14:paraId="2A7C9658">
            <w:pPr>
              <w:widowControl/>
              <w:spacing w:line="360" w:lineRule="atLeast"/>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3）累计修建二级或二级以上公路隧道工程单洞长度1000米。</w:t>
            </w:r>
          </w:p>
        </w:tc>
      </w:tr>
    </w:tbl>
    <w:p w14:paraId="3C61996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注：①施工业绩均应是已列入交通运输部“全国公路建设市场监督管理系统（https://hwdms.mot.gov.cn/BMWebSite/）”或省级交通运输主管部门“公路建设市场信用信息管理系统”并公开的总包已建业绩。</w:t>
      </w:r>
    </w:p>
    <w:p w14:paraId="26B24CEB">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②业绩应为国内新建或改扩建工程业绩。</w:t>
      </w:r>
    </w:p>
    <w:p w14:paraId="5501C01A">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textAlignment w:val="auto"/>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 xml:space="preserve">③以联合体形式投标的，按联合体牵头人的业绩计算联合体业绩。 </w:t>
      </w:r>
    </w:p>
    <w:p w14:paraId="54336BF4">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textAlignment w:val="auto"/>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④高速公路、一级公路全幅路基、路面工程按2倍长度计算。</w:t>
      </w:r>
    </w:p>
    <w:p w14:paraId="7EF1E3BA">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投标人〔指根据厅公路字〔2011〕114号文件应进入名录的投标人（包括联合体各方）〕在投标截止时间前应进入交通运输部“全国公路建设市场监督管理系统（https://hwdms.mot.gov.cn）”中的公路工程施工资质企业名录，且投标人名称和资质与该名录中的相应企业名称和资质完全一致。</w:t>
      </w:r>
    </w:p>
    <w:p w14:paraId="6D7BB823">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.2 本次招标</w:t>
      </w:r>
      <w:r>
        <w:rPr>
          <w:rFonts w:hint="eastAsia" w:ascii="宋体" w:hAnsi="宋体"/>
          <w:color w:val="auto"/>
          <w:szCs w:val="21"/>
          <w:highlight w:val="none"/>
          <w:lang w:val="en-US" w:eastAsia="zh-CN"/>
        </w:rPr>
        <w:t>接受联合体投标，联合体所有成员数量不得超过4家，联合体牵头人至少应具备公路工程施工总承包二级以上（含二级）资质。</w:t>
      </w:r>
    </w:p>
    <w:p w14:paraId="622AD3FC">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3.3与招标人存在利害关系可能影响招标公正性的单位，不得参加投标。单位负责人为同一人或存在控股、管理关系的不同单位，不得参加同一标段投标，否则，相关投标均无效。</w:t>
      </w:r>
    </w:p>
    <w:p w14:paraId="11F3034F">
      <w:pPr>
        <w:keepNext w:val="0"/>
        <w:keepLines w:val="0"/>
        <w:pageBreakBefore w:val="0"/>
        <w:widowControl w:val="0"/>
        <w:kinsoku/>
        <w:wordWrap/>
        <w:overflowPunct/>
        <w:topLinePunct w:val="0"/>
        <w:autoSpaceDE/>
        <w:autoSpaceDN/>
        <w:bidi w:val="0"/>
        <w:adjustRightInd w:val="0"/>
        <w:snapToGrid w:val="0"/>
        <w:spacing w:before="93" w:beforeLines="30" w:after="93" w:afterLines="30" w:line="3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3.4在“信用中国”网站(https://www.creditchina.gov.cn/)中被</w:t>
      </w:r>
      <w:r>
        <w:rPr>
          <w:rFonts w:hint="eastAsia" w:ascii="宋体" w:hAnsi="宋体"/>
          <w:color w:val="auto"/>
          <w:szCs w:val="21"/>
          <w:highlight w:val="none"/>
        </w:rPr>
        <w:t>列入失信被执行人名单的投标人，不得参加投标。</w:t>
      </w:r>
    </w:p>
    <w:bookmarkEnd w:id="18"/>
    <w:bookmarkEnd w:id="19"/>
    <w:p w14:paraId="545F62B9">
      <w:pPr>
        <w:keepNext w:val="0"/>
        <w:keepLines w:val="0"/>
        <w:pageBreakBefore w:val="0"/>
        <w:widowControl w:val="0"/>
        <w:kinsoku/>
        <w:wordWrap/>
        <w:overflowPunct/>
        <w:topLinePunct w:val="0"/>
        <w:autoSpaceDE/>
        <w:autoSpaceDN/>
        <w:bidi w:val="0"/>
        <w:spacing w:line="320" w:lineRule="exact"/>
        <w:textAlignment w:val="auto"/>
        <w:rPr>
          <w:rFonts w:hint="eastAsia" w:ascii="黑体" w:hAnsi="黑体" w:eastAsia="黑体" w:cs="Times New Roman"/>
          <w:color w:val="auto"/>
          <w:sz w:val="28"/>
          <w:szCs w:val="28"/>
          <w:highlight w:val="none"/>
          <w:lang w:val="en-US" w:eastAsia="zh-CN"/>
        </w:rPr>
      </w:pPr>
      <w:bookmarkStart w:id="20" w:name="_Toc184704556"/>
      <w:bookmarkStart w:id="21" w:name="_Hlk92442328"/>
      <w:r>
        <w:rPr>
          <w:rFonts w:hint="eastAsia" w:ascii="黑体" w:hAnsi="黑体" w:eastAsia="黑体" w:cs="Times New Roman"/>
          <w:color w:val="auto"/>
          <w:sz w:val="28"/>
          <w:szCs w:val="28"/>
          <w:highlight w:val="none"/>
          <w:lang w:val="en-US" w:eastAsia="zh-CN"/>
        </w:rPr>
        <w:t>4．</w:t>
      </w:r>
      <w:bookmarkEnd w:id="20"/>
      <w:r>
        <w:rPr>
          <w:rFonts w:hint="eastAsia" w:ascii="黑体" w:hAnsi="黑体" w:eastAsia="黑体" w:cs="Times New Roman"/>
          <w:color w:val="auto"/>
          <w:sz w:val="28"/>
          <w:szCs w:val="28"/>
          <w:highlight w:val="none"/>
          <w:lang w:val="en-US" w:eastAsia="zh-CN"/>
        </w:rPr>
        <w:t>评标办法</w:t>
      </w:r>
    </w:p>
    <w:bookmarkEnd w:id="21"/>
    <w:p w14:paraId="063FDD8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4.1本项目</w:t>
      </w:r>
      <w:r>
        <w:rPr>
          <w:rFonts w:hint="eastAsia" w:ascii="宋体" w:hAnsi="宋体" w:eastAsia="宋体" w:cs="Times New Roman"/>
          <w:color w:val="auto"/>
          <w:szCs w:val="21"/>
          <w:highlight w:val="none"/>
          <w:lang w:val="en-US" w:eastAsia="zh-CN"/>
        </w:rPr>
        <w:t>采用技术评分最低标价法。</w:t>
      </w:r>
    </w:p>
    <w:p w14:paraId="7071FB5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4.2根据“关于印发《全面推行招标投标“双盲”评审实施方案》的通知”规定，本项目为“双盲”评审。</w:t>
      </w:r>
    </w:p>
    <w:p w14:paraId="10B5016C">
      <w:pPr>
        <w:keepNext w:val="0"/>
        <w:keepLines w:val="0"/>
        <w:pageBreakBefore w:val="0"/>
        <w:widowControl w:val="0"/>
        <w:numPr>
          <w:ilvl w:val="0"/>
          <w:numId w:val="2"/>
        </w:numPr>
        <w:kinsoku/>
        <w:wordWrap/>
        <w:overflowPunct/>
        <w:topLinePunct w:val="0"/>
        <w:autoSpaceDE/>
        <w:autoSpaceDN/>
        <w:bidi w:val="0"/>
        <w:spacing w:line="320" w:lineRule="exact"/>
        <w:textAlignment w:val="auto"/>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资格审查条件最低要求</w:t>
      </w:r>
    </w:p>
    <w:p w14:paraId="6EBD6640">
      <w:pPr>
        <w:widowControl/>
        <w:adjustRightInd w:val="0"/>
        <w:jc w:val="center"/>
        <w:rPr>
          <w:rFonts w:ascii="黑体" w:hAnsi="黑体"/>
          <w:color w:val="auto"/>
          <w:sz w:val="28"/>
          <w:highlight w:val="none"/>
          <w:lang w:val="zh-CN"/>
        </w:rPr>
      </w:pPr>
      <w:r>
        <w:rPr>
          <w:rFonts w:hint="eastAsia" w:ascii="黑体" w:hAnsi="黑体"/>
          <w:color w:val="auto"/>
          <w:sz w:val="28"/>
          <w:highlight w:val="none"/>
          <w:lang w:val="zh-CN"/>
        </w:rPr>
        <w:t>附录1资格审查条件（资质最低要求）</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188"/>
      </w:tblGrid>
      <w:tr w14:paraId="71C0D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pct"/>
            <w:vAlign w:val="center"/>
          </w:tcPr>
          <w:p w14:paraId="34C9BE74">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标段</w:t>
            </w:r>
          </w:p>
        </w:tc>
        <w:tc>
          <w:tcPr>
            <w:tcW w:w="4154" w:type="pct"/>
            <w:vAlign w:val="center"/>
          </w:tcPr>
          <w:p w14:paraId="44E68BB2">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施工企业资质等级要求</w:t>
            </w:r>
          </w:p>
        </w:tc>
      </w:tr>
      <w:tr w14:paraId="69078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pct"/>
            <w:vAlign w:val="center"/>
          </w:tcPr>
          <w:p w14:paraId="180538A7">
            <w:pPr>
              <w:jc w:val="center"/>
              <w:rPr>
                <w:rFonts w:hint="default" w:ascii="宋体" w:hAnsi="宋体" w:eastAsia="宋体"/>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SG01</w:t>
            </w:r>
          </w:p>
        </w:tc>
        <w:tc>
          <w:tcPr>
            <w:tcW w:w="4154" w:type="pct"/>
            <w:vAlign w:val="center"/>
          </w:tcPr>
          <w:p w14:paraId="60D4F61F">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资格要求满足下列要求之一：</w:t>
            </w:r>
          </w:p>
          <w:p w14:paraId="7746E274">
            <w:pPr>
              <w:widowControl/>
              <w:numPr>
                <w:ilvl w:val="0"/>
                <w:numId w:val="0"/>
              </w:numPr>
              <w:spacing w:line="36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公路工程施工总承包一级</w:t>
            </w:r>
            <w:r>
              <w:rPr>
                <w:rFonts w:hint="eastAsia" w:ascii="宋体" w:hAnsi="宋体" w:cs="宋体"/>
                <w:color w:val="auto"/>
                <w:kern w:val="0"/>
                <w:szCs w:val="21"/>
                <w:highlight w:val="none"/>
              </w:rPr>
              <w:t>以</w:t>
            </w:r>
            <w:r>
              <w:rPr>
                <w:rFonts w:ascii="宋体" w:hAnsi="宋体" w:cs="宋体"/>
                <w:color w:val="auto"/>
                <w:kern w:val="0"/>
                <w:szCs w:val="21"/>
                <w:highlight w:val="none"/>
              </w:rPr>
              <w:t>上（含一级）资质，</w:t>
            </w:r>
            <w:r>
              <w:rPr>
                <w:rFonts w:hint="eastAsia" w:ascii="宋体" w:hAnsi="宋体" w:cs="宋体"/>
                <w:color w:val="auto"/>
                <w:kern w:val="0"/>
                <w:szCs w:val="21"/>
                <w:highlight w:val="none"/>
              </w:rPr>
              <w:t>同时具备公路交通工程专业承包（公路安全设施分项）二级以上（含二级）资质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房屋建筑工程施工总承包二</w:t>
            </w:r>
            <w:r>
              <w:rPr>
                <w:rFonts w:ascii="宋体" w:hAnsi="宋体" w:cs="宋体"/>
                <w:color w:val="auto"/>
                <w:kern w:val="0"/>
                <w:szCs w:val="21"/>
                <w:highlight w:val="none"/>
              </w:rPr>
              <w:t>级</w:t>
            </w:r>
            <w:r>
              <w:rPr>
                <w:rFonts w:hint="eastAsia" w:ascii="宋体" w:hAnsi="宋体" w:cs="宋体"/>
                <w:color w:val="auto"/>
                <w:kern w:val="0"/>
                <w:szCs w:val="21"/>
                <w:highlight w:val="none"/>
              </w:rPr>
              <w:t>以</w:t>
            </w:r>
            <w:r>
              <w:rPr>
                <w:rFonts w:ascii="宋体" w:hAnsi="宋体" w:cs="宋体"/>
                <w:color w:val="auto"/>
                <w:kern w:val="0"/>
                <w:szCs w:val="21"/>
                <w:highlight w:val="none"/>
              </w:rPr>
              <w:t>上（含</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w:t>
            </w:r>
            <w:r>
              <w:rPr>
                <w:rFonts w:hint="eastAsia" w:ascii="宋体" w:hAnsi="宋体" w:cs="宋体"/>
                <w:color w:val="auto"/>
                <w:kern w:val="0"/>
                <w:szCs w:val="21"/>
                <w:highlight w:val="none"/>
              </w:rPr>
              <w:t>。</w:t>
            </w:r>
          </w:p>
          <w:p w14:paraId="64691CBF">
            <w:pPr>
              <w:rPr>
                <w:rFonts w:hint="default" w:ascii="宋体" w:hAnsi="宋体" w:eastAsia="宋体"/>
                <w:color w:val="auto"/>
                <w:sz w:val="21"/>
                <w:szCs w:val="21"/>
                <w:highlight w:val="none"/>
                <w:lang w:val="en-US" w:eastAsia="zh-CN"/>
              </w:rPr>
            </w:pP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公路工程施工总承包</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级资质和</w:t>
            </w:r>
            <w:r>
              <w:rPr>
                <w:rFonts w:hint="eastAsia" w:ascii="宋体" w:hAnsi="宋体" w:cs="宋体"/>
                <w:color w:val="auto"/>
                <w:kern w:val="0"/>
                <w:szCs w:val="21"/>
                <w:highlight w:val="none"/>
                <w:lang w:val="en-US" w:eastAsia="zh-CN"/>
              </w:rPr>
              <w:t>隧道</w:t>
            </w:r>
            <w:r>
              <w:rPr>
                <w:rFonts w:hint="eastAsia" w:ascii="宋体" w:hAnsi="宋体" w:cs="宋体"/>
                <w:color w:val="auto"/>
                <w:kern w:val="0"/>
                <w:szCs w:val="21"/>
                <w:highlight w:val="none"/>
              </w:rPr>
              <w:t>工程专业承包一级资质，同时具备公路交通工程专业承包（公路安全设施分项）二级以上（含二级）资质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房屋建筑工程施工总承包二</w:t>
            </w:r>
            <w:r>
              <w:rPr>
                <w:rFonts w:ascii="宋体" w:hAnsi="宋体" w:cs="宋体"/>
                <w:color w:val="auto"/>
                <w:kern w:val="0"/>
                <w:szCs w:val="21"/>
                <w:highlight w:val="none"/>
              </w:rPr>
              <w:t>级</w:t>
            </w:r>
            <w:r>
              <w:rPr>
                <w:rFonts w:hint="eastAsia" w:ascii="宋体" w:hAnsi="宋体" w:cs="宋体"/>
                <w:color w:val="auto"/>
                <w:kern w:val="0"/>
                <w:szCs w:val="21"/>
                <w:highlight w:val="none"/>
              </w:rPr>
              <w:t>以</w:t>
            </w:r>
            <w:r>
              <w:rPr>
                <w:rFonts w:ascii="宋体" w:hAnsi="宋体" w:cs="宋体"/>
                <w:color w:val="auto"/>
                <w:kern w:val="0"/>
                <w:szCs w:val="21"/>
                <w:highlight w:val="none"/>
              </w:rPr>
              <w:t>上（含</w:t>
            </w:r>
            <w:r>
              <w:rPr>
                <w:rFonts w:hint="eastAsia" w:ascii="宋体" w:hAnsi="宋体" w:cs="宋体"/>
                <w:color w:val="auto"/>
                <w:kern w:val="0"/>
                <w:szCs w:val="21"/>
                <w:highlight w:val="none"/>
                <w:lang w:val="en-US" w:eastAsia="zh-CN"/>
              </w:rPr>
              <w:t>二</w:t>
            </w:r>
            <w:r>
              <w:rPr>
                <w:rFonts w:ascii="宋体" w:hAnsi="宋体" w:cs="宋体"/>
                <w:color w:val="auto"/>
                <w:kern w:val="0"/>
                <w:szCs w:val="21"/>
                <w:highlight w:val="none"/>
              </w:rPr>
              <w:t>级）资质</w:t>
            </w:r>
            <w:r>
              <w:rPr>
                <w:rFonts w:hint="eastAsia" w:ascii="宋体" w:hAnsi="宋体" w:cs="宋体"/>
                <w:color w:val="auto"/>
                <w:kern w:val="0"/>
                <w:szCs w:val="21"/>
                <w:highlight w:val="none"/>
              </w:rPr>
              <w:t>。</w:t>
            </w:r>
          </w:p>
        </w:tc>
      </w:tr>
    </w:tbl>
    <w:p w14:paraId="7180FF32">
      <w:pPr>
        <w:pStyle w:val="3"/>
        <w:adjustRightInd w:val="0"/>
        <w:snapToGrid w:val="0"/>
        <w:spacing w:beforeLines="50" w:after="0"/>
        <w:ind w:firstLine="280" w:firstLineChars="100"/>
        <w:jc w:val="center"/>
        <w:rPr>
          <w:rFonts w:ascii="黑体" w:hAnsi="黑体"/>
          <w:color w:val="auto"/>
          <w:sz w:val="28"/>
          <w:highlight w:val="none"/>
          <w:lang w:val="zh-CN"/>
        </w:rPr>
      </w:pPr>
      <w:r>
        <w:rPr>
          <w:rFonts w:hint="eastAsia" w:ascii="黑体" w:hAnsi="黑体"/>
          <w:color w:val="auto"/>
          <w:sz w:val="28"/>
          <w:highlight w:val="none"/>
          <w:lang w:val="zh-CN"/>
        </w:rPr>
        <w:t>附录2资格审查条件（财务最低要求）</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188"/>
      </w:tblGrid>
      <w:tr w14:paraId="1CCCB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pct"/>
            <w:vAlign w:val="center"/>
          </w:tcPr>
          <w:p w14:paraId="07EB9D8D">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标段</w:t>
            </w:r>
          </w:p>
        </w:tc>
        <w:tc>
          <w:tcPr>
            <w:tcW w:w="4154" w:type="pct"/>
            <w:vAlign w:val="center"/>
          </w:tcPr>
          <w:p w14:paraId="4381F80E">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财务要求</w:t>
            </w:r>
          </w:p>
        </w:tc>
      </w:tr>
      <w:tr w14:paraId="4F3F9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846" w:type="pct"/>
            <w:vAlign w:val="center"/>
          </w:tcPr>
          <w:p w14:paraId="5D8176E5">
            <w:pPr>
              <w:jc w:val="center"/>
              <w:rPr>
                <w:rFonts w:hint="default" w:ascii="宋体" w:hAnsi="宋体" w:eastAsia="宋体"/>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SG01</w:t>
            </w:r>
          </w:p>
        </w:tc>
        <w:tc>
          <w:tcPr>
            <w:tcW w:w="4154" w:type="pct"/>
            <w:vAlign w:val="center"/>
          </w:tcPr>
          <w:p w14:paraId="3A087B84">
            <w:pPr>
              <w:keepNext w:val="0"/>
              <w:keepLines w:val="0"/>
              <w:pageBreakBefore w:val="0"/>
              <w:widowControl w:val="0"/>
              <w:kinsoku/>
              <w:wordWrap/>
              <w:overflowPunct/>
              <w:topLinePunct w:val="0"/>
              <w:autoSpaceDE/>
              <w:autoSpaceDN/>
              <w:bidi w:val="0"/>
              <w:adjustRightInd w:val="0"/>
              <w:snapToGrid w:val="0"/>
              <w:spacing w:beforeLines="50" w:afterLines="50" w:line="240"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投标人(包括联合体各方)</w:t>
            </w:r>
            <w:r>
              <w:rPr>
                <w:rFonts w:hint="eastAsia" w:ascii="宋体" w:hAnsi="宋体" w:cs="宋体"/>
                <w:color w:val="auto"/>
                <w:kern w:val="0"/>
                <w:sz w:val="21"/>
                <w:szCs w:val="21"/>
                <w:highlight w:val="none"/>
                <w:lang w:val="en-US" w:eastAsia="zh-CN"/>
              </w:rPr>
              <w:t>近三年（2022年至2024年）</w:t>
            </w:r>
            <w:r>
              <w:rPr>
                <w:rFonts w:hint="eastAsia" w:ascii="宋体" w:hAnsi="宋体" w:cs="宋体"/>
                <w:color w:val="auto"/>
                <w:kern w:val="0"/>
                <w:sz w:val="21"/>
                <w:szCs w:val="21"/>
                <w:highlight w:val="none"/>
              </w:rPr>
              <w:t>应当具有良好的商业信誉和健全的财务会计制度，须提供财务状况承诺函并加盖投标人(包括联合体各方)单位公章。</w:t>
            </w:r>
          </w:p>
        </w:tc>
      </w:tr>
    </w:tbl>
    <w:p w14:paraId="102DAA1A">
      <w:pPr>
        <w:rPr>
          <w:rFonts w:hint="eastAsia" w:ascii="黑体" w:hAnsi="黑体"/>
          <w:color w:val="auto"/>
          <w:sz w:val="28"/>
          <w:highlight w:val="none"/>
          <w:lang w:val="zh-CN"/>
        </w:rPr>
      </w:pPr>
      <w:r>
        <w:rPr>
          <w:rFonts w:hint="eastAsia" w:ascii="黑体" w:hAnsi="黑体"/>
          <w:color w:val="auto"/>
          <w:sz w:val="28"/>
          <w:highlight w:val="none"/>
          <w:lang w:val="zh-CN"/>
        </w:rPr>
        <w:br w:type="page"/>
      </w:r>
    </w:p>
    <w:p w14:paraId="04EF766C">
      <w:pPr>
        <w:pStyle w:val="3"/>
        <w:adjustRightInd w:val="0"/>
        <w:snapToGrid w:val="0"/>
        <w:spacing w:beforeLines="50" w:after="0"/>
        <w:ind w:firstLine="280" w:firstLineChars="100"/>
        <w:jc w:val="center"/>
        <w:rPr>
          <w:rFonts w:ascii="黑体" w:hAnsi="黑体"/>
          <w:color w:val="auto"/>
          <w:sz w:val="28"/>
          <w:highlight w:val="none"/>
          <w:lang w:val="zh-CN"/>
        </w:rPr>
      </w:pPr>
      <w:r>
        <w:rPr>
          <w:rFonts w:hint="eastAsia" w:ascii="黑体" w:hAnsi="黑体"/>
          <w:color w:val="auto"/>
          <w:sz w:val="28"/>
          <w:highlight w:val="none"/>
          <w:lang w:val="zh-CN"/>
        </w:rPr>
        <w:t>附录3资格审查条件（业绩最低要求）</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187"/>
      </w:tblGrid>
      <w:tr w14:paraId="2B6EC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pct"/>
            <w:vAlign w:val="center"/>
          </w:tcPr>
          <w:p w14:paraId="174B8336">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标段</w:t>
            </w:r>
          </w:p>
        </w:tc>
        <w:tc>
          <w:tcPr>
            <w:tcW w:w="4154" w:type="pct"/>
            <w:vAlign w:val="center"/>
          </w:tcPr>
          <w:p w14:paraId="3E91BA40">
            <w:pPr>
              <w:adjustRightInd w:val="0"/>
              <w:snapToGrid w:val="0"/>
              <w:spacing w:beforeLines="50"/>
              <w:jc w:val="center"/>
              <w:rPr>
                <w:rFonts w:ascii="楷体" w:hAnsi="楷体" w:eastAsia="楷体_GB2312"/>
                <w:color w:val="auto"/>
                <w:szCs w:val="21"/>
                <w:highlight w:val="none"/>
              </w:rPr>
            </w:pPr>
            <w:r>
              <w:rPr>
                <w:rFonts w:hint="eastAsia" w:ascii="宋体" w:hAnsi="宋体"/>
                <w:color w:val="auto"/>
                <w:szCs w:val="21"/>
                <w:highlight w:val="none"/>
              </w:rPr>
              <w:t>业绩要求</w:t>
            </w:r>
          </w:p>
        </w:tc>
      </w:tr>
      <w:tr w14:paraId="48D58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pct"/>
            <w:vAlign w:val="center"/>
          </w:tcPr>
          <w:p w14:paraId="4114AE16">
            <w:pPr>
              <w:jc w:val="center"/>
              <w:rPr>
                <w:rFonts w:hint="default" w:ascii="宋体" w:hAnsi="宋体" w:eastAsia="宋体"/>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SG01</w:t>
            </w:r>
          </w:p>
        </w:tc>
        <w:tc>
          <w:tcPr>
            <w:tcW w:w="8187" w:type="dxa"/>
            <w:vAlign w:val="top"/>
          </w:tcPr>
          <w:p w14:paraId="1560DEC0">
            <w:pPr>
              <w:widowControl/>
              <w:spacing w:line="360" w:lineRule="atLeast"/>
              <w:jc w:val="left"/>
              <w:rPr>
                <w:rFonts w:ascii="宋体" w:hAnsi="宋体" w:cs="宋体"/>
                <w:color w:val="auto"/>
                <w:kern w:val="0"/>
                <w:sz w:val="24"/>
                <w:szCs w:val="24"/>
                <w:highlight w:val="none"/>
              </w:rPr>
            </w:pPr>
            <w:r>
              <w:rPr>
                <w:rFonts w:hint="eastAsia" w:ascii="宋体" w:hAnsi="宋体" w:cs="宋体"/>
                <w:color w:val="auto"/>
                <w:kern w:val="0"/>
                <w:szCs w:val="21"/>
                <w:highlight w:val="none"/>
                <w:lang w:val="en-US" w:eastAsia="zh-CN"/>
              </w:rPr>
              <w:t>2020</w:t>
            </w:r>
            <w:r>
              <w:rPr>
                <w:rFonts w:ascii="宋体" w:hAnsi="宋体" w:cs="宋体"/>
                <w:color w:val="auto"/>
                <w:kern w:val="0"/>
                <w:szCs w:val="21"/>
                <w:highlight w:val="none"/>
              </w:rPr>
              <w:t>年1月1日</w:t>
            </w:r>
            <w:r>
              <w:rPr>
                <w:rFonts w:hint="eastAsia" w:ascii="宋体" w:hAnsi="宋体" w:cs="宋体"/>
                <w:color w:val="auto"/>
                <w:kern w:val="0"/>
                <w:szCs w:val="21"/>
                <w:highlight w:val="none"/>
                <w:lang w:val="en-US" w:eastAsia="zh-CN"/>
              </w:rPr>
              <w:t>至投标截止时间</w:t>
            </w:r>
            <w:r>
              <w:rPr>
                <w:rFonts w:ascii="宋体" w:hAnsi="宋体" w:cs="宋体"/>
                <w:color w:val="auto"/>
                <w:kern w:val="0"/>
                <w:szCs w:val="21"/>
                <w:highlight w:val="none"/>
              </w:rPr>
              <w:t>（以交工时间为准），累计完成过不少于下列施工业绩：</w:t>
            </w:r>
          </w:p>
          <w:p w14:paraId="3F7B5A02">
            <w:pPr>
              <w:widowControl/>
              <w:spacing w:line="360" w:lineRule="atLeast"/>
              <w:jc w:val="left"/>
              <w:rPr>
                <w:rFonts w:ascii="宋体" w:hAnsi="宋体" w:cs="宋体"/>
                <w:color w:val="auto"/>
                <w:kern w:val="0"/>
                <w:sz w:val="24"/>
                <w:szCs w:val="24"/>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lang w:val="en-US" w:eastAsia="zh-CN"/>
              </w:rPr>
              <w:t>累计40</w:t>
            </w:r>
            <w:r>
              <w:rPr>
                <w:rFonts w:ascii="宋体" w:hAnsi="宋体" w:cs="宋体"/>
                <w:color w:val="auto"/>
                <w:kern w:val="0"/>
                <w:szCs w:val="21"/>
                <w:highlight w:val="none"/>
              </w:rPr>
              <w:t>公里二级或二级以上公路路基工程；</w:t>
            </w:r>
          </w:p>
          <w:p w14:paraId="7DD4258E">
            <w:pPr>
              <w:widowControl/>
              <w:spacing w:line="360" w:lineRule="atLeast"/>
              <w:jc w:val="left"/>
              <w:rPr>
                <w:rFonts w:hint="eastAsia" w:ascii="宋体" w:hAnsi="宋体" w:cs="宋体"/>
                <w:color w:val="auto"/>
                <w:kern w:val="0"/>
                <w:szCs w:val="21"/>
                <w:highlight w:val="none"/>
                <w:lang w:eastAsia="zh-CN"/>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累计40</w:t>
            </w:r>
            <w:r>
              <w:rPr>
                <w:rFonts w:ascii="宋体" w:hAnsi="宋体" w:cs="宋体"/>
                <w:color w:val="auto"/>
                <w:kern w:val="0"/>
                <w:szCs w:val="21"/>
                <w:highlight w:val="none"/>
              </w:rPr>
              <w:t>公里二级或二级以上公路沥青混凝土路面工程</w:t>
            </w:r>
            <w:r>
              <w:rPr>
                <w:rFonts w:hint="eastAsia" w:ascii="宋体" w:hAnsi="宋体" w:cs="宋体"/>
                <w:color w:val="auto"/>
                <w:kern w:val="0"/>
                <w:szCs w:val="21"/>
                <w:highlight w:val="none"/>
                <w:lang w:eastAsia="zh-CN"/>
              </w:rPr>
              <w:t>；</w:t>
            </w:r>
          </w:p>
          <w:p w14:paraId="26D3EB56">
            <w:pPr>
              <w:keepNext w:val="0"/>
              <w:keepLines w:val="0"/>
              <w:widowControl/>
              <w:suppressLineNumbers w:val="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3）累计修建二级或二级以上公路隧道工程单洞长度1000米。</w:t>
            </w:r>
          </w:p>
          <w:p w14:paraId="2095D99B">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注：①施工业绩均应是已列入交通运输部“全国公路建设市场监督管理系统（https://hwdms.mot.gov.cn/BMWebSite/）”或省级交通运输主管部门“公路建设市场信用信息管理系统”并公开的总包已建业绩。</w:t>
            </w:r>
          </w:p>
          <w:p w14:paraId="5C2B948C">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②业绩应为国内新建或改扩建工程业绩。</w:t>
            </w:r>
          </w:p>
          <w:p w14:paraId="7446C816">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③以联合体形式投标的，按联合体牵头人的业绩计算联合体业绩。 </w:t>
            </w:r>
          </w:p>
          <w:p w14:paraId="4CCD1A0F">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④高速公路、一级公路全幅路基、路面工程按2倍长度计算。</w:t>
            </w:r>
          </w:p>
        </w:tc>
      </w:tr>
    </w:tbl>
    <w:p w14:paraId="494FD94C">
      <w:pPr>
        <w:rPr>
          <w:rFonts w:ascii="黑体" w:hAnsi="黑体"/>
          <w:color w:val="auto"/>
          <w:sz w:val="28"/>
          <w:highlight w:val="none"/>
          <w:lang w:val="zh-CN"/>
        </w:rPr>
      </w:pPr>
    </w:p>
    <w:p w14:paraId="48D336A3">
      <w:pPr>
        <w:rPr>
          <w:rFonts w:hint="eastAsia" w:ascii="黑体" w:hAnsi="黑体"/>
          <w:color w:val="auto"/>
          <w:sz w:val="28"/>
          <w:highlight w:val="none"/>
          <w:lang w:val="zh-CN"/>
        </w:rPr>
      </w:pPr>
      <w:r>
        <w:rPr>
          <w:rFonts w:hint="eastAsia" w:ascii="黑体" w:hAnsi="黑体"/>
          <w:color w:val="auto"/>
          <w:sz w:val="28"/>
          <w:highlight w:val="none"/>
          <w:lang w:val="zh-CN"/>
        </w:rPr>
        <w:br w:type="page"/>
      </w:r>
    </w:p>
    <w:p w14:paraId="15A997AD">
      <w:pPr>
        <w:pStyle w:val="3"/>
        <w:adjustRightInd w:val="0"/>
        <w:snapToGrid w:val="0"/>
        <w:spacing w:beforeLines="50" w:after="0"/>
        <w:ind w:firstLine="280" w:firstLineChars="100"/>
        <w:jc w:val="center"/>
        <w:rPr>
          <w:rFonts w:ascii="黑体" w:hAnsi="黑体"/>
          <w:color w:val="auto"/>
          <w:sz w:val="28"/>
          <w:highlight w:val="none"/>
          <w:lang w:val="zh-CN"/>
        </w:rPr>
      </w:pPr>
      <w:r>
        <w:rPr>
          <w:rFonts w:hint="eastAsia" w:ascii="黑体" w:hAnsi="黑体"/>
          <w:color w:val="auto"/>
          <w:sz w:val="28"/>
          <w:highlight w:val="none"/>
          <w:lang w:val="zh-CN"/>
        </w:rPr>
        <w:t>附录4资格审查条件（信誉最低要求）</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8428"/>
      </w:tblGrid>
      <w:tr w14:paraId="350F4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5" w:type="dxa"/>
            <w:vAlign w:val="center"/>
          </w:tcPr>
          <w:p w14:paraId="465859B6">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标段</w:t>
            </w:r>
          </w:p>
        </w:tc>
        <w:tc>
          <w:tcPr>
            <w:tcW w:w="4276" w:type="pct"/>
            <w:vAlign w:val="center"/>
          </w:tcPr>
          <w:p w14:paraId="1D8576DD">
            <w:pPr>
              <w:adjustRightInd w:val="0"/>
              <w:snapToGrid w:val="0"/>
              <w:spacing w:beforeLines="50"/>
              <w:jc w:val="center"/>
              <w:rPr>
                <w:rFonts w:ascii="宋体" w:hAnsi="宋体"/>
                <w:color w:val="auto"/>
                <w:szCs w:val="21"/>
                <w:highlight w:val="none"/>
              </w:rPr>
            </w:pPr>
            <w:r>
              <w:rPr>
                <w:rFonts w:hint="eastAsia" w:ascii="宋体" w:hAnsi="宋体"/>
                <w:color w:val="auto"/>
                <w:szCs w:val="21"/>
                <w:highlight w:val="none"/>
              </w:rPr>
              <w:t>信誉要求</w:t>
            </w:r>
          </w:p>
        </w:tc>
      </w:tr>
      <w:tr w14:paraId="5EDEB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425" w:type="dxa"/>
            <w:vAlign w:val="center"/>
          </w:tcPr>
          <w:p w14:paraId="5E7313BC">
            <w:pPr>
              <w:jc w:val="center"/>
              <w:rPr>
                <w:rFonts w:hint="default" w:ascii="宋体" w:hAnsi="宋体" w:eastAsia="宋体"/>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SG01</w:t>
            </w:r>
          </w:p>
        </w:tc>
        <w:tc>
          <w:tcPr>
            <w:tcW w:w="4276" w:type="pct"/>
            <w:vAlign w:val="center"/>
          </w:tcPr>
          <w:p w14:paraId="4A87142F">
            <w:pPr>
              <w:adjustRightInd w:val="0"/>
              <w:snapToGrid w:val="0"/>
              <w:spacing w:beforeLines="50"/>
              <w:ind w:firstLine="210" w:firstLineChars="100"/>
              <w:rPr>
                <w:rFonts w:ascii="宋体" w:hAnsi="宋体"/>
                <w:color w:val="auto"/>
                <w:sz w:val="21"/>
                <w:szCs w:val="21"/>
                <w:highlight w:val="none"/>
              </w:rPr>
            </w:pPr>
            <w:r>
              <w:rPr>
                <w:rFonts w:hint="eastAsia" w:ascii="宋体" w:hAnsi="宋体"/>
                <w:color w:val="auto"/>
                <w:sz w:val="21"/>
                <w:szCs w:val="21"/>
                <w:highlight w:val="none"/>
                <w:lang w:eastAsia="zh-CN"/>
              </w:rPr>
              <w:t>投标人不得存在“投标人须知”第1.4.4项的规定不良状况或不良信用记录。</w:t>
            </w:r>
          </w:p>
        </w:tc>
      </w:tr>
    </w:tbl>
    <w:p w14:paraId="3C2AA336">
      <w:pPr>
        <w:pStyle w:val="3"/>
        <w:adjustRightInd w:val="0"/>
        <w:snapToGrid w:val="0"/>
        <w:spacing w:beforeLines="50" w:after="0"/>
        <w:ind w:firstLine="280" w:firstLineChars="100"/>
        <w:jc w:val="center"/>
        <w:rPr>
          <w:rFonts w:ascii="黑体" w:hAnsi="黑体"/>
          <w:color w:val="auto"/>
          <w:sz w:val="28"/>
          <w:highlight w:val="none"/>
          <w:lang w:val="zh-CN"/>
        </w:rPr>
      </w:pPr>
      <w:r>
        <w:rPr>
          <w:rFonts w:hint="eastAsia" w:ascii="黑体" w:hAnsi="黑体"/>
          <w:color w:val="auto"/>
          <w:sz w:val="28"/>
          <w:highlight w:val="none"/>
          <w:lang w:val="zh-CN"/>
        </w:rPr>
        <w:t>附录5资格审查条件（项目经理和项目总工最低要求）</w:t>
      </w:r>
    </w:p>
    <w:p w14:paraId="7E43BF6C">
      <w:pPr>
        <w:rPr>
          <w:color w:val="auto"/>
          <w:highlight w:val="none"/>
          <w:lang w:val="zh-CN"/>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4"/>
        <w:gridCol w:w="1434"/>
        <w:gridCol w:w="728"/>
        <w:gridCol w:w="5167"/>
        <w:gridCol w:w="1312"/>
      </w:tblGrid>
      <w:tr w14:paraId="38EC0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16" w:type="pct"/>
            <w:vAlign w:val="center"/>
          </w:tcPr>
          <w:p w14:paraId="5F32D3F9">
            <w:pPr>
              <w:snapToGrid w:val="0"/>
              <w:jc w:val="center"/>
              <w:rPr>
                <w:rFonts w:ascii="宋体" w:hAnsi="宋体"/>
                <w:color w:val="auto"/>
                <w:sz w:val="21"/>
                <w:szCs w:val="21"/>
                <w:highlight w:val="none"/>
              </w:rPr>
            </w:pPr>
            <w:r>
              <w:rPr>
                <w:rFonts w:hint="eastAsia" w:ascii="宋体" w:hAnsi="宋体"/>
                <w:color w:val="auto"/>
                <w:sz w:val="21"/>
                <w:szCs w:val="21"/>
                <w:highlight w:val="none"/>
              </w:rPr>
              <w:t>标段</w:t>
            </w:r>
          </w:p>
        </w:tc>
        <w:tc>
          <w:tcPr>
            <w:tcW w:w="727" w:type="pct"/>
            <w:vAlign w:val="center"/>
          </w:tcPr>
          <w:p w14:paraId="5F0190E2">
            <w:pPr>
              <w:snapToGrid w:val="0"/>
              <w:jc w:val="center"/>
              <w:rPr>
                <w:rFonts w:ascii="宋体" w:hAnsi="宋体"/>
                <w:color w:val="auto"/>
                <w:sz w:val="21"/>
                <w:szCs w:val="21"/>
                <w:highlight w:val="none"/>
              </w:rPr>
            </w:pPr>
            <w:r>
              <w:rPr>
                <w:rFonts w:hint="eastAsia" w:ascii="宋体" w:hAnsi="宋体"/>
                <w:color w:val="auto"/>
                <w:sz w:val="21"/>
                <w:szCs w:val="21"/>
                <w:highlight w:val="none"/>
              </w:rPr>
              <w:t>人员</w:t>
            </w:r>
          </w:p>
        </w:tc>
        <w:tc>
          <w:tcPr>
            <w:tcW w:w="369" w:type="pct"/>
            <w:vAlign w:val="center"/>
          </w:tcPr>
          <w:p w14:paraId="76BD937A">
            <w:pPr>
              <w:snapToGrid w:val="0"/>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2620" w:type="pct"/>
            <w:vAlign w:val="center"/>
          </w:tcPr>
          <w:p w14:paraId="01CE2ABF">
            <w:pPr>
              <w:snapToGrid w:val="0"/>
              <w:jc w:val="center"/>
              <w:rPr>
                <w:rFonts w:ascii="宋体" w:hAnsi="宋体"/>
                <w:color w:val="auto"/>
                <w:sz w:val="21"/>
                <w:szCs w:val="21"/>
                <w:highlight w:val="none"/>
              </w:rPr>
            </w:pPr>
            <w:r>
              <w:rPr>
                <w:rFonts w:hint="eastAsia" w:ascii="宋体" w:hAnsi="宋体"/>
                <w:color w:val="auto"/>
                <w:sz w:val="21"/>
                <w:szCs w:val="21"/>
                <w:highlight w:val="none"/>
              </w:rPr>
              <w:t>资格最低要求</w:t>
            </w:r>
          </w:p>
        </w:tc>
        <w:tc>
          <w:tcPr>
            <w:tcW w:w="665" w:type="pct"/>
            <w:vAlign w:val="center"/>
          </w:tcPr>
          <w:p w14:paraId="6B3EADEF">
            <w:pPr>
              <w:snapToGrid w:val="0"/>
              <w:jc w:val="center"/>
              <w:rPr>
                <w:rFonts w:ascii="宋体" w:hAnsi="宋体"/>
                <w:color w:val="auto"/>
                <w:szCs w:val="21"/>
                <w:highlight w:val="none"/>
              </w:rPr>
            </w:pPr>
            <w:r>
              <w:rPr>
                <w:rFonts w:hint="eastAsia" w:ascii="宋体" w:hAnsi="宋体"/>
                <w:color w:val="auto"/>
                <w:szCs w:val="21"/>
                <w:highlight w:val="none"/>
              </w:rPr>
              <w:t>在岗要求</w:t>
            </w:r>
          </w:p>
        </w:tc>
      </w:tr>
      <w:tr w14:paraId="547ED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8" w:hRule="atLeast"/>
          <w:jc w:val="center"/>
        </w:trPr>
        <w:tc>
          <w:tcPr>
            <w:tcW w:w="616" w:type="pct"/>
            <w:vMerge w:val="restart"/>
            <w:vAlign w:val="center"/>
          </w:tcPr>
          <w:p w14:paraId="71DD14A7">
            <w:pPr>
              <w:jc w:val="center"/>
              <w:rPr>
                <w:rFonts w:hint="default" w:ascii="宋体" w:hAnsi="宋体" w:eastAsia="宋体"/>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rPr>
              <w:t>SG01</w:t>
            </w:r>
          </w:p>
        </w:tc>
        <w:tc>
          <w:tcPr>
            <w:tcW w:w="727" w:type="pct"/>
            <w:vAlign w:val="center"/>
          </w:tcPr>
          <w:p w14:paraId="3C485A02">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w:t>
            </w:r>
          </w:p>
          <w:p w14:paraId="0B29385C">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经理</w:t>
            </w:r>
          </w:p>
        </w:tc>
        <w:tc>
          <w:tcPr>
            <w:tcW w:w="369" w:type="pct"/>
            <w:vAlign w:val="center"/>
          </w:tcPr>
          <w:p w14:paraId="1D9ADF46">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167" w:type="dxa"/>
            <w:vAlign w:val="center"/>
          </w:tcPr>
          <w:p w14:paraId="103F405F">
            <w:pPr>
              <w:wordWrap w:val="0"/>
              <w:autoSpaceDE w:val="0"/>
              <w:autoSpaceDN w:val="0"/>
              <w:adjustRightInd w:val="0"/>
              <w:spacing w:line="36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（1）投标人自有人员</w:t>
            </w:r>
            <w:r>
              <w:rPr>
                <w:rFonts w:hint="eastAsia" w:ascii="宋体" w:hAnsi="宋体" w:cs="宋体"/>
                <w:color w:val="auto"/>
                <w:sz w:val="21"/>
                <w:szCs w:val="21"/>
                <w:highlight w:val="none"/>
                <w:lang w:val="en-US" w:eastAsia="zh-CN"/>
              </w:rPr>
              <w:t>（以联合体形式投标，项目经理须为联合体牵头人自有人员）；</w:t>
            </w:r>
          </w:p>
          <w:p w14:paraId="203CDBC6">
            <w:pPr>
              <w:wordWrap w:val="0"/>
              <w:autoSpaceDE w:val="0"/>
              <w:autoSpaceDN w:val="0"/>
              <w:adjustRightInd w:val="0"/>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（2）公路工程相关专业工程师职称；</w:t>
            </w:r>
          </w:p>
          <w:p w14:paraId="7BC20C8B">
            <w:pPr>
              <w:wordWrap w:val="0"/>
              <w:autoSpaceDE w:val="0"/>
              <w:autoSpaceDN w:val="0"/>
              <w:adjustRightInd w:val="0"/>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（3）具有建设行政主管部门颁发的公路工程专业《</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级建造师电子注册证书》，且现注册单位为投标人；</w:t>
            </w:r>
          </w:p>
          <w:p w14:paraId="0BEA7C72">
            <w:pPr>
              <w:wordWrap w:val="0"/>
              <w:autoSpaceDE w:val="0"/>
              <w:autoSpaceDN w:val="0"/>
              <w:adjustRightInd w:val="0"/>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（4）具有交通运输主管部门颁发的有效的B类安全生产考核合格证书。</w:t>
            </w:r>
          </w:p>
          <w:p w14:paraId="764E51C3">
            <w:pPr>
              <w:wordWrap w:val="0"/>
              <w:autoSpaceDE w:val="0"/>
              <w:autoSpaceDN w:val="0"/>
              <w:adjustRightInd w:val="0"/>
              <w:spacing w:line="360" w:lineRule="exact"/>
              <w:rPr>
                <w:rFonts w:ascii="宋体" w:hAnsi="宋体" w:cs="宋体"/>
                <w:color w:val="auto"/>
                <w:sz w:val="21"/>
                <w:szCs w:val="21"/>
                <w:highlight w:val="none"/>
              </w:rPr>
            </w:pPr>
          </w:p>
        </w:tc>
        <w:tc>
          <w:tcPr>
            <w:tcW w:w="665" w:type="pct"/>
            <w:vMerge w:val="restart"/>
            <w:vAlign w:val="center"/>
          </w:tcPr>
          <w:p w14:paraId="5FD6D9EB">
            <w:pPr>
              <w:adjustRightInd w:val="0"/>
              <w:snapToGrid w:val="0"/>
              <w:rPr>
                <w:rFonts w:ascii="宋体" w:hAnsi="宋体"/>
                <w:color w:val="auto"/>
                <w:szCs w:val="21"/>
                <w:highlight w:val="none"/>
              </w:rPr>
            </w:pPr>
            <w:r>
              <w:rPr>
                <w:rFonts w:hint="eastAsia" w:ascii="宋体" w:hAnsi="宋体"/>
                <w:color w:val="auto"/>
                <w:szCs w:val="21"/>
                <w:highlight w:val="none"/>
              </w:rPr>
              <w:t>无在岗项目(指目前未在其他项目上任职，或虽在其他项目上任职但本项目中标后能够从该项目撤离)</w:t>
            </w:r>
          </w:p>
        </w:tc>
      </w:tr>
      <w:tr w14:paraId="0AE4C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7" w:hRule="atLeast"/>
          <w:jc w:val="center"/>
        </w:trPr>
        <w:tc>
          <w:tcPr>
            <w:tcW w:w="616" w:type="pct"/>
            <w:vMerge w:val="continue"/>
            <w:vAlign w:val="center"/>
          </w:tcPr>
          <w:p w14:paraId="6A8BEA52">
            <w:pPr>
              <w:adjustRightInd w:val="0"/>
              <w:snapToGrid w:val="0"/>
              <w:spacing w:beforeLines="50"/>
              <w:jc w:val="center"/>
              <w:rPr>
                <w:rFonts w:ascii="宋体" w:hAnsi="宋体"/>
                <w:color w:val="auto"/>
                <w:sz w:val="21"/>
                <w:szCs w:val="21"/>
                <w:highlight w:val="none"/>
              </w:rPr>
            </w:pPr>
          </w:p>
        </w:tc>
        <w:tc>
          <w:tcPr>
            <w:tcW w:w="727" w:type="pct"/>
            <w:vAlign w:val="center"/>
          </w:tcPr>
          <w:p w14:paraId="7561CAA7">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w:t>
            </w:r>
          </w:p>
          <w:p w14:paraId="24D09E97">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总工</w:t>
            </w:r>
          </w:p>
        </w:tc>
        <w:tc>
          <w:tcPr>
            <w:tcW w:w="369" w:type="pct"/>
            <w:vAlign w:val="center"/>
          </w:tcPr>
          <w:p w14:paraId="4DBA1AD5">
            <w:pPr>
              <w:autoSpaceDE w:val="0"/>
              <w:autoSpaceDN w:val="0"/>
              <w:adjustRightIn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167" w:type="dxa"/>
            <w:vAlign w:val="center"/>
          </w:tcPr>
          <w:p w14:paraId="53AFEFBF">
            <w:pPr>
              <w:wordWrap w:val="0"/>
              <w:autoSpaceDE w:val="0"/>
              <w:autoSpaceDN w:val="0"/>
              <w:adjustRightInd w:val="0"/>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（1）投标人自有人员</w:t>
            </w:r>
            <w:r>
              <w:rPr>
                <w:rFonts w:hint="eastAsia" w:ascii="宋体" w:hAnsi="宋体" w:cs="宋体"/>
                <w:color w:val="auto"/>
                <w:sz w:val="21"/>
                <w:szCs w:val="21"/>
                <w:highlight w:val="none"/>
                <w:lang w:val="en-US" w:eastAsia="zh-CN"/>
              </w:rPr>
              <w:t>（以联合体形式投标，项目</w:t>
            </w:r>
            <w:r>
              <w:rPr>
                <w:rFonts w:hint="eastAsia" w:ascii="宋体" w:hAnsi="宋体" w:cs="宋体"/>
                <w:color w:val="auto"/>
                <w:sz w:val="21"/>
                <w:szCs w:val="21"/>
                <w:highlight w:val="none"/>
              </w:rPr>
              <w:t>总工</w:t>
            </w:r>
            <w:r>
              <w:rPr>
                <w:rFonts w:hint="eastAsia" w:ascii="宋体" w:hAnsi="宋体" w:cs="宋体"/>
                <w:color w:val="auto"/>
                <w:sz w:val="21"/>
                <w:szCs w:val="21"/>
                <w:highlight w:val="none"/>
                <w:lang w:val="en-US" w:eastAsia="zh-CN"/>
              </w:rPr>
              <w:t>须为联合体牵头人自有人员）</w:t>
            </w:r>
            <w:r>
              <w:rPr>
                <w:rFonts w:hint="eastAsia" w:ascii="宋体" w:hAnsi="宋体" w:cs="宋体"/>
                <w:color w:val="auto"/>
                <w:sz w:val="21"/>
                <w:szCs w:val="21"/>
                <w:highlight w:val="none"/>
              </w:rPr>
              <w:t>；</w:t>
            </w:r>
          </w:p>
          <w:p w14:paraId="7C951379">
            <w:pPr>
              <w:wordWrap w:val="0"/>
              <w:autoSpaceDE w:val="0"/>
              <w:autoSpaceDN w:val="0"/>
              <w:adjustRightInd w:val="0"/>
              <w:spacing w:line="36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（2）公路工程相关专业高级工程师职称</w:t>
            </w:r>
            <w:r>
              <w:rPr>
                <w:rFonts w:hint="eastAsia" w:ascii="宋体" w:hAnsi="宋体" w:cs="宋体"/>
                <w:color w:val="auto"/>
                <w:sz w:val="21"/>
                <w:szCs w:val="21"/>
                <w:highlight w:val="none"/>
                <w:lang w:eastAsia="zh-CN"/>
              </w:rPr>
              <w:t>。</w:t>
            </w:r>
          </w:p>
          <w:p w14:paraId="3DE43D5F">
            <w:pPr>
              <w:wordWrap w:val="0"/>
              <w:autoSpaceDE w:val="0"/>
              <w:autoSpaceDN w:val="0"/>
              <w:adjustRightInd w:val="0"/>
              <w:spacing w:line="36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）具有交通运输主管部门颁发的有效的B类安全生产考核合格证书。</w:t>
            </w:r>
          </w:p>
        </w:tc>
        <w:tc>
          <w:tcPr>
            <w:tcW w:w="665" w:type="pct"/>
            <w:vMerge w:val="continue"/>
            <w:vAlign w:val="center"/>
          </w:tcPr>
          <w:p w14:paraId="47FF0745">
            <w:pPr>
              <w:adjustRightInd w:val="0"/>
              <w:snapToGrid w:val="0"/>
              <w:rPr>
                <w:rFonts w:ascii="宋体" w:hAnsi="宋体"/>
                <w:color w:val="auto"/>
                <w:szCs w:val="21"/>
                <w:highlight w:val="none"/>
              </w:rPr>
            </w:pPr>
          </w:p>
        </w:tc>
      </w:tr>
    </w:tbl>
    <w:p w14:paraId="577D9AA8">
      <w:pPr>
        <w:rPr>
          <w:rFonts w:ascii="宋体" w:hAnsi="宋体"/>
          <w:color w:val="auto"/>
          <w:highlight w:val="none"/>
        </w:rPr>
      </w:pPr>
    </w:p>
    <w:p w14:paraId="0D0879DF">
      <w:pPr>
        <w:rPr>
          <w:rFonts w:ascii="楷体" w:hAnsi="楷体" w:eastAsia="楷体"/>
          <w:color w:val="auto"/>
          <w:highlight w:val="none"/>
        </w:rPr>
      </w:pPr>
      <w:r>
        <w:rPr>
          <w:rFonts w:hint="eastAsia" w:ascii="楷体" w:hAnsi="楷体" w:eastAsia="楷体"/>
          <w:color w:val="auto"/>
          <w:highlight w:val="none"/>
        </w:rPr>
        <w:t>注：1、</w:t>
      </w:r>
      <w:r>
        <w:rPr>
          <w:rFonts w:hint="eastAsia" w:ascii="楷体" w:hAnsi="楷体" w:eastAsia="楷体"/>
          <w:color w:val="auto"/>
          <w:highlight w:val="none"/>
          <w:lang w:val="en-US" w:eastAsia="zh-CN"/>
        </w:rPr>
        <w:t>项目经理和项目总工</w:t>
      </w:r>
      <w:r>
        <w:rPr>
          <w:rFonts w:hint="eastAsia" w:ascii="楷体" w:hAnsi="楷体" w:eastAsia="楷体"/>
          <w:color w:val="auto"/>
          <w:highlight w:val="none"/>
        </w:rPr>
        <w:t>不得兼职。</w:t>
      </w:r>
    </w:p>
    <w:p w14:paraId="6F11965B">
      <w:pPr>
        <w:ind w:firstLine="420" w:firstLineChars="200"/>
        <w:rPr>
          <w:rFonts w:eastAsia="楷体"/>
          <w:color w:val="auto"/>
          <w:highlight w:val="none"/>
        </w:rPr>
      </w:pPr>
      <w:r>
        <w:rPr>
          <w:rFonts w:hint="eastAsia" w:ascii="楷体" w:hAnsi="楷体" w:eastAsia="楷体"/>
          <w:color w:val="auto"/>
          <w:highlight w:val="none"/>
        </w:rPr>
        <w:t>2、“投标人自有人员”指投标人为其申报社会保险登记，并为其缴纳社会保险费的人员。</w:t>
      </w:r>
    </w:p>
    <w:p w14:paraId="72CB4C27">
      <w:pPr>
        <w:pStyle w:val="2"/>
        <w:snapToGrid w:val="0"/>
        <w:spacing w:before="0" w:after="0" w:line="240" w:lineRule="auto"/>
        <w:ind w:firstLine="210" w:firstLineChars="100"/>
        <w:jc w:val="center"/>
        <w:rPr>
          <w:rFonts w:hint="eastAsia" w:ascii="楷体" w:hAnsi="楷体" w:eastAsia="楷体" w:cs="Times New Roman"/>
          <w:b w:val="0"/>
          <w:bCs w:val="0"/>
          <w:color w:val="auto"/>
          <w:kern w:val="2"/>
          <w:sz w:val="21"/>
          <w:szCs w:val="22"/>
          <w:highlight w:val="none"/>
          <w:lang w:val="en-US" w:eastAsia="zh-CN" w:bidi="ar-SA"/>
        </w:rPr>
      </w:pPr>
      <w:r>
        <w:rPr>
          <w:rFonts w:hint="eastAsia" w:ascii="楷体" w:hAnsi="楷体" w:eastAsia="楷体" w:cs="Times New Roman"/>
          <w:b w:val="0"/>
          <w:bCs w:val="0"/>
          <w:color w:val="auto"/>
          <w:kern w:val="2"/>
          <w:sz w:val="21"/>
          <w:szCs w:val="22"/>
          <w:highlight w:val="none"/>
          <w:lang w:val="en-US" w:eastAsia="zh-CN" w:bidi="ar-SA"/>
        </w:rPr>
        <w:t xml:space="preserve">  3、公路工程相关专业职称包括公路工程、桥梁工程、公路与桥梁工程、交通土建、隧</w:t>
      </w:r>
    </w:p>
    <w:p w14:paraId="78EFE51F">
      <w:pPr>
        <w:pStyle w:val="2"/>
        <w:snapToGrid w:val="0"/>
        <w:spacing w:before="0" w:after="0" w:line="240" w:lineRule="auto"/>
        <w:jc w:val="both"/>
        <w:rPr>
          <w:rFonts w:hint="eastAsia" w:ascii="楷体" w:hAnsi="楷体" w:eastAsia="楷体" w:cs="Times New Roman"/>
          <w:b w:val="0"/>
          <w:bCs w:val="0"/>
          <w:color w:val="auto"/>
          <w:kern w:val="2"/>
          <w:sz w:val="21"/>
          <w:szCs w:val="22"/>
          <w:highlight w:val="none"/>
          <w:lang w:val="en-US" w:eastAsia="zh-CN" w:bidi="ar-SA"/>
        </w:rPr>
      </w:pPr>
      <w:r>
        <w:rPr>
          <w:rFonts w:hint="eastAsia" w:ascii="楷体" w:hAnsi="楷体" w:eastAsia="楷体" w:cs="Times New Roman"/>
          <w:b w:val="0"/>
          <w:bCs w:val="0"/>
          <w:color w:val="auto"/>
          <w:kern w:val="2"/>
          <w:sz w:val="21"/>
          <w:szCs w:val="22"/>
          <w:highlight w:val="none"/>
          <w:lang w:val="en-US" w:eastAsia="zh-CN" w:bidi="ar-SA"/>
        </w:rPr>
        <w:t>道（地下结构）工程、交通工程等专业职称。如职称证上无专业，则以毕业证上的专业为准。</w:t>
      </w:r>
    </w:p>
    <w:p w14:paraId="7449F1A1">
      <w:pPr>
        <w:rPr>
          <w:rFonts w:hint="eastAsia" w:ascii="楷体" w:hAnsi="楷体" w:eastAsia="楷体" w:cs="Times New Roman"/>
          <w:b w:val="0"/>
          <w:bCs w:val="0"/>
          <w:color w:val="auto"/>
          <w:kern w:val="2"/>
          <w:sz w:val="21"/>
          <w:szCs w:val="22"/>
          <w:highlight w:val="none"/>
          <w:lang w:val="en-US" w:eastAsia="zh-CN" w:bidi="ar-SA"/>
        </w:rPr>
      </w:pPr>
      <w:r>
        <w:rPr>
          <w:rFonts w:hint="eastAsia" w:ascii="楷体" w:hAnsi="楷体" w:eastAsia="楷体" w:cs="Times New Roman"/>
          <w:b w:val="0"/>
          <w:bCs w:val="0"/>
          <w:color w:val="auto"/>
          <w:kern w:val="2"/>
          <w:sz w:val="21"/>
          <w:szCs w:val="22"/>
          <w:highlight w:val="none"/>
          <w:lang w:val="en-US" w:eastAsia="zh-CN" w:bidi="ar-SA"/>
        </w:rPr>
        <w:br w:type="page"/>
      </w:r>
    </w:p>
    <w:p w14:paraId="228B1648">
      <w:pPr>
        <w:keepNext w:val="0"/>
        <w:keepLines w:val="0"/>
        <w:pageBreakBefore w:val="0"/>
        <w:widowControl w:val="0"/>
        <w:numPr>
          <w:ilvl w:val="0"/>
          <w:numId w:val="2"/>
        </w:numPr>
        <w:kinsoku/>
        <w:wordWrap/>
        <w:overflowPunct/>
        <w:topLinePunct w:val="0"/>
        <w:autoSpaceDE/>
        <w:autoSpaceDN/>
        <w:bidi w:val="0"/>
        <w:spacing w:line="320" w:lineRule="exact"/>
        <w:textAlignment w:val="auto"/>
        <w:rPr>
          <w:rFonts w:hint="default"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评标办法前附表</w:t>
      </w:r>
    </w:p>
    <w:tbl>
      <w:tblPr>
        <w:tblStyle w:val="6"/>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0" w:type="dxa"/>
          <w:bottom w:w="85" w:type="dxa"/>
          <w:right w:w="0" w:type="dxa"/>
        </w:tblCellMar>
      </w:tblPr>
      <w:tblGrid>
        <w:gridCol w:w="856"/>
        <w:gridCol w:w="1389"/>
        <w:gridCol w:w="7383"/>
      </w:tblGrid>
      <w:tr w14:paraId="663D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570" w:hRule="atLeast"/>
          <w:tblHeader/>
          <w:jc w:val="center"/>
        </w:trPr>
        <w:tc>
          <w:tcPr>
            <w:tcW w:w="2245" w:type="dxa"/>
            <w:gridSpan w:val="2"/>
            <w:shd w:val="clear" w:color="auto" w:fill="auto"/>
            <w:vAlign w:val="center"/>
          </w:tcPr>
          <w:p w14:paraId="2A63CC80">
            <w:pPr>
              <w:autoSpaceDE w:val="0"/>
              <w:autoSpaceDN w:val="0"/>
              <w:adjustRightInd w:val="0"/>
              <w:snapToGrid w:val="0"/>
              <w:spacing w:line="300" w:lineRule="auto"/>
              <w:ind w:firstLine="210" w:firstLineChars="100"/>
              <w:jc w:val="center"/>
              <w:rPr>
                <w:rFonts w:ascii="宋体" w:hAnsi="宋体"/>
                <w:color w:val="auto"/>
                <w:szCs w:val="21"/>
                <w:highlight w:val="none"/>
              </w:rPr>
            </w:pPr>
            <w:r>
              <w:rPr>
                <w:rFonts w:ascii="宋体" w:hAnsi="宋体"/>
                <w:color w:val="auto"/>
                <w:szCs w:val="21"/>
                <w:highlight w:val="none"/>
              </w:rPr>
              <w:t>条款号</w:t>
            </w:r>
          </w:p>
        </w:tc>
        <w:tc>
          <w:tcPr>
            <w:tcW w:w="7383" w:type="dxa"/>
            <w:shd w:val="clear" w:color="auto" w:fill="auto"/>
            <w:vAlign w:val="center"/>
          </w:tcPr>
          <w:p w14:paraId="6D12642D">
            <w:pPr>
              <w:autoSpaceDE w:val="0"/>
              <w:autoSpaceDN w:val="0"/>
              <w:adjustRightInd w:val="0"/>
              <w:snapToGrid w:val="0"/>
              <w:spacing w:line="300" w:lineRule="auto"/>
              <w:ind w:firstLine="210" w:firstLineChars="100"/>
              <w:jc w:val="center"/>
              <w:rPr>
                <w:rFonts w:ascii="宋体" w:hAnsi="宋体"/>
                <w:color w:val="auto"/>
                <w:szCs w:val="21"/>
                <w:highlight w:val="none"/>
              </w:rPr>
            </w:pPr>
            <w:r>
              <w:rPr>
                <w:rFonts w:ascii="宋体" w:hAnsi="宋体"/>
                <w:color w:val="auto"/>
                <w:szCs w:val="21"/>
                <w:highlight w:val="none"/>
              </w:rPr>
              <w:t>评审因素与评审标准</w:t>
            </w:r>
          </w:p>
        </w:tc>
      </w:tr>
      <w:tr w14:paraId="110E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1666" w:hRule="atLeast"/>
          <w:jc w:val="center"/>
        </w:trPr>
        <w:tc>
          <w:tcPr>
            <w:tcW w:w="856" w:type="dxa"/>
            <w:shd w:val="clear" w:color="auto" w:fill="auto"/>
            <w:vAlign w:val="center"/>
          </w:tcPr>
          <w:p w14:paraId="21AC445A">
            <w:pPr>
              <w:autoSpaceDE w:val="0"/>
              <w:autoSpaceDN w:val="0"/>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w:t>
            </w:r>
          </w:p>
        </w:tc>
        <w:tc>
          <w:tcPr>
            <w:tcW w:w="1389" w:type="dxa"/>
            <w:shd w:val="clear" w:color="auto" w:fill="auto"/>
            <w:vAlign w:val="center"/>
          </w:tcPr>
          <w:p w14:paraId="76C63F21">
            <w:pPr>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评标方法</w:t>
            </w:r>
          </w:p>
        </w:tc>
        <w:tc>
          <w:tcPr>
            <w:tcW w:w="7383" w:type="dxa"/>
            <w:shd w:val="clear" w:color="auto" w:fill="auto"/>
            <w:vAlign w:val="center"/>
          </w:tcPr>
          <w:p w14:paraId="6A6D56FE">
            <w:pPr>
              <w:adjustRightInd w:val="0"/>
              <w:snapToGrid w:val="0"/>
              <w:ind w:firstLine="210" w:firstLineChars="100"/>
              <w:jc w:val="left"/>
              <w:rPr>
                <w:rFonts w:ascii="宋体" w:hAnsi="宋体"/>
                <w:color w:val="auto"/>
                <w:szCs w:val="21"/>
                <w:highlight w:val="none"/>
              </w:rPr>
            </w:pPr>
            <w:r>
              <w:rPr>
                <w:rFonts w:hint="eastAsia" w:ascii="宋体" w:hAnsi="宋体"/>
                <w:color w:val="auto"/>
                <w:szCs w:val="21"/>
                <w:highlight w:val="none"/>
              </w:rPr>
              <w:t>评标价相等时，评标委员会依次按照以下优先顺序推荐中标候选人：</w:t>
            </w:r>
          </w:p>
          <w:p w14:paraId="60A05578">
            <w:pPr>
              <w:adjustRightInd w:val="0"/>
              <w:snapToGrid w:val="0"/>
              <w:ind w:firstLine="210" w:firstLineChars="1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被吉林省交通运输厅在</w:t>
            </w: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年度公路建设市场吉林省省级综合评价结果的通告中评为较高信用等级的投标人优先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联合体投标的，以各成员企业信用评价等级低的为准</w:t>
            </w:r>
            <w:r>
              <w:rPr>
                <w:rFonts w:hint="eastAsia" w:ascii="宋体" w:hAnsi="宋体" w:cs="Times New Roman"/>
                <w:color w:val="auto"/>
                <w:szCs w:val="21"/>
                <w:highlight w:val="none"/>
                <w:lang w:val="en-US" w:eastAsia="zh-CN"/>
              </w:rPr>
              <w:t>）</w:t>
            </w:r>
            <w:r>
              <w:rPr>
                <w:rFonts w:hint="eastAsia" w:ascii="宋体" w:hAnsi="宋体"/>
                <w:color w:val="auto"/>
                <w:szCs w:val="21"/>
                <w:highlight w:val="none"/>
              </w:rPr>
              <w:t>；</w:t>
            </w:r>
          </w:p>
          <w:p w14:paraId="4E5826FA">
            <w:pPr>
              <w:adjustRightInd w:val="0"/>
              <w:snapToGrid w:val="0"/>
              <w:ind w:firstLine="210" w:firstLineChars="100"/>
              <w:jc w:val="left"/>
              <w:rPr>
                <w:rFonts w:ascii="宋体" w:hAnsi="宋体"/>
                <w:color w:val="auto"/>
                <w:szCs w:val="21"/>
                <w:highlight w:val="none"/>
              </w:rPr>
            </w:pPr>
            <w:r>
              <w:rPr>
                <w:rFonts w:hint="eastAsia" w:ascii="宋体" w:hAnsi="宋体"/>
                <w:color w:val="auto"/>
                <w:szCs w:val="21"/>
                <w:highlight w:val="none"/>
              </w:rPr>
              <w:t>（2）商务和技术得分较高的投标人优先；</w:t>
            </w:r>
          </w:p>
          <w:p w14:paraId="72B2C620">
            <w:pPr>
              <w:adjustRightInd w:val="0"/>
              <w:snapToGrid w:val="0"/>
              <w:ind w:firstLine="210" w:firstLineChars="100"/>
              <w:jc w:val="left"/>
              <w:rPr>
                <w:rFonts w:ascii="宋体" w:hAnsi="宋体"/>
                <w:color w:val="auto"/>
                <w:szCs w:val="21"/>
                <w:highlight w:val="none"/>
              </w:rPr>
            </w:pPr>
            <w:r>
              <w:rPr>
                <w:rFonts w:hint="eastAsia" w:ascii="宋体" w:hAnsi="宋体"/>
                <w:color w:val="auto"/>
                <w:szCs w:val="21"/>
                <w:highlight w:val="none"/>
              </w:rPr>
              <w:t>（3）评标委员会投票确定。</w:t>
            </w:r>
          </w:p>
        </w:tc>
      </w:tr>
      <w:tr w14:paraId="08809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992" w:hRule="atLeast"/>
          <w:jc w:val="center"/>
        </w:trPr>
        <w:tc>
          <w:tcPr>
            <w:tcW w:w="856" w:type="dxa"/>
            <w:shd w:val="clear" w:color="auto" w:fill="auto"/>
            <w:vAlign w:val="center"/>
          </w:tcPr>
          <w:p w14:paraId="1AA000AA">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2.1.1</w:t>
            </w:r>
          </w:p>
          <w:p w14:paraId="3E4B1312">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2.1.3</w:t>
            </w:r>
          </w:p>
        </w:tc>
        <w:tc>
          <w:tcPr>
            <w:tcW w:w="1389" w:type="dxa"/>
            <w:shd w:val="clear" w:color="auto" w:fill="auto"/>
            <w:vAlign w:val="center"/>
          </w:tcPr>
          <w:p w14:paraId="1ADD8382">
            <w:pPr>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形式评审与</w:t>
            </w:r>
          </w:p>
          <w:p w14:paraId="1953E55D">
            <w:pPr>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响应性评审</w:t>
            </w:r>
          </w:p>
          <w:p w14:paraId="075376D2">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标准</w:t>
            </w:r>
          </w:p>
        </w:tc>
        <w:tc>
          <w:tcPr>
            <w:tcW w:w="7383" w:type="dxa"/>
            <w:shd w:val="clear" w:color="auto" w:fill="auto"/>
            <w:vAlign w:val="center"/>
          </w:tcPr>
          <w:p w14:paraId="1A535481">
            <w:pPr>
              <w:spacing w:beforeLines="50"/>
              <w:ind w:firstLine="211" w:firstLineChars="100"/>
              <w:rPr>
                <w:rFonts w:ascii="宋体" w:hAnsi="宋体"/>
                <w:b/>
                <w:color w:val="auto"/>
                <w:highlight w:val="none"/>
              </w:rPr>
            </w:pPr>
            <w:r>
              <w:rPr>
                <w:rFonts w:hint="eastAsia" w:ascii="宋体" w:hAnsi="宋体"/>
                <w:b/>
                <w:color w:val="auto"/>
                <w:highlight w:val="none"/>
              </w:rPr>
              <w:t>第一个信封（商务及技术文件）评审标准：</w:t>
            </w:r>
          </w:p>
          <w:p w14:paraId="2A515412">
            <w:pPr>
              <w:numPr>
                <w:ilvl w:val="0"/>
                <w:numId w:val="3"/>
              </w:numPr>
              <w:ind w:left="0" w:firstLine="210" w:firstLineChars="100"/>
              <w:rPr>
                <w:rFonts w:ascii="宋体" w:hAnsi="宋体"/>
                <w:color w:val="auto"/>
                <w:szCs w:val="21"/>
                <w:highlight w:val="none"/>
              </w:rPr>
            </w:pPr>
            <w:r>
              <w:rPr>
                <w:rFonts w:hint="eastAsia" w:ascii="宋体" w:hAnsi="宋体"/>
                <w:color w:val="auto"/>
                <w:szCs w:val="21"/>
                <w:highlight w:val="none"/>
              </w:rPr>
              <w:t>投标文件按照招标文件规定的格式、内容填写，字迹清晰可辨：</w:t>
            </w:r>
          </w:p>
          <w:p w14:paraId="3924DA58">
            <w:pPr>
              <w:ind w:firstLine="420" w:firstLineChars="200"/>
              <w:rPr>
                <w:rFonts w:ascii="宋体" w:hAnsi="宋体"/>
                <w:color w:val="auto"/>
                <w:szCs w:val="21"/>
                <w:highlight w:val="none"/>
              </w:rPr>
            </w:pPr>
            <w:r>
              <w:rPr>
                <w:rFonts w:hint="eastAsia" w:ascii="宋体" w:hAnsi="宋体"/>
                <w:color w:val="auto"/>
                <w:szCs w:val="21"/>
                <w:highlight w:val="none"/>
              </w:rPr>
              <w:t>a.投标函按招标文件规定填报了项目名称、标段号、补遗书编号（如有）、工期、工程质量要求及安全目标；</w:t>
            </w:r>
          </w:p>
          <w:p w14:paraId="7E18D092">
            <w:pPr>
              <w:ind w:firstLine="420" w:firstLineChars="200"/>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14:paraId="5711CB30">
            <w:pPr>
              <w:ind w:firstLine="420" w:firstLineChars="200"/>
              <w:rPr>
                <w:rFonts w:ascii="宋体" w:hAnsi="宋体"/>
                <w:color w:val="auto"/>
                <w:szCs w:val="21"/>
                <w:highlight w:val="none"/>
              </w:rPr>
            </w:pPr>
            <w:r>
              <w:rPr>
                <w:rFonts w:hint="eastAsia" w:ascii="宋体" w:hAnsi="宋体"/>
                <w:color w:val="auto"/>
                <w:szCs w:val="21"/>
                <w:highlight w:val="none"/>
              </w:rPr>
              <w:t xml:space="preserve">c.投标文件组成齐全完整，内容均按规定填写。 </w:t>
            </w:r>
          </w:p>
          <w:p w14:paraId="083B0837">
            <w:pPr>
              <w:numPr>
                <w:ilvl w:val="0"/>
                <w:numId w:val="3"/>
              </w:numPr>
              <w:ind w:left="0" w:firstLine="210" w:firstLineChars="100"/>
              <w:rPr>
                <w:rFonts w:ascii="宋体" w:hAnsi="宋体"/>
                <w:color w:val="auto"/>
                <w:szCs w:val="21"/>
                <w:highlight w:val="none"/>
              </w:rPr>
            </w:pPr>
            <w:r>
              <w:rPr>
                <w:rFonts w:hint="eastAsia" w:ascii="宋体" w:hAnsi="宋体"/>
                <w:color w:val="auto"/>
                <w:szCs w:val="21"/>
                <w:highlight w:val="none"/>
              </w:rPr>
              <w:t>投标文件上法定代表人或其委托代理人的签字、投标人的单位章盖章齐全，符合招标文件规定。</w:t>
            </w:r>
          </w:p>
          <w:p w14:paraId="477783DC">
            <w:pPr>
              <w:numPr>
                <w:ilvl w:val="0"/>
                <w:numId w:val="3"/>
              </w:numPr>
              <w:ind w:left="0" w:firstLine="210" w:firstLineChars="100"/>
              <w:rPr>
                <w:rFonts w:ascii="宋体" w:hAnsi="宋体"/>
                <w:color w:val="auto"/>
                <w:szCs w:val="21"/>
                <w:highlight w:val="none"/>
              </w:rPr>
            </w:pPr>
            <w:r>
              <w:rPr>
                <w:rFonts w:hint="eastAsia" w:ascii="宋体" w:hAnsi="宋体"/>
                <w:color w:val="auto"/>
                <w:szCs w:val="21"/>
                <w:highlight w:val="none"/>
              </w:rPr>
              <w:t>投标人按照招标文件的规定提供了投标保证金：</w:t>
            </w:r>
          </w:p>
          <w:p w14:paraId="0064BE5E">
            <w:pPr>
              <w:ind w:firstLine="420" w:firstLineChars="200"/>
              <w:rPr>
                <w:rFonts w:ascii="宋体" w:hAnsi="宋体"/>
                <w:color w:val="auto"/>
                <w:szCs w:val="21"/>
                <w:highlight w:val="none"/>
              </w:rPr>
            </w:pPr>
            <w:r>
              <w:rPr>
                <w:rFonts w:hint="eastAsia" w:ascii="宋体" w:hAnsi="宋体"/>
                <w:color w:val="auto"/>
                <w:szCs w:val="21"/>
                <w:highlight w:val="none"/>
              </w:rPr>
              <w:t>a.投标保证金金额符合招标文件规定的金额，且投标保证金有效期不少于投标有效期；</w:t>
            </w:r>
          </w:p>
          <w:p w14:paraId="32506928">
            <w:pPr>
              <w:ind w:firstLine="420" w:firstLineChars="200"/>
              <w:rPr>
                <w:rFonts w:ascii="宋体" w:hAnsi="宋体"/>
                <w:color w:val="auto"/>
                <w:szCs w:val="21"/>
                <w:highlight w:val="none"/>
              </w:rPr>
            </w:pPr>
            <w:r>
              <w:rPr>
                <w:rFonts w:hint="eastAsia" w:ascii="宋体" w:hAnsi="宋体"/>
                <w:color w:val="auto"/>
                <w:szCs w:val="21"/>
                <w:highlight w:val="none"/>
              </w:rPr>
              <w:t>b.若投标保证金采用现金或支票形式提交，投标人应在</w:t>
            </w:r>
            <w:r>
              <w:rPr>
                <w:rFonts w:hint="eastAsia" w:ascii="宋体" w:hAnsi="宋体" w:cs="宋体"/>
                <w:bCs/>
                <w:color w:val="auto"/>
                <w:szCs w:val="21"/>
                <w:highlight w:val="none"/>
                <w:lang w:val="zh-CN"/>
              </w:rPr>
              <w:t>递交投标文件截止时间之前</w:t>
            </w:r>
            <w:r>
              <w:rPr>
                <w:rFonts w:hint="eastAsia" w:ascii="宋体" w:hAnsi="宋体"/>
                <w:color w:val="auto"/>
                <w:szCs w:val="21"/>
                <w:highlight w:val="none"/>
              </w:rPr>
              <w:t>，</w:t>
            </w:r>
            <w:r>
              <w:rPr>
                <w:rFonts w:ascii="宋体" w:hAnsi="宋体"/>
                <w:color w:val="auto"/>
                <w:highlight w:val="none"/>
              </w:rPr>
              <w:t>将投标保证金由投标人的基本账户</w:t>
            </w:r>
            <w:r>
              <w:rPr>
                <w:rFonts w:hint="eastAsia" w:ascii="宋体" w:hAnsi="宋体"/>
                <w:color w:val="auto"/>
                <w:highlight w:val="none"/>
              </w:rPr>
              <w:t>一次性</w:t>
            </w:r>
            <w:r>
              <w:rPr>
                <w:rFonts w:ascii="宋体" w:hAnsi="宋体"/>
                <w:color w:val="auto"/>
                <w:highlight w:val="none"/>
              </w:rPr>
              <w:t>转入</w:t>
            </w:r>
            <w:r>
              <w:rPr>
                <w:rFonts w:hint="eastAsia" w:ascii="宋体" w:hAnsi="宋体"/>
                <w:color w:val="auto"/>
                <w:highlight w:val="none"/>
              </w:rPr>
              <w:t>并到达</w:t>
            </w:r>
            <w:r>
              <w:rPr>
                <w:rFonts w:ascii="宋体" w:hAnsi="宋体"/>
                <w:color w:val="auto"/>
                <w:highlight w:val="none"/>
              </w:rPr>
              <w:t>招标人指定账户</w:t>
            </w:r>
            <w:r>
              <w:rPr>
                <w:rFonts w:hint="eastAsia" w:ascii="宋体" w:hAnsi="宋体"/>
                <w:color w:val="auto"/>
                <w:szCs w:val="21"/>
                <w:highlight w:val="none"/>
              </w:rPr>
              <w:t>；</w:t>
            </w:r>
          </w:p>
          <w:p w14:paraId="7D0D696B">
            <w:pPr>
              <w:ind w:firstLine="420" w:firstLineChars="200"/>
              <w:rPr>
                <w:rFonts w:ascii="宋体" w:hAnsi="宋体"/>
                <w:color w:val="auto"/>
                <w:szCs w:val="21"/>
                <w:highlight w:val="none"/>
              </w:rPr>
            </w:pPr>
            <w:r>
              <w:rPr>
                <w:rFonts w:hint="eastAsia" w:ascii="宋体" w:hAnsi="宋体"/>
                <w:color w:val="auto"/>
                <w:szCs w:val="21"/>
                <w:highlight w:val="none"/>
              </w:rPr>
              <w:t>c.若投标保证金采用保函</w:t>
            </w:r>
            <w:r>
              <w:rPr>
                <w:rFonts w:hint="eastAsia" w:ascii="宋体" w:hAnsi="宋体"/>
                <w:color w:val="auto"/>
                <w:szCs w:val="21"/>
                <w:highlight w:val="none"/>
                <w:lang w:val="en-US" w:eastAsia="zh-CN"/>
              </w:rPr>
              <w:t>或保单</w:t>
            </w:r>
            <w:r>
              <w:rPr>
                <w:rFonts w:hint="eastAsia" w:ascii="宋体" w:hAnsi="宋体"/>
                <w:color w:val="auto"/>
                <w:szCs w:val="21"/>
                <w:highlight w:val="none"/>
              </w:rPr>
              <w:t>形式提交，银行保函</w:t>
            </w:r>
            <w:r>
              <w:rPr>
                <w:rFonts w:hint="eastAsia" w:ascii="宋体" w:hAnsi="宋体"/>
                <w:color w:val="auto"/>
                <w:szCs w:val="21"/>
                <w:highlight w:val="none"/>
                <w:lang w:val="en-US" w:eastAsia="zh-CN"/>
              </w:rPr>
              <w:t>或保单</w:t>
            </w:r>
            <w:r>
              <w:rPr>
                <w:rFonts w:hint="eastAsia" w:ascii="宋体" w:hAnsi="宋体"/>
                <w:color w:val="auto"/>
                <w:szCs w:val="21"/>
                <w:highlight w:val="none"/>
              </w:rPr>
              <w:t>符合招标文件规定。</w:t>
            </w:r>
          </w:p>
          <w:p w14:paraId="48859945">
            <w:pPr>
              <w:ind w:firstLine="210" w:firstLineChars="100"/>
              <w:rPr>
                <w:rFonts w:hint="eastAsia" w:ascii="宋体" w:hAnsi="宋体"/>
                <w:color w:val="auto"/>
                <w:szCs w:val="21"/>
                <w:highlight w:val="none"/>
              </w:rPr>
            </w:pPr>
            <w:r>
              <w:rPr>
                <w:rFonts w:hint="eastAsia" w:ascii="宋体" w:hAnsi="宋体"/>
                <w:color w:val="auto"/>
                <w:szCs w:val="21"/>
                <w:highlight w:val="none"/>
              </w:rPr>
              <w:t>（4）投标人法定代表人授权委托代理人签署投标文件的，须提交授权委托书，</w:t>
            </w:r>
            <w:r>
              <w:rPr>
                <w:rFonts w:hint="eastAsia" w:ascii="宋体" w:hAnsi="宋体"/>
                <w:color w:val="auto"/>
                <w:szCs w:val="21"/>
                <w:highlight w:val="none"/>
                <w:lang w:val="en-US" w:eastAsia="zh-CN"/>
              </w:rPr>
              <w:t>授权委托书符合招标文件规定</w:t>
            </w:r>
            <w:r>
              <w:rPr>
                <w:rFonts w:hint="eastAsia" w:ascii="宋体" w:hAnsi="宋体"/>
                <w:color w:val="auto"/>
                <w:szCs w:val="21"/>
                <w:highlight w:val="none"/>
              </w:rPr>
              <w:t>。</w:t>
            </w:r>
          </w:p>
          <w:p w14:paraId="69DEF8D8">
            <w:pPr>
              <w:ind w:firstLine="210" w:firstLineChars="100"/>
              <w:rPr>
                <w:rFonts w:ascii="宋体" w:hAnsi="宋体"/>
                <w:color w:val="auto"/>
                <w:szCs w:val="21"/>
                <w:highlight w:val="none"/>
              </w:rPr>
            </w:pPr>
            <w:r>
              <w:rPr>
                <w:rFonts w:hint="eastAsia" w:ascii="宋体" w:hAnsi="宋体"/>
                <w:color w:val="auto"/>
                <w:szCs w:val="21"/>
                <w:highlight w:val="none"/>
              </w:rPr>
              <w:t>（5）投标人法定代表人亲自签署投标文件的，提供了法定代表人身份证明，法定代表人身份证明</w:t>
            </w:r>
            <w:r>
              <w:rPr>
                <w:rFonts w:hint="eastAsia" w:ascii="宋体" w:hAnsi="宋体"/>
                <w:color w:val="auto"/>
                <w:szCs w:val="21"/>
                <w:highlight w:val="none"/>
                <w:lang w:val="en-US" w:eastAsia="zh-CN"/>
              </w:rPr>
              <w:t>符合招标文件规定</w:t>
            </w:r>
            <w:r>
              <w:rPr>
                <w:rFonts w:hint="eastAsia" w:ascii="宋体" w:hAnsi="宋体" w:eastAsia="宋体" w:cs="宋体"/>
                <w:color w:val="auto"/>
                <w:sz w:val="21"/>
                <w:szCs w:val="21"/>
                <w:highlight w:val="none"/>
              </w:rPr>
              <w:t>。</w:t>
            </w:r>
          </w:p>
          <w:p w14:paraId="3E2E8C91">
            <w:pPr>
              <w:ind w:firstLine="210" w:firstLineChars="100"/>
              <w:rPr>
                <w:rFonts w:hint="eastAsia" w:ascii="宋体" w:hAnsi="宋体"/>
                <w:color w:val="auto"/>
                <w:szCs w:val="21"/>
                <w:highlight w:val="none"/>
                <w:lang w:eastAsia="zh-CN"/>
              </w:rPr>
            </w:pPr>
            <w:r>
              <w:rPr>
                <w:rFonts w:hint="eastAsia" w:ascii="宋体" w:hAnsi="宋体"/>
                <w:color w:val="auto"/>
                <w:szCs w:val="21"/>
                <w:highlight w:val="none"/>
              </w:rPr>
              <w:t>（6）投标人以联合体形式投标时，联合体满足招标文件的要求</w:t>
            </w:r>
            <w:r>
              <w:rPr>
                <w:rFonts w:hint="eastAsia" w:ascii="宋体" w:hAnsi="宋体"/>
                <w:color w:val="auto"/>
                <w:szCs w:val="21"/>
                <w:highlight w:val="none"/>
                <w:lang w:eastAsia="zh-CN"/>
              </w:rPr>
              <w:t>：</w:t>
            </w:r>
          </w:p>
          <w:p w14:paraId="00960027">
            <w:pP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投标人按照招标文件提供的格式签订了联合体协议书，明确各方承担连带责任，并明确了联合体牵头人。</w:t>
            </w:r>
          </w:p>
          <w:p w14:paraId="3DD01E5C">
            <w:pPr>
              <w:ind w:firstLine="210" w:firstLineChars="10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投标人分包情况符合招标文件规定</w:t>
            </w:r>
            <w:r>
              <w:rPr>
                <w:rFonts w:hint="eastAsia" w:ascii="宋体" w:hAnsi="宋体"/>
                <w:color w:val="auto"/>
                <w:highlight w:val="none"/>
              </w:rPr>
              <w:t>。</w:t>
            </w:r>
          </w:p>
          <w:p w14:paraId="40D57CF9">
            <w:pPr>
              <w:ind w:firstLine="210" w:firstLineChars="100"/>
              <w:rPr>
                <w:rFonts w:ascii="宋体" w:hAnsi="宋体"/>
                <w:color w:val="auto"/>
                <w:szCs w:val="21"/>
                <w:highlight w:val="none"/>
              </w:rPr>
            </w:pPr>
            <w:r>
              <w:rPr>
                <w:rFonts w:hint="eastAsia" w:ascii="宋体" w:hAnsi="宋体"/>
                <w:color w:val="auto"/>
                <w:szCs w:val="21"/>
                <w:highlight w:val="none"/>
              </w:rPr>
              <w:t>（8）同一投标人在同一标段未提交两个以上不同的投标文件。</w:t>
            </w:r>
          </w:p>
          <w:p w14:paraId="1376AB6E">
            <w:pPr>
              <w:ind w:firstLine="210" w:firstLineChars="1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w:t>
            </w:r>
            <w:r>
              <w:rPr>
                <w:rFonts w:hint="eastAsia" w:ascii="宋体" w:hAnsi="宋体"/>
                <w:color w:val="auto"/>
                <w:szCs w:val="21"/>
                <w:highlight w:val="none"/>
              </w:rPr>
              <w:t>）投标文件中未出现有关投标报价的内容。</w:t>
            </w:r>
          </w:p>
          <w:p w14:paraId="1320FA81">
            <w:pPr>
              <w:ind w:firstLine="210" w:firstLineChars="1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）投标文件载明的招标项目完成期限未超过招标文件规定的时限。</w:t>
            </w:r>
          </w:p>
          <w:p w14:paraId="0FC568C3">
            <w:pPr>
              <w:ind w:firstLine="210" w:firstLineChars="1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）投标文件对招标文件的实质性要求和条件作出响应。</w:t>
            </w:r>
          </w:p>
          <w:p w14:paraId="0D079018">
            <w:pPr>
              <w:ind w:firstLine="210" w:firstLineChars="1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）权利义务符合招标文件规定：</w:t>
            </w:r>
          </w:p>
          <w:p w14:paraId="3E22743C">
            <w:pPr>
              <w:ind w:firstLine="420" w:firstLineChars="200"/>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a.投标人应接受招标文件规定的风险划分原则，未提出新的风险划分办法；</w:t>
            </w:r>
          </w:p>
          <w:p w14:paraId="7053BCCF">
            <w:pPr>
              <w:ind w:firstLine="420" w:firstLineChars="200"/>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14:paraId="7B2C1C12">
            <w:pPr>
              <w:ind w:firstLine="420" w:firstLineChars="200"/>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14:paraId="0B9B6E10">
            <w:pPr>
              <w:ind w:firstLine="420" w:firstLineChars="200"/>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14:paraId="3496016B">
            <w:pPr>
              <w:ind w:firstLine="420" w:firstLineChars="200"/>
              <w:rPr>
                <w:rFonts w:ascii="宋体" w:hAnsi="宋体"/>
                <w:color w:val="auto"/>
                <w:szCs w:val="21"/>
                <w:highlight w:val="none"/>
              </w:rPr>
            </w:pPr>
            <w:r>
              <w:rPr>
                <w:rFonts w:hint="eastAsia" w:ascii="宋体" w:hAnsi="宋体"/>
                <w:color w:val="auto"/>
                <w:szCs w:val="21"/>
                <w:highlight w:val="none"/>
              </w:rPr>
              <w:t>e.投标人在投标活动中无欺诈行为；</w:t>
            </w:r>
          </w:p>
          <w:p w14:paraId="374EA4CB">
            <w:pPr>
              <w:ind w:firstLine="420" w:firstLineChars="200"/>
              <w:rPr>
                <w:rFonts w:ascii="宋体" w:hAnsi="宋体"/>
                <w:color w:val="auto"/>
                <w:szCs w:val="21"/>
                <w:highlight w:val="none"/>
              </w:rPr>
            </w:pPr>
            <w:r>
              <w:rPr>
                <w:rFonts w:hint="eastAsia" w:ascii="宋体" w:hAnsi="宋体"/>
                <w:color w:val="auto"/>
                <w:szCs w:val="21"/>
                <w:highlight w:val="none"/>
              </w:rPr>
              <w:t>f.投标人未对合同条款有重要保留。</w:t>
            </w:r>
          </w:p>
        </w:tc>
      </w:tr>
      <w:tr w14:paraId="0EF6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3985" w:hRule="atLeast"/>
          <w:jc w:val="center"/>
        </w:trPr>
        <w:tc>
          <w:tcPr>
            <w:tcW w:w="856" w:type="dxa"/>
            <w:shd w:val="clear" w:color="auto" w:fill="auto"/>
            <w:vAlign w:val="center"/>
          </w:tcPr>
          <w:p w14:paraId="49DCA820">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2.1.1</w:t>
            </w:r>
          </w:p>
          <w:p w14:paraId="174710AF">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2.1.3</w:t>
            </w:r>
          </w:p>
        </w:tc>
        <w:tc>
          <w:tcPr>
            <w:tcW w:w="1389" w:type="dxa"/>
            <w:shd w:val="clear" w:color="auto" w:fill="auto"/>
            <w:vAlign w:val="center"/>
          </w:tcPr>
          <w:p w14:paraId="36F6D576">
            <w:pPr>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形式评审与</w:t>
            </w:r>
          </w:p>
          <w:p w14:paraId="31CD6304">
            <w:pPr>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响应性评审</w:t>
            </w:r>
          </w:p>
          <w:p w14:paraId="3CDF98F1">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标准</w:t>
            </w:r>
          </w:p>
        </w:tc>
        <w:tc>
          <w:tcPr>
            <w:tcW w:w="7383" w:type="dxa"/>
            <w:shd w:val="clear" w:color="auto" w:fill="auto"/>
          </w:tcPr>
          <w:p w14:paraId="1296F0F9">
            <w:pPr>
              <w:adjustRightInd w:val="0"/>
              <w:snapToGrid w:val="0"/>
              <w:ind w:firstLine="211" w:firstLineChars="100"/>
              <w:rPr>
                <w:rFonts w:ascii="宋体" w:hAnsi="宋体"/>
                <w:b/>
                <w:color w:val="auto"/>
                <w:highlight w:val="none"/>
              </w:rPr>
            </w:pPr>
            <w:r>
              <w:rPr>
                <w:rFonts w:hint="eastAsia" w:ascii="宋体" w:hAnsi="宋体"/>
                <w:b/>
                <w:color w:val="auto"/>
                <w:highlight w:val="none"/>
              </w:rPr>
              <w:t>第二个信封（报价文件）评审标准：</w:t>
            </w:r>
          </w:p>
          <w:p w14:paraId="06E46400">
            <w:pPr>
              <w:adjustRightInd w:val="0"/>
              <w:snapToGrid w:val="0"/>
              <w:ind w:left="210"/>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14:paraId="4A784257">
            <w:pPr>
              <w:adjustRightInd w:val="0"/>
              <w:snapToGrid w:val="0"/>
              <w:ind w:left="210"/>
              <w:rPr>
                <w:rFonts w:ascii="宋体" w:hAnsi="宋体"/>
                <w:color w:val="auto"/>
                <w:szCs w:val="21"/>
                <w:highlight w:val="none"/>
              </w:rPr>
            </w:pPr>
            <w:r>
              <w:rPr>
                <w:rFonts w:hint="eastAsia" w:ascii="宋体" w:hAnsi="宋体"/>
                <w:color w:val="auto"/>
                <w:szCs w:val="21"/>
                <w:highlight w:val="none"/>
              </w:rPr>
              <w:t>a.投标函按招标文件规定填报了项目名称、标段号、补遗书编号（如有）、投标价（包括大写金额和小写金额）。</w:t>
            </w:r>
          </w:p>
          <w:p w14:paraId="0A701B2B">
            <w:pPr>
              <w:adjustRightInd w:val="0"/>
              <w:snapToGrid w:val="0"/>
              <w:ind w:left="210"/>
              <w:rPr>
                <w:rFonts w:ascii="宋体" w:hAnsi="宋体"/>
                <w:color w:val="auto"/>
                <w:szCs w:val="21"/>
                <w:highlight w:val="none"/>
              </w:rPr>
            </w:pPr>
            <w:r>
              <w:rPr>
                <w:rFonts w:hint="eastAsia" w:ascii="宋体" w:hAnsi="宋体"/>
                <w:color w:val="auto"/>
                <w:szCs w:val="21"/>
                <w:highlight w:val="none"/>
              </w:rPr>
              <w:t>b.已标价工程量清单说明与招标文件规定一致，未进行实质性修改和删减；</w:t>
            </w:r>
          </w:p>
          <w:p w14:paraId="15FD445E">
            <w:pPr>
              <w:adjustRightInd w:val="0"/>
              <w:snapToGrid w:val="0"/>
              <w:ind w:left="210"/>
              <w:rPr>
                <w:rFonts w:ascii="宋体" w:hAnsi="宋体"/>
                <w:color w:val="auto"/>
                <w:szCs w:val="21"/>
                <w:highlight w:val="none"/>
              </w:rPr>
            </w:pPr>
            <w:r>
              <w:rPr>
                <w:rFonts w:hint="eastAsia" w:ascii="宋体" w:hAnsi="宋体"/>
                <w:color w:val="auto"/>
                <w:szCs w:val="21"/>
                <w:highlight w:val="none"/>
              </w:rPr>
              <w:t>c.投标文件组成齐全完整，内容均按规定填写。</w:t>
            </w:r>
          </w:p>
          <w:p w14:paraId="5CF552E8">
            <w:pPr>
              <w:adjustRightInd w:val="0"/>
              <w:snapToGrid w:val="0"/>
              <w:ind w:left="210"/>
              <w:rPr>
                <w:rFonts w:ascii="宋体" w:hAnsi="宋体"/>
                <w:color w:val="auto"/>
                <w:szCs w:val="21"/>
                <w:highlight w:val="none"/>
              </w:rPr>
            </w:pPr>
            <w:r>
              <w:rPr>
                <w:rFonts w:hint="eastAsia" w:ascii="宋体" w:hAnsi="宋体"/>
                <w:color w:val="auto"/>
                <w:szCs w:val="21"/>
                <w:highlight w:val="none"/>
              </w:rPr>
              <w:t>（2）投标文件上法定代表人或其委托代理人的签字、投标人的单位章盖章齐全，符合招标文件规定。</w:t>
            </w:r>
          </w:p>
          <w:p w14:paraId="28D3914C">
            <w:pPr>
              <w:adjustRightInd w:val="0"/>
              <w:snapToGrid w:val="0"/>
              <w:ind w:left="210"/>
              <w:rPr>
                <w:rFonts w:ascii="宋体" w:hAnsi="宋体"/>
                <w:color w:val="auto"/>
                <w:szCs w:val="21"/>
                <w:highlight w:val="none"/>
              </w:rPr>
            </w:pPr>
            <w:r>
              <w:rPr>
                <w:rFonts w:hint="eastAsia" w:ascii="宋体" w:hAnsi="宋体"/>
                <w:color w:val="auto"/>
                <w:szCs w:val="21"/>
                <w:highlight w:val="none"/>
              </w:rPr>
              <w:t>（3）投标报价未超过招标文件设定的最高投标限价。</w:t>
            </w:r>
          </w:p>
          <w:p w14:paraId="4C881723">
            <w:pPr>
              <w:adjustRightInd w:val="0"/>
              <w:snapToGrid w:val="0"/>
              <w:ind w:left="210"/>
              <w:rPr>
                <w:rFonts w:ascii="宋体" w:hAnsi="宋体"/>
                <w:color w:val="auto"/>
                <w:szCs w:val="21"/>
                <w:highlight w:val="none"/>
              </w:rPr>
            </w:pPr>
            <w:r>
              <w:rPr>
                <w:rFonts w:hint="eastAsia" w:ascii="宋体" w:hAnsi="宋体"/>
                <w:color w:val="auto"/>
                <w:szCs w:val="21"/>
                <w:highlight w:val="none"/>
              </w:rPr>
              <w:t>（4）投标报价中的大写金额能够确定具体数值。</w:t>
            </w:r>
          </w:p>
          <w:p w14:paraId="25661C89">
            <w:pPr>
              <w:adjustRightInd w:val="0"/>
              <w:snapToGrid w:val="0"/>
              <w:ind w:left="210"/>
              <w:rPr>
                <w:rFonts w:ascii="宋体" w:hAnsi="宋体"/>
                <w:color w:val="auto"/>
                <w:szCs w:val="21"/>
                <w:highlight w:val="none"/>
              </w:rPr>
            </w:pPr>
            <w:r>
              <w:rPr>
                <w:rFonts w:hint="eastAsia" w:ascii="宋体" w:hAnsi="宋体"/>
                <w:color w:val="auto"/>
                <w:szCs w:val="21"/>
                <w:highlight w:val="none"/>
              </w:rPr>
              <w:t>（5）同一投标人未提交两个以上不同的投标报价。</w:t>
            </w:r>
          </w:p>
          <w:p w14:paraId="134A5A90">
            <w:pPr>
              <w:adjustRightInd w:val="0"/>
              <w:snapToGrid w:val="0"/>
              <w:ind w:left="210"/>
              <w:rPr>
                <w:rFonts w:ascii="宋体" w:hAnsi="宋体"/>
                <w:color w:val="auto"/>
                <w:szCs w:val="21"/>
                <w:highlight w:val="none"/>
              </w:rPr>
            </w:pPr>
            <w:r>
              <w:rPr>
                <w:rFonts w:hint="eastAsia" w:ascii="宋体" w:hAnsi="宋体"/>
                <w:color w:val="auto"/>
                <w:szCs w:val="21"/>
                <w:highlight w:val="none"/>
              </w:rPr>
              <w:t>（6）投标人未提交调价函。</w:t>
            </w:r>
          </w:p>
          <w:p w14:paraId="628DBFC6">
            <w:pPr>
              <w:adjustRightInd w:val="0"/>
              <w:snapToGrid w:val="0"/>
              <w:ind w:left="210"/>
              <w:rPr>
                <w:rFonts w:ascii="宋体" w:hAnsi="宋体"/>
                <w:color w:val="auto"/>
                <w:szCs w:val="21"/>
                <w:highlight w:val="none"/>
              </w:rPr>
            </w:pPr>
            <w:r>
              <w:rPr>
                <w:rFonts w:hint="eastAsia" w:ascii="宋体" w:hAnsi="宋体"/>
                <w:color w:val="auto"/>
                <w:szCs w:val="21"/>
                <w:highlight w:val="none"/>
              </w:rPr>
              <w:t>（7）投标人填写完毕的工程量固化清单未对工程量固化清单电子文件中的数据、格式和运算定义进行修改；工程量固化清单中的投标报价和投标函大写金额报价一致。</w:t>
            </w:r>
          </w:p>
        </w:tc>
      </w:tr>
      <w:tr w14:paraId="679E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trHeight w:val="2863" w:hRule="atLeast"/>
          <w:jc w:val="center"/>
        </w:trPr>
        <w:tc>
          <w:tcPr>
            <w:tcW w:w="856" w:type="dxa"/>
            <w:tcBorders>
              <w:bottom w:val="single" w:color="auto" w:sz="4" w:space="0"/>
            </w:tcBorders>
            <w:shd w:val="clear" w:color="auto" w:fill="auto"/>
            <w:vAlign w:val="center"/>
          </w:tcPr>
          <w:p w14:paraId="11BD9A71">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2.1.2</w:t>
            </w:r>
          </w:p>
        </w:tc>
        <w:tc>
          <w:tcPr>
            <w:tcW w:w="1389" w:type="dxa"/>
            <w:tcBorders>
              <w:bottom w:val="single" w:color="auto" w:sz="4" w:space="0"/>
            </w:tcBorders>
            <w:shd w:val="clear" w:color="auto" w:fill="auto"/>
            <w:vAlign w:val="center"/>
          </w:tcPr>
          <w:p w14:paraId="3C2E2524">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资格评审</w:t>
            </w:r>
          </w:p>
          <w:p w14:paraId="646DDA27">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标准</w:t>
            </w:r>
          </w:p>
        </w:tc>
        <w:tc>
          <w:tcPr>
            <w:tcW w:w="7383" w:type="dxa"/>
            <w:tcBorders>
              <w:bottom w:val="single" w:color="auto" w:sz="4" w:space="0"/>
            </w:tcBorders>
            <w:shd w:val="clear" w:color="auto" w:fill="auto"/>
          </w:tcPr>
          <w:p w14:paraId="38695D2A">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（1）投标人具备有效的营业执照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事业单位法人证书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、资质证书、安全生产许可证、基本账户开户许可证（或基本账户开户银行出具的开户证明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采用保函形式提交投标保证金的，可不提供）、在国家企业信用信息公示系统中基础信息（体现股东及出资详细信息）的网页截图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事业单位无须提供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14:paraId="4E831EB5">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（2）投标人的资质等级符合招标文件规定。</w:t>
            </w:r>
          </w:p>
          <w:p w14:paraId="303E59C3">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（3）投标人的财务状况符合招标文件规定。</w:t>
            </w:r>
          </w:p>
          <w:p w14:paraId="423C3D76">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（4）投标人的类似项目业绩符合招标文件规定。</w:t>
            </w:r>
          </w:p>
          <w:p w14:paraId="2989BFA6">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（5）投标人的信誉符合招标文件规定。</w:t>
            </w:r>
          </w:p>
          <w:p w14:paraId="4E75226E">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（6）投标人的项目经理和项目总工资格、在岗情况符合招标文件规定。</w:t>
            </w:r>
          </w:p>
          <w:p w14:paraId="0E9BC29F">
            <w:pPr>
              <w:adjustRightInd w:val="0"/>
              <w:snapToGrid w:val="0"/>
              <w:ind w:left="21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r>
              <w:rPr>
                <w:rFonts w:hint="eastAsia" w:ascii="Times New Roman" w:hAnsi="Times New Roman"/>
                <w:color w:val="auto"/>
                <w:szCs w:val="21"/>
                <w:highlight w:val="none"/>
              </w:rPr>
              <w:t>投标人的其他要求符合招标文件规定。</w:t>
            </w:r>
          </w:p>
          <w:p w14:paraId="439A4560">
            <w:pPr>
              <w:adjustRightInd w:val="0"/>
              <w:snapToGrid w:val="0"/>
              <w:ind w:left="21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）投标人不存在第二章“投标人须知”第1.4.3项或第1.4.4项规定的任何一种情形。</w:t>
            </w:r>
          </w:p>
          <w:p w14:paraId="7F89405A">
            <w:pPr>
              <w:adjustRightInd w:val="0"/>
              <w:snapToGrid w:val="0"/>
              <w:ind w:left="210"/>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9）投标人符合第二章</w:t>
            </w:r>
            <w:r>
              <w:rPr>
                <w:rFonts w:hint="eastAsia" w:ascii="宋体" w:hAnsi="宋体" w:eastAsia="宋体" w:cs="宋体"/>
                <w:color w:val="auto"/>
                <w:highlight w:val="none"/>
              </w:rPr>
              <w:t>“投标人须知”第1.4.</w:t>
            </w:r>
            <w:r>
              <w:rPr>
                <w:rFonts w:hint="eastAsia" w:ascii="宋体" w:hAnsi="宋体" w:cs="宋体"/>
                <w:color w:val="auto"/>
                <w:highlight w:val="none"/>
                <w:lang w:val="en-US" w:eastAsia="zh-CN"/>
              </w:rPr>
              <w:t>5</w:t>
            </w:r>
            <w:r>
              <w:rPr>
                <w:rFonts w:hint="eastAsia" w:ascii="宋体" w:hAnsi="宋体" w:eastAsia="宋体" w:cs="宋体"/>
                <w:color w:val="auto"/>
                <w:highlight w:val="none"/>
              </w:rPr>
              <w:t>项</w:t>
            </w:r>
            <w:r>
              <w:rPr>
                <w:rFonts w:hint="eastAsia" w:ascii="宋体" w:hAnsi="宋体" w:cs="宋体"/>
                <w:color w:val="auto"/>
                <w:highlight w:val="none"/>
                <w:lang w:val="en-US" w:eastAsia="zh-CN"/>
              </w:rPr>
              <w:t>规定。</w:t>
            </w:r>
          </w:p>
          <w:p w14:paraId="6CEDD0AE">
            <w:pPr>
              <w:pStyle w:val="4"/>
              <w:ind w:firstLine="210" w:firstLineChars="100"/>
              <w:rPr>
                <w:color w:val="auto"/>
                <w:highlight w:val="none"/>
              </w:rPr>
            </w:pPr>
            <w:r>
              <w:rPr>
                <w:rFonts w:hint="eastAsia" w:ascii="宋体" w:hAnsi="宋体" w:eastAsia="宋体" w:cs="宋体"/>
                <w:color w:val="auto"/>
                <w:kern w:val="2"/>
                <w:sz w:val="21"/>
                <w:szCs w:val="22"/>
                <w:highlight w:val="none"/>
                <w:lang w:val="en-US" w:eastAsia="zh-CN" w:bidi="ar-SA"/>
              </w:rPr>
              <w:t>（</w:t>
            </w:r>
            <w:r>
              <w:rPr>
                <w:rFonts w:hint="eastAsia" w:hAnsi="宋体" w:cs="宋体"/>
                <w:color w:val="auto"/>
                <w:kern w:val="2"/>
                <w:sz w:val="21"/>
                <w:szCs w:val="22"/>
                <w:highlight w:val="none"/>
                <w:lang w:val="en-US" w:eastAsia="zh-CN" w:bidi="ar-SA"/>
              </w:rPr>
              <w:t>10</w:t>
            </w:r>
            <w:r>
              <w:rPr>
                <w:rFonts w:hint="eastAsia" w:ascii="宋体" w:hAnsi="宋体" w:eastAsia="宋体" w:cs="宋体"/>
                <w:color w:val="auto"/>
                <w:kern w:val="2"/>
                <w:sz w:val="21"/>
                <w:szCs w:val="22"/>
                <w:highlight w:val="none"/>
                <w:lang w:val="en-US" w:eastAsia="zh-CN" w:bidi="ar-SA"/>
              </w:rPr>
              <w:t>）以联合体形式参与投标的，联合体各方均未再以自己名义单独或参加其他联合体在同一标段中投标；独立参与投标的，投标人未同时参加联合体在同一标段中投标。</w:t>
            </w:r>
          </w:p>
        </w:tc>
      </w:tr>
    </w:tbl>
    <w:p w14:paraId="03045079">
      <w:pPr>
        <w:jc w:val="right"/>
        <w:rPr>
          <w:color w:val="auto"/>
          <w:highlight w:val="none"/>
        </w:rPr>
      </w:pPr>
    </w:p>
    <w:p w14:paraId="48180766">
      <w:pPr>
        <w:jc w:val="right"/>
        <w:rPr>
          <w:color w:val="auto"/>
          <w:highlight w:val="none"/>
        </w:rPr>
        <w:sectPr>
          <w:headerReference r:id="rId3" w:type="default"/>
          <w:footerReference r:id="rId4" w:type="default"/>
          <w:footnotePr>
            <w:numFmt w:val="decimalEnclosedCircleChinese"/>
            <w:numRestart w:val="eachPage"/>
          </w:footnotePr>
          <w:pgSz w:w="11907" w:h="16840"/>
          <w:pgMar w:top="1134" w:right="1134" w:bottom="1134" w:left="1134" w:header="0" w:footer="567" w:gutter="0"/>
          <w:cols w:space="720" w:num="1"/>
        </w:sectPr>
      </w:pPr>
    </w:p>
    <w:p w14:paraId="32617EBD">
      <w:pPr>
        <w:jc w:val="right"/>
        <w:rPr>
          <w:color w:val="auto"/>
          <w:highlight w:val="none"/>
        </w:rPr>
      </w:pPr>
      <w:r>
        <w:rPr>
          <w:color w:val="auto"/>
          <w:highlight w:val="none"/>
        </w:rPr>
        <w:t>续上表</w:t>
      </w:r>
    </w:p>
    <w:tbl>
      <w:tblPr>
        <w:tblStyle w:val="6"/>
        <w:tblW w:w="91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0" w:type="dxa"/>
          <w:bottom w:w="85" w:type="dxa"/>
          <w:right w:w="0" w:type="dxa"/>
        </w:tblCellMar>
      </w:tblPr>
      <w:tblGrid>
        <w:gridCol w:w="856"/>
        <w:gridCol w:w="1389"/>
        <w:gridCol w:w="6868"/>
      </w:tblGrid>
      <w:tr w14:paraId="5992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cantSplit/>
          <w:trHeight w:val="560" w:hRule="atLeast"/>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7F649C20">
            <w:pPr>
              <w:autoSpaceDE w:val="0"/>
              <w:autoSpaceDN w:val="0"/>
              <w:adjustRightInd w:val="0"/>
              <w:snapToGrid w:val="0"/>
              <w:spacing w:line="300" w:lineRule="auto"/>
              <w:ind w:firstLine="4" w:firstLineChars="2"/>
              <w:jc w:val="center"/>
              <w:rPr>
                <w:rFonts w:ascii="宋体" w:hAnsi="宋体"/>
                <w:color w:val="auto"/>
                <w:szCs w:val="21"/>
                <w:highlight w:val="none"/>
              </w:rPr>
            </w:pPr>
            <w:r>
              <w:rPr>
                <w:rFonts w:ascii="宋体" w:hAnsi="宋体"/>
                <w:color w:val="auto"/>
                <w:szCs w:val="21"/>
                <w:highlight w:val="none"/>
              </w:rPr>
              <w:t>条款号</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3EADE79C">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条款内容</w:t>
            </w:r>
          </w:p>
        </w:tc>
        <w:tc>
          <w:tcPr>
            <w:tcW w:w="6868" w:type="dxa"/>
            <w:tcBorders>
              <w:top w:val="single" w:color="000000" w:sz="4" w:space="0"/>
              <w:left w:val="single" w:color="000000" w:sz="4" w:space="0"/>
              <w:bottom w:val="single" w:color="auto" w:sz="4" w:space="0"/>
              <w:right w:val="single" w:color="000000" w:sz="4" w:space="0"/>
            </w:tcBorders>
            <w:shd w:val="clear" w:color="auto" w:fill="auto"/>
            <w:vAlign w:val="center"/>
          </w:tcPr>
          <w:p w14:paraId="1258744B">
            <w:pPr>
              <w:adjustRightInd w:val="0"/>
              <w:snapToGrid w:val="0"/>
              <w:ind w:firstLine="27" w:firstLineChars="13"/>
              <w:jc w:val="center"/>
              <w:rPr>
                <w:rFonts w:ascii="宋体" w:hAnsi="宋体"/>
                <w:color w:val="auto"/>
                <w:szCs w:val="21"/>
                <w:highlight w:val="none"/>
              </w:rPr>
            </w:pPr>
            <w:r>
              <w:rPr>
                <w:rFonts w:hint="eastAsia" w:ascii="宋体" w:hAnsi="宋体"/>
                <w:color w:val="auto"/>
                <w:szCs w:val="21"/>
                <w:highlight w:val="none"/>
              </w:rPr>
              <w:t>编列内容</w:t>
            </w:r>
          </w:p>
        </w:tc>
      </w:tr>
      <w:tr w14:paraId="64D28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cantSplit/>
          <w:trHeight w:val="20" w:hRule="atLeast"/>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62419609">
            <w:pPr>
              <w:autoSpaceDE w:val="0"/>
              <w:autoSpaceDN w:val="0"/>
              <w:adjustRightInd w:val="0"/>
              <w:snapToGrid w:val="0"/>
              <w:spacing w:line="300" w:lineRule="auto"/>
              <w:ind w:firstLine="210" w:firstLineChars="100"/>
              <w:rPr>
                <w:rFonts w:ascii="宋体" w:hAnsi="宋体"/>
                <w:color w:val="auto"/>
                <w:szCs w:val="21"/>
                <w:highlight w:val="none"/>
              </w:rPr>
            </w:pPr>
            <w:r>
              <w:rPr>
                <w:rFonts w:ascii="宋体" w:hAnsi="宋体"/>
                <w:color w:val="auto"/>
                <w:szCs w:val="21"/>
                <w:highlight w:val="none"/>
              </w:rPr>
              <w:t>2.2.1</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18F5212E">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第一个信封</w:t>
            </w:r>
          </w:p>
          <w:p w14:paraId="4B9EA601">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评分分值构成（总分</w:t>
            </w:r>
            <w:r>
              <w:rPr>
                <w:rFonts w:ascii="宋体" w:hAnsi="宋体"/>
                <w:color w:val="auto"/>
                <w:szCs w:val="21"/>
                <w:highlight w:val="none"/>
              </w:rPr>
              <w:t>100</w:t>
            </w:r>
            <w:r>
              <w:rPr>
                <w:rFonts w:hint="eastAsia" w:ascii="宋体" w:hAnsi="宋体"/>
                <w:color w:val="auto"/>
                <w:szCs w:val="21"/>
                <w:highlight w:val="none"/>
              </w:rPr>
              <w:t>分）</w:t>
            </w:r>
          </w:p>
        </w:tc>
        <w:tc>
          <w:tcPr>
            <w:tcW w:w="6868" w:type="dxa"/>
            <w:tcBorders>
              <w:top w:val="single" w:color="000000" w:sz="4" w:space="0"/>
              <w:left w:val="single" w:color="000000" w:sz="4" w:space="0"/>
              <w:bottom w:val="single" w:color="auto" w:sz="4" w:space="0"/>
              <w:right w:val="single" w:color="000000" w:sz="4" w:space="0"/>
            </w:tcBorders>
            <w:shd w:val="clear" w:color="auto" w:fill="auto"/>
          </w:tcPr>
          <w:p w14:paraId="7E0AF4A8">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施工组织设计：40分</w:t>
            </w:r>
          </w:p>
          <w:p w14:paraId="52061B1B">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主要人员：25分</w:t>
            </w:r>
          </w:p>
          <w:p w14:paraId="4CAB9E64">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履约信誉：15分</w:t>
            </w:r>
          </w:p>
          <w:p w14:paraId="23656DF1">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企业业绩：20分</w:t>
            </w:r>
          </w:p>
        </w:tc>
      </w:tr>
      <w:tr w14:paraId="5B431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cantSplit/>
          <w:trHeight w:val="20" w:hRule="atLeast"/>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CD54CD">
            <w:pPr>
              <w:autoSpaceDE w:val="0"/>
              <w:autoSpaceDN w:val="0"/>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3</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2C2D9BE0">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第二个信封</w:t>
            </w:r>
          </w:p>
          <w:p w14:paraId="57F9BFAD">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详细评审标准</w:t>
            </w:r>
          </w:p>
        </w:tc>
        <w:tc>
          <w:tcPr>
            <w:tcW w:w="6868" w:type="dxa"/>
            <w:tcBorders>
              <w:top w:val="single" w:color="000000" w:sz="4" w:space="0"/>
              <w:left w:val="single" w:color="000000" w:sz="4" w:space="0"/>
              <w:bottom w:val="single" w:color="auto" w:sz="4" w:space="0"/>
              <w:right w:val="single" w:color="000000" w:sz="4" w:space="0"/>
            </w:tcBorders>
            <w:shd w:val="clear" w:color="auto" w:fill="auto"/>
            <w:vAlign w:val="center"/>
          </w:tcPr>
          <w:p w14:paraId="65398FAD">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评标价计算公式：评标价=投标函文字报价</w:t>
            </w:r>
          </w:p>
        </w:tc>
      </w:tr>
      <w:tr w14:paraId="0E7E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0" w:type="dxa"/>
            <w:bottom w:w="85" w:type="dxa"/>
            <w:right w:w="0" w:type="dxa"/>
          </w:tblCellMar>
        </w:tblPrEx>
        <w:trPr>
          <w:cantSplit/>
          <w:trHeight w:val="20" w:hRule="atLeast"/>
        </w:trPr>
        <w:tc>
          <w:tcPr>
            <w:tcW w:w="856" w:type="dxa"/>
            <w:tcBorders>
              <w:top w:val="single" w:color="000000" w:sz="4" w:space="0"/>
              <w:left w:val="single" w:color="000000" w:sz="4" w:space="0"/>
              <w:bottom w:val="single" w:color="auto" w:sz="4" w:space="0"/>
              <w:right w:val="single" w:color="000000" w:sz="4" w:space="0"/>
            </w:tcBorders>
            <w:shd w:val="clear" w:color="auto" w:fill="auto"/>
            <w:vAlign w:val="center"/>
          </w:tcPr>
          <w:p w14:paraId="26FD5CA2">
            <w:pPr>
              <w:autoSpaceDE w:val="0"/>
              <w:autoSpaceDN w:val="0"/>
              <w:adjustRightInd w:val="0"/>
              <w:snapToGrid w:val="0"/>
              <w:spacing w:line="300" w:lineRule="auto"/>
              <w:ind w:firstLine="210" w:firstLineChars="100"/>
              <w:rPr>
                <w:rFonts w:ascii="宋体" w:hAnsi="宋体"/>
                <w:color w:val="auto"/>
                <w:szCs w:val="21"/>
                <w:highlight w:val="none"/>
              </w:rPr>
            </w:pPr>
            <w:r>
              <w:rPr>
                <w:rFonts w:hint="eastAsia" w:ascii="宋体" w:hAnsi="宋体"/>
                <w:color w:val="auto"/>
                <w:szCs w:val="21"/>
                <w:highlight w:val="none"/>
              </w:rPr>
              <w:t>3.2.4</w:t>
            </w:r>
          </w:p>
        </w:tc>
        <w:tc>
          <w:tcPr>
            <w:tcW w:w="1389"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567C0">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通过第一个</w:t>
            </w:r>
          </w:p>
          <w:p w14:paraId="6A33E60A">
            <w:pPr>
              <w:adjustRightInd w:val="0"/>
              <w:snapToGrid w:val="0"/>
              <w:spacing w:line="300" w:lineRule="auto"/>
              <w:jc w:val="center"/>
              <w:rPr>
                <w:rFonts w:ascii="宋体" w:hAnsi="宋体"/>
                <w:color w:val="auto"/>
                <w:szCs w:val="21"/>
                <w:highlight w:val="none"/>
              </w:rPr>
            </w:pPr>
            <w:r>
              <w:rPr>
                <w:rFonts w:hint="eastAsia" w:ascii="宋体" w:hAnsi="宋体"/>
                <w:color w:val="auto"/>
                <w:szCs w:val="21"/>
                <w:highlight w:val="none"/>
              </w:rPr>
              <w:t>信封详细评审的投标人数量</w:t>
            </w:r>
          </w:p>
        </w:tc>
        <w:tc>
          <w:tcPr>
            <w:tcW w:w="6868" w:type="dxa"/>
            <w:tcBorders>
              <w:top w:val="single" w:color="000000" w:sz="4" w:space="0"/>
              <w:left w:val="single" w:color="000000" w:sz="4" w:space="0"/>
              <w:bottom w:val="single" w:color="auto" w:sz="4" w:space="0"/>
              <w:right w:val="single" w:color="000000" w:sz="4" w:space="0"/>
            </w:tcBorders>
            <w:shd w:val="clear" w:color="auto" w:fill="auto"/>
          </w:tcPr>
          <w:p w14:paraId="74F873F3">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按照投标人的商务和技术得分由高到低排序，选择前3名通过详细评审。</w:t>
            </w:r>
          </w:p>
          <w:p w14:paraId="164C16A5">
            <w:pPr>
              <w:adjustRightInd w:val="0"/>
              <w:snapToGrid w:val="0"/>
              <w:ind w:firstLine="210" w:firstLineChars="100"/>
              <w:rPr>
                <w:rFonts w:ascii="宋体" w:hAnsi="宋体"/>
                <w:color w:val="auto"/>
                <w:szCs w:val="21"/>
                <w:highlight w:val="none"/>
              </w:rPr>
            </w:pPr>
            <w:r>
              <w:rPr>
                <w:rFonts w:ascii="宋体" w:hAnsi="宋体"/>
                <w:color w:val="auto"/>
                <w:szCs w:val="21"/>
                <w:highlight w:val="none"/>
              </w:rPr>
              <w:t>如同一标段出现多名投标人的</w:t>
            </w:r>
            <w:r>
              <w:rPr>
                <w:rFonts w:hint="eastAsia" w:ascii="宋体" w:hAnsi="宋体"/>
                <w:color w:val="auto"/>
                <w:szCs w:val="21"/>
                <w:highlight w:val="none"/>
              </w:rPr>
              <w:t>商务和技术得分</w:t>
            </w:r>
            <w:r>
              <w:rPr>
                <w:rFonts w:ascii="宋体" w:hAnsi="宋体"/>
                <w:color w:val="auto"/>
                <w:szCs w:val="21"/>
                <w:highlight w:val="none"/>
              </w:rPr>
              <w:t>相等时，则按照以下</w:t>
            </w:r>
            <w:r>
              <w:rPr>
                <w:rFonts w:hint="eastAsia" w:ascii="宋体" w:hAnsi="宋体"/>
                <w:color w:val="auto"/>
                <w:szCs w:val="21"/>
                <w:highlight w:val="none"/>
              </w:rPr>
              <w:t>优先顺序进行</w:t>
            </w:r>
            <w:r>
              <w:rPr>
                <w:rFonts w:ascii="宋体" w:hAnsi="宋体"/>
                <w:color w:val="auto"/>
                <w:szCs w:val="21"/>
                <w:highlight w:val="none"/>
              </w:rPr>
              <w:t>排序：</w:t>
            </w:r>
          </w:p>
          <w:p w14:paraId="45BDB9E5">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 施工组织设计得分较高者</w:t>
            </w:r>
            <w:r>
              <w:rPr>
                <w:rFonts w:hint="eastAsia" w:ascii="宋体" w:hAnsi="宋体"/>
                <w:color w:val="auto"/>
                <w:szCs w:val="21"/>
                <w:highlight w:val="none"/>
              </w:rPr>
              <w:t>排序在先</w:t>
            </w:r>
            <w:r>
              <w:rPr>
                <w:rFonts w:ascii="宋体" w:hAnsi="宋体"/>
                <w:color w:val="auto"/>
                <w:szCs w:val="21"/>
                <w:highlight w:val="none"/>
              </w:rPr>
              <w:t>；</w:t>
            </w:r>
          </w:p>
          <w:p w14:paraId="0A1979D1">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w:t>
            </w:r>
            <w:r>
              <w:rPr>
                <w:rFonts w:hint="eastAsia" w:ascii="宋体" w:hAnsi="宋体"/>
                <w:color w:val="auto"/>
                <w:szCs w:val="21"/>
                <w:highlight w:val="none"/>
              </w:rPr>
              <w:t xml:space="preserve"> 主要人员</w:t>
            </w:r>
            <w:r>
              <w:rPr>
                <w:rFonts w:ascii="宋体" w:hAnsi="宋体"/>
                <w:color w:val="auto"/>
                <w:szCs w:val="21"/>
                <w:highlight w:val="none"/>
              </w:rPr>
              <w:t>得分较高者</w:t>
            </w:r>
            <w:r>
              <w:rPr>
                <w:rFonts w:hint="eastAsia" w:ascii="宋体" w:hAnsi="宋体"/>
                <w:color w:val="auto"/>
                <w:szCs w:val="21"/>
                <w:highlight w:val="none"/>
              </w:rPr>
              <w:t>排序在先</w:t>
            </w:r>
            <w:r>
              <w:rPr>
                <w:rFonts w:ascii="宋体" w:hAnsi="宋体"/>
                <w:color w:val="auto"/>
                <w:szCs w:val="21"/>
                <w:highlight w:val="none"/>
              </w:rPr>
              <w:t>；</w:t>
            </w:r>
          </w:p>
          <w:p w14:paraId="75E363D3">
            <w:pPr>
              <w:adjustRightInd w:val="0"/>
              <w:snapToGrid w:val="0"/>
              <w:ind w:firstLine="210" w:firstLineChars="100"/>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w:t>
            </w:r>
            <w:r>
              <w:rPr>
                <w:rFonts w:hint="eastAsia" w:ascii="宋体" w:hAnsi="宋体"/>
                <w:color w:val="auto"/>
                <w:szCs w:val="21"/>
                <w:highlight w:val="none"/>
              </w:rPr>
              <w:t xml:space="preserve"> 履约信誉</w:t>
            </w:r>
            <w:r>
              <w:rPr>
                <w:rFonts w:ascii="宋体" w:hAnsi="宋体"/>
                <w:color w:val="auto"/>
                <w:szCs w:val="21"/>
                <w:highlight w:val="none"/>
              </w:rPr>
              <w:t>得分较高者</w:t>
            </w:r>
            <w:r>
              <w:rPr>
                <w:rFonts w:hint="eastAsia" w:ascii="宋体" w:hAnsi="宋体"/>
                <w:color w:val="auto"/>
                <w:szCs w:val="21"/>
                <w:highlight w:val="none"/>
              </w:rPr>
              <w:t>排序在先</w:t>
            </w:r>
            <w:r>
              <w:rPr>
                <w:rFonts w:ascii="宋体" w:hAnsi="宋体"/>
                <w:color w:val="auto"/>
                <w:szCs w:val="21"/>
                <w:highlight w:val="none"/>
              </w:rPr>
              <w:t>。</w:t>
            </w:r>
          </w:p>
          <w:p w14:paraId="71182E97">
            <w:pPr>
              <w:adjustRightInd w:val="0"/>
              <w:snapToGrid w:val="0"/>
              <w:ind w:firstLine="210" w:firstLineChars="100"/>
              <w:rPr>
                <w:rFonts w:ascii="宋体" w:hAnsi="宋体"/>
                <w:color w:val="auto"/>
                <w:szCs w:val="21"/>
                <w:highlight w:val="none"/>
              </w:rPr>
            </w:pPr>
            <w:r>
              <w:rPr>
                <w:rFonts w:ascii="宋体" w:hAnsi="宋体"/>
                <w:color w:val="auto"/>
                <w:szCs w:val="21"/>
                <w:highlight w:val="none"/>
              </w:rPr>
              <w:t>若以上各项评分因素得分都相等，则通过评委会投票表决，推荐票数多的投标人</w:t>
            </w:r>
            <w:r>
              <w:rPr>
                <w:rFonts w:hint="eastAsia" w:ascii="宋体" w:hAnsi="宋体"/>
                <w:color w:val="auto"/>
                <w:szCs w:val="21"/>
                <w:highlight w:val="none"/>
                <w:lang w:val="en-US" w:eastAsia="zh-CN"/>
              </w:rPr>
              <w:t>排序</w:t>
            </w:r>
            <w:r>
              <w:rPr>
                <w:rFonts w:ascii="宋体" w:hAnsi="宋体"/>
                <w:color w:val="auto"/>
                <w:szCs w:val="21"/>
                <w:highlight w:val="none"/>
              </w:rPr>
              <w:t>在先</w:t>
            </w:r>
            <w:r>
              <w:rPr>
                <w:rFonts w:hint="eastAsia" w:ascii="宋体" w:hAnsi="宋体"/>
                <w:color w:val="auto"/>
                <w:szCs w:val="21"/>
                <w:highlight w:val="none"/>
              </w:rPr>
              <w:t>。</w:t>
            </w:r>
          </w:p>
        </w:tc>
      </w:tr>
    </w:tbl>
    <w:p w14:paraId="097695AB">
      <w:pPr>
        <w:rPr>
          <w:color w:val="auto"/>
          <w:highlight w:val="none"/>
        </w:rPr>
      </w:pPr>
    </w:p>
    <w:p w14:paraId="47A37112">
      <w:pPr>
        <w:rPr>
          <w:color w:val="auto"/>
          <w:highlight w:val="none"/>
        </w:rPr>
      </w:pPr>
    </w:p>
    <w:p w14:paraId="4DDFAD51">
      <w:pPr>
        <w:rPr>
          <w:color w:val="auto"/>
          <w:highlight w:val="none"/>
        </w:rPr>
      </w:pPr>
    </w:p>
    <w:p w14:paraId="0605CA0F">
      <w:pPr>
        <w:rPr>
          <w:color w:val="auto"/>
          <w:highlight w:val="none"/>
        </w:rPr>
      </w:pPr>
    </w:p>
    <w:p w14:paraId="4B25A41A">
      <w:pPr>
        <w:rPr>
          <w:color w:val="auto"/>
          <w:highlight w:val="none"/>
        </w:rPr>
      </w:pPr>
    </w:p>
    <w:p w14:paraId="0BE64299">
      <w:pPr>
        <w:rPr>
          <w:color w:val="auto"/>
          <w:highlight w:val="none"/>
        </w:rPr>
      </w:pPr>
    </w:p>
    <w:p w14:paraId="0D4E422E">
      <w:pPr>
        <w:widowControl/>
        <w:jc w:val="left"/>
        <w:rPr>
          <w:color w:val="auto"/>
          <w:highlight w:val="none"/>
        </w:rPr>
      </w:pPr>
      <w:r>
        <w:rPr>
          <w:color w:val="auto"/>
          <w:highlight w:val="none"/>
        </w:rPr>
        <w:br w:type="page"/>
      </w:r>
    </w:p>
    <w:p w14:paraId="02D3C648">
      <w:pPr>
        <w:jc w:val="right"/>
        <w:rPr>
          <w:rFonts w:ascii="宋体" w:hAnsi="宋体" w:cs="宋体"/>
          <w:color w:val="auto"/>
          <w:sz w:val="24"/>
          <w:szCs w:val="24"/>
          <w:highlight w:val="none"/>
        </w:rPr>
      </w:pPr>
      <w:r>
        <w:rPr>
          <w:color w:val="auto"/>
          <w:highlight w:val="none"/>
        </w:rPr>
        <w:t>续上表</w:t>
      </w:r>
    </w:p>
    <w:tbl>
      <w:tblPr>
        <w:tblStyle w:val="6"/>
        <w:tblW w:w="93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6"/>
        <w:gridCol w:w="500"/>
        <w:gridCol w:w="502"/>
        <w:gridCol w:w="993"/>
        <w:gridCol w:w="2125"/>
        <w:gridCol w:w="531"/>
        <w:gridCol w:w="4104"/>
      </w:tblGrid>
      <w:tr w14:paraId="17239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237" w:type="dxa"/>
            <w:gridSpan w:val="6"/>
            <w:tcBorders>
              <w:top w:val="single" w:color="auto" w:sz="4" w:space="0"/>
              <w:left w:val="single" w:color="auto" w:sz="4" w:space="0"/>
            </w:tcBorders>
            <w:vAlign w:val="center"/>
          </w:tcPr>
          <w:p w14:paraId="0D79902E">
            <w:pPr>
              <w:adjustRightInd w:val="0"/>
              <w:snapToGrid w:val="0"/>
              <w:spacing w:beforeLines="10" w:afterLines="10"/>
              <w:jc w:val="center"/>
              <w:rPr>
                <w:rFonts w:ascii="宋体" w:hAnsi="宋体"/>
                <w:color w:val="auto"/>
                <w:highlight w:val="none"/>
              </w:rPr>
            </w:pPr>
            <w:r>
              <w:rPr>
                <w:rFonts w:ascii="宋体" w:hAnsi="宋体"/>
                <w:color w:val="auto"/>
                <w:highlight w:val="none"/>
              </w:rPr>
              <w:t>评分因素与拟定权重分值</w:t>
            </w:r>
          </w:p>
        </w:tc>
        <w:tc>
          <w:tcPr>
            <w:tcW w:w="4104" w:type="dxa"/>
            <w:vMerge w:val="restart"/>
            <w:tcBorders>
              <w:top w:val="single" w:color="auto" w:sz="4" w:space="0"/>
              <w:right w:val="single" w:color="auto" w:sz="4" w:space="0"/>
            </w:tcBorders>
            <w:vAlign w:val="center"/>
          </w:tcPr>
          <w:p w14:paraId="3459FBF2">
            <w:pPr>
              <w:adjustRightInd w:val="0"/>
              <w:snapToGrid w:val="0"/>
              <w:spacing w:beforeLines="10" w:afterLines="10"/>
              <w:jc w:val="center"/>
              <w:rPr>
                <w:rFonts w:ascii="宋体" w:hAnsi="宋体"/>
                <w:color w:val="auto"/>
                <w:highlight w:val="none"/>
              </w:rPr>
            </w:pPr>
            <w:r>
              <w:rPr>
                <w:rFonts w:ascii="宋体" w:hAnsi="宋体"/>
                <w:color w:val="auto"/>
                <w:highlight w:val="none"/>
              </w:rPr>
              <w:t>评分标准</w:t>
            </w:r>
          </w:p>
        </w:tc>
      </w:tr>
      <w:tr w14:paraId="2E8A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6" w:type="dxa"/>
            <w:tcBorders>
              <w:left w:val="single" w:color="auto" w:sz="4" w:space="0"/>
            </w:tcBorders>
            <w:vAlign w:val="center"/>
          </w:tcPr>
          <w:p w14:paraId="66C24CBF">
            <w:pPr>
              <w:adjustRightInd w:val="0"/>
              <w:snapToGrid w:val="0"/>
              <w:spacing w:beforeLines="10" w:afterLines="10"/>
              <w:jc w:val="center"/>
              <w:rPr>
                <w:rFonts w:ascii="宋体" w:hAnsi="宋体"/>
                <w:color w:val="auto"/>
                <w:highlight w:val="none"/>
              </w:rPr>
            </w:pPr>
            <w:r>
              <w:rPr>
                <w:rFonts w:ascii="宋体" w:hAnsi="宋体"/>
                <w:color w:val="auto"/>
                <w:highlight w:val="none"/>
              </w:rPr>
              <w:t>条款</w:t>
            </w:r>
          </w:p>
          <w:p w14:paraId="28C8CD08">
            <w:pPr>
              <w:adjustRightInd w:val="0"/>
              <w:snapToGrid w:val="0"/>
              <w:spacing w:beforeLines="10" w:afterLines="10"/>
              <w:jc w:val="center"/>
              <w:rPr>
                <w:rFonts w:ascii="宋体" w:hAnsi="宋体"/>
                <w:color w:val="auto"/>
                <w:highlight w:val="none"/>
              </w:rPr>
            </w:pPr>
            <w:r>
              <w:rPr>
                <w:rFonts w:ascii="宋体" w:hAnsi="宋体"/>
                <w:color w:val="auto"/>
                <w:highlight w:val="none"/>
              </w:rPr>
              <w:t>号</w:t>
            </w:r>
          </w:p>
        </w:tc>
        <w:tc>
          <w:tcPr>
            <w:tcW w:w="1002" w:type="dxa"/>
            <w:gridSpan w:val="2"/>
            <w:vAlign w:val="center"/>
          </w:tcPr>
          <w:p w14:paraId="42B3D253">
            <w:pPr>
              <w:adjustRightInd w:val="0"/>
              <w:snapToGrid w:val="0"/>
              <w:spacing w:beforeLines="10" w:afterLines="10"/>
              <w:jc w:val="center"/>
              <w:rPr>
                <w:rFonts w:hint="eastAsia" w:ascii="宋体" w:hAnsi="宋体" w:eastAsia="宋体"/>
                <w:color w:val="auto"/>
                <w:highlight w:val="none"/>
                <w:lang w:eastAsia="zh-CN"/>
              </w:rPr>
            </w:pPr>
            <w:r>
              <w:rPr>
                <w:rFonts w:ascii="宋体" w:hAnsi="宋体"/>
                <w:color w:val="auto"/>
                <w:highlight w:val="none"/>
              </w:rPr>
              <w:t>评分</w:t>
            </w:r>
          </w:p>
          <w:p w14:paraId="09F65850">
            <w:pPr>
              <w:adjustRightInd w:val="0"/>
              <w:snapToGrid w:val="0"/>
              <w:spacing w:beforeLines="10" w:afterLines="10"/>
              <w:jc w:val="center"/>
              <w:rPr>
                <w:rFonts w:ascii="宋体" w:hAnsi="宋体"/>
                <w:color w:val="auto"/>
                <w:highlight w:val="none"/>
              </w:rPr>
            </w:pPr>
            <w:r>
              <w:rPr>
                <w:rFonts w:ascii="宋体" w:hAnsi="宋体"/>
                <w:color w:val="auto"/>
                <w:highlight w:val="none"/>
              </w:rPr>
              <w:t>因素</w:t>
            </w:r>
          </w:p>
        </w:tc>
        <w:tc>
          <w:tcPr>
            <w:tcW w:w="993" w:type="dxa"/>
            <w:vAlign w:val="center"/>
          </w:tcPr>
          <w:p w14:paraId="1F73BBC7">
            <w:pPr>
              <w:adjustRightInd w:val="0"/>
              <w:snapToGrid w:val="0"/>
              <w:spacing w:beforeLines="10" w:afterLines="10"/>
              <w:jc w:val="center"/>
              <w:rPr>
                <w:rFonts w:hint="eastAsia" w:ascii="宋体" w:hAnsi="宋体" w:eastAsia="宋体"/>
                <w:color w:val="auto"/>
                <w:highlight w:val="none"/>
                <w:lang w:eastAsia="zh-CN"/>
              </w:rPr>
            </w:pPr>
            <w:r>
              <w:rPr>
                <w:rFonts w:ascii="宋体" w:hAnsi="宋体"/>
                <w:color w:val="auto"/>
                <w:highlight w:val="none"/>
              </w:rPr>
              <w:t>评分因素</w:t>
            </w:r>
          </w:p>
          <w:p w14:paraId="2022807F">
            <w:pPr>
              <w:adjustRightInd w:val="0"/>
              <w:snapToGrid w:val="0"/>
              <w:spacing w:beforeLines="10" w:afterLines="10"/>
              <w:jc w:val="center"/>
              <w:rPr>
                <w:rFonts w:ascii="宋体" w:hAnsi="宋体"/>
                <w:color w:val="auto"/>
                <w:highlight w:val="none"/>
              </w:rPr>
            </w:pPr>
            <w:r>
              <w:rPr>
                <w:rFonts w:ascii="宋体" w:hAnsi="宋体"/>
                <w:color w:val="auto"/>
                <w:highlight w:val="none"/>
              </w:rPr>
              <w:t>权重分值</w:t>
            </w:r>
          </w:p>
        </w:tc>
        <w:tc>
          <w:tcPr>
            <w:tcW w:w="2125" w:type="dxa"/>
            <w:vAlign w:val="center"/>
          </w:tcPr>
          <w:p w14:paraId="1A2A6892">
            <w:pPr>
              <w:adjustRightInd w:val="0"/>
              <w:snapToGrid w:val="0"/>
              <w:spacing w:beforeLines="10" w:afterLines="10"/>
              <w:jc w:val="center"/>
              <w:rPr>
                <w:rFonts w:ascii="宋体" w:hAnsi="宋体"/>
                <w:color w:val="auto"/>
                <w:highlight w:val="none"/>
              </w:rPr>
            </w:pPr>
            <w:r>
              <w:rPr>
                <w:rFonts w:ascii="宋体" w:hAnsi="宋体"/>
                <w:color w:val="auto"/>
                <w:highlight w:val="none"/>
              </w:rPr>
              <w:t>各评分因</w:t>
            </w:r>
          </w:p>
          <w:p w14:paraId="0A67F499">
            <w:pPr>
              <w:adjustRightInd w:val="0"/>
              <w:snapToGrid w:val="0"/>
              <w:spacing w:beforeLines="10" w:afterLines="10"/>
              <w:jc w:val="center"/>
              <w:rPr>
                <w:rFonts w:ascii="宋体" w:hAnsi="宋体"/>
                <w:color w:val="auto"/>
                <w:highlight w:val="none"/>
              </w:rPr>
            </w:pPr>
            <w:r>
              <w:rPr>
                <w:rFonts w:ascii="宋体" w:hAnsi="宋体"/>
                <w:color w:val="auto"/>
                <w:highlight w:val="none"/>
              </w:rPr>
              <w:t>素细分项</w:t>
            </w:r>
          </w:p>
        </w:tc>
        <w:tc>
          <w:tcPr>
            <w:tcW w:w="531" w:type="dxa"/>
            <w:vAlign w:val="center"/>
          </w:tcPr>
          <w:p w14:paraId="7A1DF686">
            <w:pPr>
              <w:adjustRightInd w:val="0"/>
              <w:snapToGrid w:val="0"/>
              <w:spacing w:beforeLines="10" w:afterLines="10"/>
              <w:jc w:val="center"/>
              <w:rPr>
                <w:rFonts w:ascii="宋体" w:hAnsi="宋体"/>
                <w:color w:val="auto"/>
                <w:highlight w:val="none"/>
              </w:rPr>
            </w:pPr>
            <w:r>
              <w:rPr>
                <w:rFonts w:ascii="宋体" w:hAnsi="宋体"/>
                <w:color w:val="auto"/>
                <w:highlight w:val="none"/>
              </w:rPr>
              <w:t>分值</w:t>
            </w:r>
          </w:p>
        </w:tc>
        <w:tc>
          <w:tcPr>
            <w:tcW w:w="4104" w:type="dxa"/>
            <w:vMerge w:val="continue"/>
            <w:tcBorders>
              <w:right w:val="single" w:color="auto" w:sz="4" w:space="0"/>
            </w:tcBorders>
            <w:vAlign w:val="center"/>
          </w:tcPr>
          <w:p w14:paraId="7D841D1B">
            <w:pPr>
              <w:adjustRightInd w:val="0"/>
              <w:snapToGrid w:val="0"/>
              <w:spacing w:beforeLines="10" w:afterLines="10"/>
              <w:jc w:val="center"/>
              <w:rPr>
                <w:rFonts w:ascii="宋体" w:hAnsi="宋体"/>
                <w:color w:val="auto"/>
                <w:highlight w:val="none"/>
              </w:rPr>
            </w:pPr>
          </w:p>
        </w:tc>
      </w:tr>
      <w:tr w14:paraId="1C580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restart"/>
            <w:tcBorders>
              <w:left w:val="single" w:color="auto" w:sz="4" w:space="0"/>
            </w:tcBorders>
            <w:vAlign w:val="center"/>
          </w:tcPr>
          <w:p w14:paraId="6E2801BB">
            <w:pPr>
              <w:adjustRightInd w:val="0"/>
              <w:snapToGrid w:val="0"/>
              <w:spacing w:beforeLines="10" w:afterLines="10"/>
              <w:jc w:val="center"/>
              <w:rPr>
                <w:rFonts w:ascii="宋体" w:hAnsi="宋体"/>
                <w:color w:val="auto"/>
                <w:highlight w:val="none"/>
              </w:rPr>
            </w:pPr>
            <w:r>
              <w:rPr>
                <w:rFonts w:ascii="宋体" w:hAnsi="宋体"/>
                <w:color w:val="auto"/>
                <w:highlight w:val="none"/>
              </w:rPr>
              <w:t>2.2.</w:t>
            </w:r>
            <w:r>
              <w:rPr>
                <w:rFonts w:hint="eastAsia" w:ascii="宋体" w:hAnsi="宋体"/>
                <w:color w:val="auto"/>
                <w:highlight w:val="none"/>
              </w:rPr>
              <w:t>2</w:t>
            </w:r>
            <w:r>
              <w:rPr>
                <w:rFonts w:ascii="宋体" w:hAnsi="宋体"/>
                <w:color w:val="auto"/>
                <w:highlight w:val="none"/>
              </w:rPr>
              <w:t>（1）</w:t>
            </w:r>
          </w:p>
        </w:tc>
        <w:tc>
          <w:tcPr>
            <w:tcW w:w="1002" w:type="dxa"/>
            <w:gridSpan w:val="2"/>
            <w:vMerge w:val="restart"/>
            <w:vAlign w:val="center"/>
          </w:tcPr>
          <w:p w14:paraId="706F49B4">
            <w:pPr>
              <w:adjustRightInd w:val="0"/>
              <w:snapToGrid w:val="0"/>
              <w:spacing w:beforeLines="10" w:afterLines="10"/>
              <w:jc w:val="center"/>
              <w:rPr>
                <w:rFonts w:ascii="宋体" w:hAnsi="宋体"/>
                <w:color w:val="auto"/>
                <w:highlight w:val="none"/>
              </w:rPr>
            </w:pPr>
            <w:r>
              <w:rPr>
                <w:rFonts w:ascii="宋体" w:hAnsi="宋体"/>
                <w:color w:val="auto"/>
                <w:highlight w:val="none"/>
              </w:rPr>
              <w:t>施工组织设计</w:t>
            </w:r>
          </w:p>
        </w:tc>
        <w:tc>
          <w:tcPr>
            <w:tcW w:w="993" w:type="dxa"/>
            <w:vMerge w:val="restart"/>
            <w:vAlign w:val="center"/>
          </w:tcPr>
          <w:p w14:paraId="3B426BF1">
            <w:pPr>
              <w:adjustRightInd w:val="0"/>
              <w:snapToGrid w:val="0"/>
              <w:spacing w:beforeLines="10" w:afterLines="10"/>
              <w:jc w:val="center"/>
              <w:rPr>
                <w:rFonts w:ascii="宋体" w:hAnsi="宋体"/>
                <w:color w:val="auto"/>
                <w:highlight w:val="none"/>
              </w:rPr>
            </w:pPr>
            <w:r>
              <w:rPr>
                <w:rFonts w:hint="eastAsia" w:ascii="宋体" w:hAnsi="宋体"/>
                <w:color w:val="auto"/>
                <w:highlight w:val="none"/>
              </w:rPr>
              <w:t>40</w:t>
            </w:r>
            <w:r>
              <w:rPr>
                <w:rFonts w:ascii="宋体" w:hAnsi="宋体"/>
                <w:color w:val="auto"/>
                <w:highlight w:val="none"/>
              </w:rPr>
              <w:t>分</w:t>
            </w:r>
          </w:p>
        </w:tc>
        <w:tc>
          <w:tcPr>
            <w:tcW w:w="2125" w:type="dxa"/>
            <w:vAlign w:val="center"/>
          </w:tcPr>
          <w:p w14:paraId="632FBC4B">
            <w:pPr>
              <w:ind w:right="113"/>
              <w:jc w:val="center"/>
              <w:rPr>
                <w:rFonts w:ascii="宋体" w:hAnsi="宋体"/>
                <w:color w:val="auto"/>
                <w:szCs w:val="21"/>
                <w:highlight w:val="none"/>
              </w:rPr>
            </w:pPr>
            <w:r>
              <w:rPr>
                <w:rFonts w:hint="eastAsia" w:ascii="宋体" w:hAnsi="宋体"/>
                <w:color w:val="auto"/>
                <w:szCs w:val="21"/>
                <w:highlight w:val="none"/>
              </w:rPr>
              <w:t>关键工程的施工方案、方法与技术措施</w:t>
            </w:r>
          </w:p>
        </w:tc>
        <w:tc>
          <w:tcPr>
            <w:tcW w:w="531" w:type="dxa"/>
            <w:tcBorders>
              <w:bottom w:val="single" w:color="auto" w:sz="4" w:space="0"/>
            </w:tcBorders>
            <w:vAlign w:val="center"/>
          </w:tcPr>
          <w:p w14:paraId="3B3BACCD">
            <w:pPr>
              <w:autoSpaceDE w:val="0"/>
              <w:autoSpaceDN w:val="0"/>
              <w:adjustRightInd w:val="0"/>
              <w:spacing w:line="360" w:lineRule="atLeast"/>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4104" w:type="dxa"/>
            <w:tcBorders>
              <w:bottom w:val="single" w:color="auto" w:sz="4" w:space="0"/>
              <w:right w:val="single" w:color="auto" w:sz="4" w:space="0"/>
            </w:tcBorders>
            <w:vAlign w:val="center"/>
          </w:tcPr>
          <w:p w14:paraId="46EE2896">
            <w:pPr>
              <w:jc w:val="left"/>
              <w:rPr>
                <w:rFonts w:ascii="宋体" w:hAnsi="宋体"/>
                <w:color w:val="auto"/>
                <w:kern w:val="0"/>
                <w:szCs w:val="21"/>
                <w:highlight w:val="none"/>
              </w:rPr>
            </w:pPr>
            <w:r>
              <w:rPr>
                <w:rFonts w:hint="eastAsia" w:ascii="宋体" w:hAnsi="宋体"/>
                <w:color w:val="auto"/>
                <w:kern w:val="0"/>
                <w:szCs w:val="21"/>
                <w:highlight w:val="none"/>
              </w:rPr>
              <w:t>好，16-20 分；</w:t>
            </w:r>
          </w:p>
          <w:p w14:paraId="32D0DD6C">
            <w:pPr>
              <w:jc w:val="left"/>
              <w:rPr>
                <w:rFonts w:ascii="宋体" w:hAnsi="宋体"/>
                <w:color w:val="auto"/>
                <w:kern w:val="0"/>
                <w:szCs w:val="21"/>
                <w:highlight w:val="none"/>
              </w:rPr>
            </w:pPr>
            <w:r>
              <w:rPr>
                <w:rFonts w:hint="eastAsia" w:ascii="宋体" w:hAnsi="宋体"/>
                <w:color w:val="auto"/>
                <w:kern w:val="0"/>
                <w:szCs w:val="21"/>
                <w:highlight w:val="none"/>
              </w:rPr>
              <w:t>较好，12-16分；</w:t>
            </w:r>
          </w:p>
          <w:p w14:paraId="1917DDB6">
            <w:pPr>
              <w:jc w:val="left"/>
              <w:rPr>
                <w:rFonts w:ascii="宋体" w:hAnsi="宋体"/>
                <w:color w:val="auto"/>
                <w:kern w:val="0"/>
                <w:szCs w:val="21"/>
                <w:highlight w:val="none"/>
              </w:rPr>
            </w:pPr>
            <w:r>
              <w:rPr>
                <w:rFonts w:hint="eastAsia" w:ascii="宋体" w:hAnsi="宋体"/>
                <w:color w:val="auto"/>
                <w:kern w:val="0"/>
                <w:szCs w:val="21"/>
                <w:highlight w:val="none"/>
              </w:rPr>
              <w:t>一般，12分。</w:t>
            </w:r>
          </w:p>
        </w:tc>
      </w:tr>
      <w:tr w14:paraId="774E7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continue"/>
            <w:tcBorders>
              <w:left w:val="single" w:color="auto" w:sz="4" w:space="0"/>
            </w:tcBorders>
            <w:vAlign w:val="center"/>
          </w:tcPr>
          <w:p w14:paraId="086531F8">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54E454AF">
            <w:pPr>
              <w:adjustRightInd w:val="0"/>
              <w:snapToGrid w:val="0"/>
              <w:spacing w:beforeLines="10" w:afterLines="10"/>
              <w:jc w:val="center"/>
              <w:rPr>
                <w:rFonts w:ascii="宋体" w:hAnsi="宋体"/>
                <w:color w:val="auto"/>
                <w:highlight w:val="none"/>
              </w:rPr>
            </w:pPr>
          </w:p>
        </w:tc>
        <w:tc>
          <w:tcPr>
            <w:tcW w:w="993" w:type="dxa"/>
            <w:vMerge w:val="continue"/>
            <w:vAlign w:val="center"/>
          </w:tcPr>
          <w:p w14:paraId="224405C1">
            <w:pPr>
              <w:adjustRightInd w:val="0"/>
              <w:snapToGrid w:val="0"/>
              <w:spacing w:beforeLines="10" w:afterLines="10"/>
              <w:jc w:val="center"/>
              <w:rPr>
                <w:rFonts w:ascii="宋体" w:hAnsi="宋体"/>
                <w:color w:val="auto"/>
                <w:highlight w:val="none"/>
              </w:rPr>
            </w:pPr>
          </w:p>
        </w:tc>
        <w:tc>
          <w:tcPr>
            <w:tcW w:w="2125" w:type="dxa"/>
            <w:tcBorders>
              <w:top w:val="single" w:color="auto" w:sz="4" w:space="0"/>
            </w:tcBorders>
            <w:vAlign w:val="center"/>
          </w:tcPr>
          <w:p w14:paraId="296C5090">
            <w:pPr>
              <w:ind w:right="113"/>
              <w:jc w:val="center"/>
              <w:rPr>
                <w:rFonts w:ascii="宋体" w:hAnsi="宋体"/>
                <w:color w:val="auto"/>
                <w:szCs w:val="21"/>
                <w:highlight w:val="none"/>
              </w:rPr>
            </w:pPr>
            <w:r>
              <w:rPr>
                <w:rFonts w:hint="eastAsia" w:ascii="宋体" w:hAnsi="宋体"/>
                <w:color w:val="auto"/>
                <w:szCs w:val="21"/>
                <w:highlight w:val="none"/>
              </w:rPr>
              <w:t>工期保证体系及保证措施</w:t>
            </w:r>
          </w:p>
        </w:tc>
        <w:tc>
          <w:tcPr>
            <w:tcW w:w="531" w:type="dxa"/>
            <w:tcBorders>
              <w:bottom w:val="single" w:color="auto" w:sz="4" w:space="0"/>
            </w:tcBorders>
            <w:vAlign w:val="center"/>
          </w:tcPr>
          <w:p w14:paraId="1DE89D95">
            <w:pPr>
              <w:autoSpaceDE w:val="0"/>
              <w:autoSpaceDN w:val="0"/>
              <w:adjustRightInd w:val="0"/>
              <w:spacing w:line="360" w:lineRule="atLeast"/>
              <w:jc w:val="center"/>
              <w:rPr>
                <w:rFonts w:ascii="宋体" w:hAnsi="宋体" w:cs="宋体"/>
                <w:bCs/>
                <w:color w:val="auto"/>
                <w:szCs w:val="21"/>
                <w:highlight w:val="none"/>
                <w:lang w:val="zh-CN"/>
              </w:rPr>
            </w:pPr>
            <w:r>
              <w:rPr>
                <w:rFonts w:hint="eastAsia" w:ascii="宋体" w:hAnsi="宋体" w:cs="宋体"/>
                <w:bCs/>
                <w:color w:val="auto"/>
                <w:szCs w:val="21"/>
                <w:highlight w:val="none"/>
              </w:rPr>
              <w:t>3</w:t>
            </w:r>
          </w:p>
        </w:tc>
        <w:tc>
          <w:tcPr>
            <w:tcW w:w="4104" w:type="dxa"/>
            <w:tcBorders>
              <w:right w:val="single" w:color="auto" w:sz="4" w:space="0"/>
            </w:tcBorders>
            <w:vAlign w:val="center"/>
          </w:tcPr>
          <w:p w14:paraId="027A0930">
            <w:pPr>
              <w:jc w:val="left"/>
              <w:rPr>
                <w:rFonts w:ascii="宋体" w:hAnsi="宋体"/>
                <w:color w:val="auto"/>
                <w:kern w:val="0"/>
                <w:szCs w:val="21"/>
                <w:highlight w:val="none"/>
              </w:rPr>
            </w:pPr>
            <w:r>
              <w:rPr>
                <w:rFonts w:hint="eastAsia" w:ascii="宋体" w:hAnsi="宋体"/>
                <w:color w:val="auto"/>
                <w:kern w:val="0"/>
                <w:szCs w:val="21"/>
                <w:highlight w:val="none"/>
              </w:rPr>
              <w:t>好，2.4-3.0分；</w:t>
            </w:r>
          </w:p>
          <w:p w14:paraId="2F4E7F0D">
            <w:pPr>
              <w:jc w:val="left"/>
              <w:rPr>
                <w:rFonts w:ascii="宋体" w:hAnsi="宋体"/>
                <w:color w:val="auto"/>
                <w:kern w:val="0"/>
                <w:szCs w:val="21"/>
                <w:highlight w:val="none"/>
              </w:rPr>
            </w:pPr>
            <w:r>
              <w:rPr>
                <w:rFonts w:hint="eastAsia" w:ascii="宋体" w:hAnsi="宋体"/>
                <w:color w:val="auto"/>
                <w:kern w:val="0"/>
                <w:szCs w:val="21"/>
                <w:highlight w:val="none"/>
              </w:rPr>
              <w:t>较好，1.8-2.4分；</w:t>
            </w:r>
          </w:p>
          <w:p w14:paraId="63186886">
            <w:pPr>
              <w:rPr>
                <w:rFonts w:ascii="宋体" w:hAnsi="宋体"/>
                <w:color w:val="auto"/>
                <w:szCs w:val="21"/>
                <w:highlight w:val="none"/>
              </w:rPr>
            </w:pPr>
            <w:r>
              <w:rPr>
                <w:rFonts w:hint="eastAsia" w:ascii="宋体" w:hAnsi="宋体"/>
                <w:color w:val="auto"/>
                <w:kern w:val="0"/>
                <w:szCs w:val="21"/>
                <w:highlight w:val="none"/>
              </w:rPr>
              <w:t>一般，1.8分。</w:t>
            </w:r>
          </w:p>
        </w:tc>
      </w:tr>
      <w:tr w14:paraId="0205E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continue"/>
            <w:tcBorders>
              <w:left w:val="single" w:color="auto" w:sz="4" w:space="0"/>
            </w:tcBorders>
            <w:vAlign w:val="center"/>
          </w:tcPr>
          <w:p w14:paraId="004BDE47">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798D78BE">
            <w:pPr>
              <w:adjustRightInd w:val="0"/>
              <w:snapToGrid w:val="0"/>
              <w:spacing w:beforeLines="10" w:afterLines="10"/>
              <w:jc w:val="center"/>
              <w:rPr>
                <w:rFonts w:ascii="宋体" w:hAnsi="宋体"/>
                <w:color w:val="auto"/>
                <w:highlight w:val="none"/>
              </w:rPr>
            </w:pPr>
          </w:p>
        </w:tc>
        <w:tc>
          <w:tcPr>
            <w:tcW w:w="993" w:type="dxa"/>
            <w:vMerge w:val="continue"/>
            <w:vAlign w:val="center"/>
          </w:tcPr>
          <w:p w14:paraId="012725A7">
            <w:pPr>
              <w:adjustRightInd w:val="0"/>
              <w:snapToGrid w:val="0"/>
              <w:spacing w:beforeLines="10" w:afterLines="10"/>
              <w:jc w:val="center"/>
              <w:rPr>
                <w:rFonts w:ascii="宋体" w:hAnsi="宋体"/>
                <w:color w:val="auto"/>
                <w:highlight w:val="none"/>
              </w:rPr>
            </w:pPr>
          </w:p>
        </w:tc>
        <w:tc>
          <w:tcPr>
            <w:tcW w:w="2125" w:type="dxa"/>
            <w:tcBorders>
              <w:top w:val="single" w:color="auto" w:sz="4" w:space="0"/>
            </w:tcBorders>
            <w:vAlign w:val="center"/>
          </w:tcPr>
          <w:p w14:paraId="6A951FA4">
            <w:pPr>
              <w:ind w:right="113"/>
              <w:jc w:val="center"/>
              <w:rPr>
                <w:rFonts w:ascii="宋体" w:hAnsi="宋体"/>
                <w:color w:val="auto"/>
                <w:szCs w:val="21"/>
                <w:highlight w:val="none"/>
              </w:rPr>
            </w:pPr>
            <w:r>
              <w:rPr>
                <w:rFonts w:hint="eastAsia" w:ascii="宋体" w:hAnsi="宋体"/>
                <w:color w:val="auto"/>
                <w:szCs w:val="21"/>
                <w:highlight w:val="none"/>
              </w:rPr>
              <w:t>工程质量管理体系及保证措施</w:t>
            </w:r>
          </w:p>
        </w:tc>
        <w:tc>
          <w:tcPr>
            <w:tcW w:w="531" w:type="dxa"/>
            <w:tcBorders>
              <w:bottom w:val="single" w:color="auto" w:sz="4" w:space="0"/>
            </w:tcBorders>
            <w:vAlign w:val="center"/>
          </w:tcPr>
          <w:p w14:paraId="2626CA25">
            <w:pPr>
              <w:pStyle w:val="8"/>
              <w:tabs>
                <w:tab w:val="left" w:pos="457"/>
              </w:tabs>
              <w:spacing w:before="60" w:line="360" w:lineRule="atLeast"/>
              <w:jc w:val="center"/>
              <w:rPr>
                <w:color w:val="auto"/>
                <w:sz w:val="21"/>
                <w:szCs w:val="21"/>
                <w:highlight w:val="none"/>
              </w:rPr>
            </w:pPr>
            <w:r>
              <w:rPr>
                <w:rFonts w:hint="eastAsia"/>
                <w:color w:val="auto"/>
                <w:sz w:val="21"/>
                <w:szCs w:val="21"/>
                <w:highlight w:val="none"/>
              </w:rPr>
              <w:t>5</w:t>
            </w:r>
          </w:p>
        </w:tc>
        <w:tc>
          <w:tcPr>
            <w:tcW w:w="4104" w:type="dxa"/>
            <w:tcBorders>
              <w:right w:val="single" w:color="auto" w:sz="4" w:space="0"/>
            </w:tcBorders>
            <w:vAlign w:val="center"/>
          </w:tcPr>
          <w:p w14:paraId="19C341FC">
            <w:pPr>
              <w:jc w:val="left"/>
              <w:rPr>
                <w:rFonts w:ascii="宋体" w:hAnsi="宋体"/>
                <w:color w:val="auto"/>
                <w:kern w:val="0"/>
                <w:szCs w:val="21"/>
                <w:highlight w:val="none"/>
              </w:rPr>
            </w:pPr>
            <w:r>
              <w:rPr>
                <w:rFonts w:hint="eastAsia" w:ascii="宋体" w:hAnsi="宋体"/>
                <w:color w:val="auto"/>
                <w:kern w:val="0"/>
                <w:szCs w:val="21"/>
                <w:highlight w:val="none"/>
              </w:rPr>
              <w:t>好，4-5分；</w:t>
            </w:r>
          </w:p>
          <w:p w14:paraId="5C6AA461">
            <w:pPr>
              <w:jc w:val="left"/>
              <w:rPr>
                <w:rFonts w:ascii="宋体" w:hAnsi="宋体"/>
                <w:color w:val="auto"/>
                <w:kern w:val="0"/>
                <w:szCs w:val="21"/>
                <w:highlight w:val="none"/>
              </w:rPr>
            </w:pPr>
            <w:r>
              <w:rPr>
                <w:rFonts w:hint="eastAsia" w:ascii="宋体" w:hAnsi="宋体"/>
                <w:color w:val="auto"/>
                <w:kern w:val="0"/>
                <w:szCs w:val="21"/>
                <w:highlight w:val="none"/>
              </w:rPr>
              <w:t>较好，3-4分；</w:t>
            </w:r>
          </w:p>
          <w:p w14:paraId="4BE6BFB7">
            <w:pPr>
              <w:rPr>
                <w:rFonts w:ascii="宋体" w:hAnsi="宋体"/>
                <w:color w:val="auto"/>
                <w:szCs w:val="21"/>
                <w:highlight w:val="none"/>
              </w:rPr>
            </w:pPr>
            <w:r>
              <w:rPr>
                <w:rFonts w:hint="eastAsia" w:ascii="宋体" w:hAnsi="宋体"/>
                <w:color w:val="auto"/>
                <w:kern w:val="0"/>
                <w:szCs w:val="21"/>
                <w:highlight w:val="none"/>
              </w:rPr>
              <w:t>一般，3分。</w:t>
            </w:r>
          </w:p>
        </w:tc>
      </w:tr>
      <w:tr w14:paraId="2998C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continue"/>
            <w:tcBorders>
              <w:left w:val="single" w:color="auto" w:sz="4" w:space="0"/>
            </w:tcBorders>
            <w:vAlign w:val="center"/>
          </w:tcPr>
          <w:p w14:paraId="2E3890B1">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6064FC4F">
            <w:pPr>
              <w:adjustRightInd w:val="0"/>
              <w:snapToGrid w:val="0"/>
              <w:spacing w:beforeLines="10" w:afterLines="10"/>
              <w:jc w:val="center"/>
              <w:rPr>
                <w:rFonts w:ascii="宋体" w:hAnsi="宋体"/>
                <w:color w:val="auto"/>
                <w:highlight w:val="none"/>
              </w:rPr>
            </w:pPr>
          </w:p>
        </w:tc>
        <w:tc>
          <w:tcPr>
            <w:tcW w:w="993" w:type="dxa"/>
            <w:vMerge w:val="continue"/>
            <w:vAlign w:val="center"/>
          </w:tcPr>
          <w:p w14:paraId="04520F1A">
            <w:pPr>
              <w:adjustRightInd w:val="0"/>
              <w:snapToGrid w:val="0"/>
              <w:spacing w:beforeLines="10" w:afterLines="10"/>
              <w:jc w:val="center"/>
              <w:rPr>
                <w:rFonts w:ascii="宋体" w:hAnsi="宋体"/>
                <w:color w:val="auto"/>
                <w:highlight w:val="none"/>
              </w:rPr>
            </w:pPr>
          </w:p>
        </w:tc>
        <w:tc>
          <w:tcPr>
            <w:tcW w:w="2125" w:type="dxa"/>
            <w:tcBorders>
              <w:top w:val="single" w:color="auto" w:sz="4" w:space="0"/>
            </w:tcBorders>
            <w:vAlign w:val="center"/>
          </w:tcPr>
          <w:p w14:paraId="5BD274EC">
            <w:pPr>
              <w:ind w:right="113"/>
              <w:jc w:val="center"/>
              <w:rPr>
                <w:rFonts w:ascii="宋体" w:hAnsi="宋体"/>
                <w:color w:val="auto"/>
                <w:szCs w:val="21"/>
                <w:highlight w:val="none"/>
              </w:rPr>
            </w:pPr>
            <w:r>
              <w:rPr>
                <w:rFonts w:hint="eastAsia" w:ascii="宋体" w:hAnsi="宋体"/>
                <w:color w:val="auto"/>
                <w:szCs w:val="21"/>
                <w:highlight w:val="none"/>
              </w:rPr>
              <w:t>安全生产管理体系及保证措施</w:t>
            </w:r>
          </w:p>
        </w:tc>
        <w:tc>
          <w:tcPr>
            <w:tcW w:w="531" w:type="dxa"/>
            <w:tcBorders>
              <w:bottom w:val="single" w:color="auto" w:sz="4" w:space="0"/>
            </w:tcBorders>
            <w:vAlign w:val="center"/>
          </w:tcPr>
          <w:p w14:paraId="6C88F237">
            <w:pPr>
              <w:pStyle w:val="8"/>
              <w:tabs>
                <w:tab w:val="left" w:pos="457"/>
              </w:tabs>
              <w:spacing w:before="60" w:line="360" w:lineRule="atLeast"/>
              <w:jc w:val="center"/>
              <w:rPr>
                <w:color w:val="auto"/>
                <w:sz w:val="21"/>
                <w:szCs w:val="21"/>
                <w:highlight w:val="none"/>
              </w:rPr>
            </w:pPr>
            <w:r>
              <w:rPr>
                <w:rFonts w:hint="eastAsia"/>
                <w:color w:val="auto"/>
                <w:sz w:val="21"/>
                <w:szCs w:val="21"/>
                <w:highlight w:val="none"/>
              </w:rPr>
              <w:t>5</w:t>
            </w:r>
          </w:p>
        </w:tc>
        <w:tc>
          <w:tcPr>
            <w:tcW w:w="4104" w:type="dxa"/>
            <w:tcBorders>
              <w:right w:val="single" w:color="auto" w:sz="4" w:space="0"/>
            </w:tcBorders>
            <w:vAlign w:val="center"/>
          </w:tcPr>
          <w:p w14:paraId="188AD02B">
            <w:pPr>
              <w:jc w:val="left"/>
              <w:rPr>
                <w:rFonts w:ascii="宋体" w:hAnsi="宋体"/>
                <w:color w:val="auto"/>
                <w:kern w:val="0"/>
                <w:szCs w:val="21"/>
                <w:highlight w:val="none"/>
              </w:rPr>
            </w:pPr>
            <w:r>
              <w:rPr>
                <w:rFonts w:hint="eastAsia" w:ascii="宋体" w:hAnsi="宋体"/>
                <w:color w:val="auto"/>
                <w:kern w:val="0"/>
                <w:szCs w:val="21"/>
                <w:highlight w:val="none"/>
              </w:rPr>
              <w:t>好，4-5分；</w:t>
            </w:r>
          </w:p>
          <w:p w14:paraId="0FAA23A7">
            <w:pPr>
              <w:jc w:val="left"/>
              <w:rPr>
                <w:rFonts w:ascii="宋体" w:hAnsi="宋体"/>
                <w:color w:val="auto"/>
                <w:kern w:val="0"/>
                <w:szCs w:val="21"/>
                <w:highlight w:val="none"/>
              </w:rPr>
            </w:pPr>
            <w:r>
              <w:rPr>
                <w:rFonts w:hint="eastAsia" w:ascii="宋体" w:hAnsi="宋体"/>
                <w:color w:val="auto"/>
                <w:kern w:val="0"/>
                <w:szCs w:val="21"/>
                <w:highlight w:val="none"/>
              </w:rPr>
              <w:t>较好，3-4分；</w:t>
            </w:r>
          </w:p>
          <w:p w14:paraId="367BA25A">
            <w:pPr>
              <w:rPr>
                <w:rFonts w:ascii="宋体" w:hAnsi="宋体"/>
                <w:color w:val="auto"/>
                <w:szCs w:val="21"/>
                <w:highlight w:val="none"/>
              </w:rPr>
            </w:pPr>
            <w:r>
              <w:rPr>
                <w:rFonts w:hint="eastAsia" w:ascii="宋体" w:hAnsi="宋体"/>
                <w:color w:val="auto"/>
                <w:kern w:val="0"/>
                <w:szCs w:val="21"/>
                <w:highlight w:val="none"/>
              </w:rPr>
              <w:t>一般，3分。</w:t>
            </w:r>
          </w:p>
        </w:tc>
      </w:tr>
      <w:tr w14:paraId="586EF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continue"/>
            <w:tcBorders>
              <w:left w:val="single" w:color="auto" w:sz="4" w:space="0"/>
            </w:tcBorders>
            <w:vAlign w:val="center"/>
          </w:tcPr>
          <w:p w14:paraId="0E5874D8">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1135EB87">
            <w:pPr>
              <w:adjustRightInd w:val="0"/>
              <w:snapToGrid w:val="0"/>
              <w:spacing w:beforeLines="10" w:afterLines="10"/>
              <w:jc w:val="center"/>
              <w:rPr>
                <w:rFonts w:ascii="宋体" w:hAnsi="宋体"/>
                <w:color w:val="auto"/>
                <w:highlight w:val="none"/>
              </w:rPr>
            </w:pPr>
          </w:p>
        </w:tc>
        <w:tc>
          <w:tcPr>
            <w:tcW w:w="993" w:type="dxa"/>
            <w:vMerge w:val="continue"/>
            <w:vAlign w:val="center"/>
          </w:tcPr>
          <w:p w14:paraId="0D593E5C">
            <w:pPr>
              <w:adjustRightInd w:val="0"/>
              <w:snapToGrid w:val="0"/>
              <w:spacing w:beforeLines="10" w:afterLines="10"/>
              <w:jc w:val="center"/>
              <w:rPr>
                <w:rFonts w:ascii="宋体" w:hAnsi="宋体"/>
                <w:color w:val="auto"/>
                <w:highlight w:val="none"/>
              </w:rPr>
            </w:pPr>
          </w:p>
        </w:tc>
        <w:tc>
          <w:tcPr>
            <w:tcW w:w="2125" w:type="dxa"/>
            <w:tcBorders>
              <w:top w:val="single" w:color="auto" w:sz="4" w:space="0"/>
            </w:tcBorders>
            <w:vAlign w:val="center"/>
          </w:tcPr>
          <w:p w14:paraId="12BE9937">
            <w:pPr>
              <w:ind w:right="113"/>
              <w:jc w:val="center"/>
              <w:rPr>
                <w:rFonts w:ascii="宋体" w:hAnsi="宋体"/>
                <w:color w:val="auto"/>
                <w:szCs w:val="21"/>
                <w:highlight w:val="none"/>
              </w:rPr>
            </w:pPr>
            <w:r>
              <w:rPr>
                <w:rFonts w:hint="eastAsia" w:ascii="宋体" w:hAnsi="宋体"/>
                <w:color w:val="auto"/>
                <w:szCs w:val="21"/>
                <w:highlight w:val="none"/>
              </w:rPr>
              <w:t>环境保护、水土保持、文明施工、文物保护保证体系及保证措施</w:t>
            </w:r>
          </w:p>
        </w:tc>
        <w:tc>
          <w:tcPr>
            <w:tcW w:w="531" w:type="dxa"/>
            <w:tcBorders>
              <w:bottom w:val="single" w:color="auto" w:sz="4" w:space="0"/>
            </w:tcBorders>
            <w:vAlign w:val="center"/>
          </w:tcPr>
          <w:p w14:paraId="4331C5AF">
            <w:pPr>
              <w:pStyle w:val="8"/>
              <w:tabs>
                <w:tab w:val="left" w:pos="457"/>
              </w:tabs>
              <w:spacing w:before="60" w:line="360" w:lineRule="atLeast"/>
              <w:jc w:val="center"/>
              <w:rPr>
                <w:color w:val="auto"/>
                <w:sz w:val="21"/>
                <w:szCs w:val="21"/>
                <w:highlight w:val="none"/>
              </w:rPr>
            </w:pPr>
            <w:r>
              <w:rPr>
                <w:rFonts w:hint="eastAsia"/>
                <w:color w:val="auto"/>
                <w:sz w:val="21"/>
                <w:szCs w:val="21"/>
                <w:highlight w:val="none"/>
              </w:rPr>
              <w:t>5</w:t>
            </w:r>
          </w:p>
        </w:tc>
        <w:tc>
          <w:tcPr>
            <w:tcW w:w="4104" w:type="dxa"/>
            <w:tcBorders>
              <w:right w:val="single" w:color="auto" w:sz="4" w:space="0"/>
            </w:tcBorders>
            <w:vAlign w:val="center"/>
          </w:tcPr>
          <w:p w14:paraId="19B35448">
            <w:pPr>
              <w:jc w:val="left"/>
              <w:rPr>
                <w:rFonts w:ascii="宋体" w:hAnsi="宋体"/>
                <w:color w:val="auto"/>
                <w:kern w:val="0"/>
                <w:szCs w:val="21"/>
                <w:highlight w:val="none"/>
              </w:rPr>
            </w:pPr>
            <w:r>
              <w:rPr>
                <w:rFonts w:hint="eastAsia" w:ascii="宋体" w:hAnsi="宋体"/>
                <w:color w:val="auto"/>
                <w:kern w:val="0"/>
                <w:szCs w:val="21"/>
                <w:highlight w:val="none"/>
              </w:rPr>
              <w:t>好，4-5分；</w:t>
            </w:r>
          </w:p>
          <w:p w14:paraId="405E6DDB">
            <w:pPr>
              <w:jc w:val="left"/>
              <w:rPr>
                <w:rFonts w:ascii="宋体" w:hAnsi="宋体"/>
                <w:color w:val="auto"/>
                <w:kern w:val="0"/>
                <w:szCs w:val="21"/>
                <w:highlight w:val="none"/>
              </w:rPr>
            </w:pPr>
            <w:r>
              <w:rPr>
                <w:rFonts w:hint="eastAsia" w:ascii="宋体" w:hAnsi="宋体"/>
                <w:color w:val="auto"/>
                <w:kern w:val="0"/>
                <w:szCs w:val="21"/>
                <w:highlight w:val="none"/>
              </w:rPr>
              <w:t>较好，3-4分；</w:t>
            </w:r>
          </w:p>
          <w:p w14:paraId="41646335">
            <w:pPr>
              <w:rPr>
                <w:rFonts w:ascii="宋体" w:hAnsi="宋体"/>
                <w:color w:val="auto"/>
                <w:szCs w:val="21"/>
                <w:highlight w:val="none"/>
              </w:rPr>
            </w:pPr>
            <w:r>
              <w:rPr>
                <w:rFonts w:hint="eastAsia" w:ascii="宋体" w:hAnsi="宋体"/>
                <w:color w:val="auto"/>
                <w:kern w:val="0"/>
                <w:szCs w:val="21"/>
                <w:highlight w:val="none"/>
              </w:rPr>
              <w:t>一般，3分。</w:t>
            </w:r>
          </w:p>
        </w:tc>
      </w:tr>
      <w:tr w14:paraId="2622B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6" w:type="dxa"/>
            <w:vMerge w:val="continue"/>
            <w:tcBorders>
              <w:left w:val="single" w:color="auto" w:sz="4" w:space="0"/>
            </w:tcBorders>
            <w:vAlign w:val="center"/>
          </w:tcPr>
          <w:p w14:paraId="0672D765">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4579ADAC">
            <w:pPr>
              <w:adjustRightInd w:val="0"/>
              <w:snapToGrid w:val="0"/>
              <w:spacing w:beforeLines="10" w:afterLines="10"/>
              <w:jc w:val="center"/>
              <w:rPr>
                <w:rFonts w:ascii="宋体" w:hAnsi="宋体"/>
                <w:color w:val="auto"/>
                <w:highlight w:val="none"/>
              </w:rPr>
            </w:pPr>
          </w:p>
        </w:tc>
        <w:tc>
          <w:tcPr>
            <w:tcW w:w="993" w:type="dxa"/>
            <w:vMerge w:val="continue"/>
            <w:vAlign w:val="center"/>
          </w:tcPr>
          <w:p w14:paraId="6F078BB3">
            <w:pPr>
              <w:adjustRightInd w:val="0"/>
              <w:snapToGrid w:val="0"/>
              <w:spacing w:beforeLines="10" w:afterLines="10"/>
              <w:jc w:val="center"/>
              <w:rPr>
                <w:rFonts w:ascii="宋体" w:hAnsi="宋体"/>
                <w:color w:val="auto"/>
                <w:highlight w:val="none"/>
              </w:rPr>
            </w:pPr>
          </w:p>
        </w:tc>
        <w:tc>
          <w:tcPr>
            <w:tcW w:w="2125" w:type="dxa"/>
            <w:tcBorders>
              <w:top w:val="single" w:color="auto" w:sz="4" w:space="0"/>
            </w:tcBorders>
            <w:vAlign w:val="center"/>
          </w:tcPr>
          <w:p w14:paraId="55A312AD">
            <w:pPr>
              <w:ind w:right="113"/>
              <w:jc w:val="center"/>
              <w:rPr>
                <w:rFonts w:ascii="宋体" w:hAnsi="宋体"/>
                <w:color w:val="auto"/>
                <w:szCs w:val="21"/>
                <w:highlight w:val="none"/>
              </w:rPr>
            </w:pPr>
            <w:r>
              <w:rPr>
                <w:rFonts w:hint="eastAsia" w:ascii="宋体" w:hAnsi="宋体"/>
                <w:color w:val="auto"/>
                <w:szCs w:val="21"/>
                <w:highlight w:val="none"/>
              </w:rPr>
              <w:t>项目风险预测与防范，事故应急预案</w:t>
            </w:r>
          </w:p>
        </w:tc>
        <w:tc>
          <w:tcPr>
            <w:tcW w:w="531" w:type="dxa"/>
            <w:tcBorders>
              <w:bottom w:val="single" w:color="auto" w:sz="4" w:space="0"/>
            </w:tcBorders>
            <w:vAlign w:val="center"/>
          </w:tcPr>
          <w:p w14:paraId="67C74479">
            <w:pPr>
              <w:pStyle w:val="8"/>
              <w:tabs>
                <w:tab w:val="left" w:pos="457"/>
              </w:tabs>
              <w:spacing w:before="60" w:line="360" w:lineRule="atLeast"/>
              <w:jc w:val="center"/>
              <w:rPr>
                <w:color w:val="auto"/>
                <w:sz w:val="21"/>
                <w:szCs w:val="21"/>
                <w:highlight w:val="none"/>
              </w:rPr>
            </w:pPr>
            <w:r>
              <w:rPr>
                <w:rFonts w:hint="eastAsia"/>
                <w:color w:val="auto"/>
                <w:sz w:val="21"/>
                <w:szCs w:val="21"/>
                <w:highlight w:val="none"/>
              </w:rPr>
              <w:t>2</w:t>
            </w:r>
          </w:p>
        </w:tc>
        <w:tc>
          <w:tcPr>
            <w:tcW w:w="4104" w:type="dxa"/>
            <w:tcBorders>
              <w:right w:val="single" w:color="auto" w:sz="4" w:space="0"/>
            </w:tcBorders>
            <w:vAlign w:val="center"/>
          </w:tcPr>
          <w:p w14:paraId="19445457">
            <w:pPr>
              <w:jc w:val="left"/>
              <w:rPr>
                <w:rFonts w:ascii="宋体" w:hAnsi="宋体"/>
                <w:color w:val="auto"/>
                <w:kern w:val="0"/>
                <w:szCs w:val="21"/>
                <w:highlight w:val="none"/>
              </w:rPr>
            </w:pPr>
            <w:r>
              <w:rPr>
                <w:rFonts w:hint="eastAsia" w:ascii="宋体" w:hAnsi="宋体"/>
                <w:color w:val="auto"/>
                <w:kern w:val="0"/>
                <w:szCs w:val="21"/>
                <w:highlight w:val="none"/>
              </w:rPr>
              <w:t>好，1.6-2分；</w:t>
            </w:r>
          </w:p>
          <w:p w14:paraId="2112EC5D">
            <w:pPr>
              <w:jc w:val="left"/>
              <w:rPr>
                <w:rFonts w:ascii="宋体" w:hAnsi="宋体"/>
                <w:color w:val="auto"/>
                <w:kern w:val="0"/>
                <w:szCs w:val="21"/>
                <w:highlight w:val="none"/>
              </w:rPr>
            </w:pPr>
            <w:r>
              <w:rPr>
                <w:rFonts w:hint="eastAsia" w:ascii="宋体" w:hAnsi="宋体"/>
                <w:color w:val="auto"/>
                <w:kern w:val="0"/>
                <w:szCs w:val="21"/>
                <w:highlight w:val="none"/>
              </w:rPr>
              <w:t>较好，1.2-1.6分；</w:t>
            </w:r>
          </w:p>
          <w:p w14:paraId="2E4C9CF1">
            <w:pPr>
              <w:rPr>
                <w:rFonts w:ascii="宋体" w:hAnsi="宋体"/>
                <w:color w:val="auto"/>
                <w:szCs w:val="21"/>
                <w:highlight w:val="none"/>
              </w:rPr>
            </w:pPr>
            <w:r>
              <w:rPr>
                <w:rFonts w:hint="eastAsia" w:ascii="宋体" w:hAnsi="宋体"/>
                <w:color w:val="auto"/>
                <w:kern w:val="0"/>
                <w:szCs w:val="21"/>
                <w:highlight w:val="none"/>
              </w:rPr>
              <w:t>一般，1.2分。</w:t>
            </w:r>
          </w:p>
        </w:tc>
      </w:tr>
      <w:tr w14:paraId="06CD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6" w:type="dxa"/>
            <w:vMerge w:val="restart"/>
            <w:vAlign w:val="center"/>
          </w:tcPr>
          <w:p w14:paraId="4A81833A">
            <w:pPr>
              <w:adjustRightInd w:val="0"/>
              <w:snapToGrid w:val="0"/>
              <w:spacing w:beforeLines="10" w:afterLines="10"/>
              <w:jc w:val="center"/>
              <w:rPr>
                <w:rFonts w:ascii="宋体" w:hAnsi="宋体"/>
                <w:color w:val="auto"/>
                <w:highlight w:val="none"/>
              </w:rPr>
            </w:pPr>
            <w:r>
              <w:rPr>
                <w:rFonts w:ascii="宋体" w:hAnsi="宋体"/>
                <w:color w:val="auto"/>
                <w:highlight w:val="none"/>
              </w:rPr>
              <w:t>2.2.</w:t>
            </w:r>
            <w:r>
              <w:rPr>
                <w:rFonts w:hint="eastAsia" w:ascii="宋体" w:hAnsi="宋体"/>
                <w:color w:val="auto"/>
                <w:highlight w:val="none"/>
              </w:rPr>
              <w:t>2</w:t>
            </w:r>
            <w:r>
              <w:rPr>
                <w:rFonts w:ascii="宋体" w:hAnsi="宋体"/>
                <w:color w:val="auto"/>
                <w:highlight w:val="none"/>
              </w:rPr>
              <w:t>（2）</w:t>
            </w:r>
          </w:p>
        </w:tc>
        <w:tc>
          <w:tcPr>
            <w:tcW w:w="1002" w:type="dxa"/>
            <w:gridSpan w:val="2"/>
            <w:vMerge w:val="restart"/>
            <w:vAlign w:val="center"/>
          </w:tcPr>
          <w:p w14:paraId="05B6D5B7">
            <w:pPr>
              <w:adjustRightInd w:val="0"/>
              <w:snapToGrid w:val="0"/>
              <w:spacing w:beforeLines="10" w:afterLines="10"/>
              <w:jc w:val="center"/>
              <w:rPr>
                <w:rFonts w:hint="eastAsia" w:ascii="宋体" w:hAnsi="宋体" w:eastAsia="宋体"/>
                <w:color w:val="auto"/>
                <w:highlight w:val="none"/>
                <w:lang w:eastAsia="zh-CN"/>
              </w:rPr>
            </w:pPr>
            <w:r>
              <w:rPr>
                <w:rFonts w:hint="eastAsia" w:ascii="宋体" w:hAnsi="宋体"/>
                <w:color w:val="auto"/>
                <w:highlight w:val="none"/>
              </w:rPr>
              <w:t>主要</w:t>
            </w:r>
          </w:p>
          <w:p w14:paraId="638724BB">
            <w:pPr>
              <w:adjustRightInd w:val="0"/>
              <w:snapToGrid w:val="0"/>
              <w:spacing w:beforeLines="10" w:afterLines="10"/>
              <w:jc w:val="center"/>
              <w:rPr>
                <w:rFonts w:ascii="宋体" w:hAnsi="宋体"/>
                <w:color w:val="auto"/>
                <w:highlight w:val="none"/>
              </w:rPr>
            </w:pPr>
            <w:r>
              <w:rPr>
                <w:rFonts w:hint="eastAsia" w:ascii="宋体" w:hAnsi="宋体"/>
                <w:color w:val="auto"/>
                <w:highlight w:val="none"/>
              </w:rPr>
              <w:t>人员</w:t>
            </w:r>
          </w:p>
        </w:tc>
        <w:tc>
          <w:tcPr>
            <w:tcW w:w="993" w:type="dxa"/>
            <w:vMerge w:val="restart"/>
            <w:vAlign w:val="center"/>
          </w:tcPr>
          <w:p w14:paraId="38937546">
            <w:pPr>
              <w:adjustRightInd w:val="0"/>
              <w:snapToGrid w:val="0"/>
              <w:spacing w:beforeLines="10" w:afterLines="10"/>
              <w:jc w:val="center"/>
              <w:rPr>
                <w:rFonts w:ascii="宋体" w:hAnsi="宋体"/>
                <w:color w:val="auto"/>
                <w:highlight w:val="none"/>
              </w:rPr>
            </w:pPr>
            <w:r>
              <w:rPr>
                <w:rFonts w:hint="eastAsia" w:ascii="宋体" w:hAnsi="宋体"/>
                <w:color w:val="auto"/>
                <w:highlight w:val="none"/>
              </w:rPr>
              <w:t>25</w:t>
            </w:r>
            <w:r>
              <w:rPr>
                <w:rFonts w:ascii="宋体" w:hAnsi="宋体"/>
                <w:color w:val="auto"/>
                <w:highlight w:val="none"/>
              </w:rPr>
              <w:t>分</w:t>
            </w:r>
          </w:p>
        </w:tc>
        <w:tc>
          <w:tcPr>
            <w:tcW w:w="2125" w:type="dxa"/>
            <w:vAlign w:val="center"/>
          </w:tcPr>
          <w:p w14:paraId="604DBF8C">
            <w:pPr>
              <w:adjustRightInd w:val="0"/>
              <w:snapToGrid w:val="0"/>
              <w:spacing w:beforeLines="10" w:afterLines="10"/>
              <w:jc w:val="center"/>
              <w:rPr>
                <w:rFonts w:ascii="宋体" w:hAnsi="宋体"/>
                <w:color w:val="auto"/>
                <w:highlight w:val="none"/>
              </w:rPr>
            </w:pPr>
            <w:r>
              <w:rPr>
                <w:rFonts w:ascii="宋体" w:hAnsi="宋体"/>
                <w:color w:val="auto"/>
                <w:highlight w:val="none"/>
              </w:rPr>
              <w:t>项目经理</w:t>
            </w:r>
          </w:p>
          <w:p w14:paraId="23505531">
            <w:pPr>
              <w:adjustRightInd w:val="0"/>
              <w:snapToGrid w:val="0"/>
              <w:spacing w:beforeLines="10" w:afterLines="10"/>
              <w:jc w:val="center"/>
              <w:rPr>
                <w:rFonts w:ascii="宋体" w:hAnsi="宋体"/>
                <w:color w:val="auto"/>
                <w:highlight w:val="none"/>
              </w:rPr>
            </w:pPr>
            <w:r>
              <w:rPr>
                <w:rFonts w:ascii="宋体" w:hAnsi="宋体"/>
                <w:color w:val="auto"/>
                <w:highlight w:val="none"/>
              </w:rPr>
              <w:t>任职</w:t>
            </w:r>
            <w:r>
              <w:rPr>
                <w:rFonts w:hint="eastAsia" w:ascii="宋体" w:hAnsi="宋体"/>
                <w:color w:val="auto"/>
                <w:highlight w:val="none"/>
              </w:rPr>
              <w:t>资格与业绩</w:t>
            </w:r>
          </w:p>
        </w:tc>
        <w:tc>
          <w:tcPr>
            <w:tcW w:w="531" w:type="dxa"/>
            <w:vAlign w:val="center"/>
          </w:tcPr>
          <w:p w14:paraId="0B37B162">
            <w:pPr>
              <w:adjustRightInd w:val="0"/>
              <w:snapToGrid w:val="0"/>
              <w:spacing w:beforeLines="10" w:afterLines="10"/>
              <w:jc w:val="center"/>
              <w:rPr>
                <w:rFonts w:ascii="宋体" w:hAnsi="宋体"/>
                <w:color w:val="auto"/>
                <w:highlight w:val="none"/>
              </w:rPr>
            </w:pPr>
            <w:r>
              <w:rPr>
                <w:rFonts w:hint="eastAsia" w:ascii="宋体" w:hAnsi="宋体"/>
                <w:color w:val="auto"/>
                <w:highlight w:val="none"/>
              </w:rPr>
              <w:t>15</w:t>
            </w:r>
          </w:p>
        </w:tc>
        <w:tc>
          <w:tcPr>
            <w:tcW w:w="4104" w:type="dxa"/>
            <w:vAlign w:val="center"/>
          </w:tcPr>
          <w:p w14:paraId="4171BC69">
            <w:pPr>
              <w:pStyle w:val="4"/>
              <w:rPr>
                <w:rFonts w:hAnsi="宋体" w:cs="宋体"/>
                <w:color w:val="auto"/>
                <w:highlight w:val="none"/>
              </w:rPr>
            </w:pPr>
            <w:r>
              <w:rPr>
                <w:rFonts w:hint="eastAsia" w:hAnsi="宋体" w:cs="宋体"/>
                <w:color w:val="auto"/>
                <w:highlight w:val="none"/>
              </w:rPr>
              <w:t>满足最低资格审查条件得9分，</w:t>
            </w:r>
            <w:r>
              <w:rPr>
                <w:rFonts w:hint="eastAsia" w:hAnsi="宋体" w:cs="宋体"/>
                <w:color w:val="auto"/>
                <w:highlight w:val="none"/>
                <w:lang w:val="en-US" w:eastAsia="zh-CN"/>
              </w:rPr>
              <w:t>每担任过1项二级或二级以上公路长隧道或特长隧道施工的项目经理加6分，最多加6分。</w:t>
            </w:r>
          </w:p>
          <w:p w14:paraId="0DFA6ED7">
            <w:pPr>
              <w:keepNext w:val="0"/>
              <w:keepLines w:val="0"/>
              <w:widowControl/>
              <w:suppressLineNumbers w:val="0"/>
              <w:jc w:val="left"/>
              <w:rPr>
                <w:rFonts w:hint="default" w:ascii="楷体" w:hAnsi="楷体" w:eastAsia="楷体" w:cs="楷体"/>
                <w:color w:val="auto"/>
                <w:highlight w:val="none"/>
                <w:lang w:val="en-US" w:eastAsia="zh-CN"/>
              </w:rPr>
            </w:pPr>
            <w:r>
              <w:rPr>
                <w:rFonts w:hint="eastAsia" w:ascii="楷体" w:hAnsi="楷体" w:eastAsia="楷体" w:cs="楷体"/>
                <w:color w:val="auto"/>
                <w:highlight w:val="none"/>
              </w:rPr>
              <w:t>注：项目经理个人</w:t>
            </w:r>
            <w:r>
              <w:rPr>
                <w:rFonts w:hint="eastAsia" w:ascii="楷体" w:hAnsi="楷体" w:eastAsia="楷体" w:cs="楷体"/>
                <w:color w:val="auto"/>
                <w:highlight w:val="none"/>
                <w:lang w:val="en-US" w:eastAsia="zh-CN"/>
              </w:rPr>
              <w:t>业绩均应是已列入交通运输部“全国公路建设市场监督管理系统（https://hwdms.mot.gov.cn/BMWebSite/）”或省级交通运输主管部门“公路建设市场信用信息管理系统”并公开的总包已建业绩（</w:t>
            </w:r>
            <w:r>
              <w:rPr>
                <w:rFonts w:hint="eastAsia" w:ascii="宋体" w:hAnsi="宋体"/>
                <w:color w:val="auto"/>
                <w:kern w:val="0"/>
                <w:szCs w:val="21"/>
                <w:highlight w:val="none"/>
                <w:lang w:val="zh-CN" w:eastAsia="zh-CN"/>
              </w:rPr>
              <w:t>业绩应为国内新建或改扩建工程业绩）</w:t>
            </w:r>
            <w:r>
              <w:rPr>
                <w:rFonts w:hint="eastAsia" w:ascii="楷体" w:hAnsi="楷体" w:eastAsia="楷体" w:cs="楷体"/>
                <w:color w:val="auto"/>
                <w:highlight w:val="none"/>
                <w:lang w:val="en-US" w:eastAsia="zh-CN"/>
              </w:rPr>
              <w:t>。</w:t>
            </w:r>
          </w:p>
        </w:tc>
      </w:tr>
      <w:tr w14:paraId="38D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6" w:type="dxa"/>
            <w:vMerge w:val="continue"/>
            <w:vAlign w:val="center"/>
          </w:tcPr>
          <w:p w14:paraId="0677F614">
            <w:pPr>
              <w:adjustRightInd w:val="0"/>
              <w:snapToGrid w:val="0"/>
              <w:spacing w:beforeLines="10" w:afterLines="10"/>
              <w:jc w:val="center"/>
              <w:rPr>
                <w:rFonts w:ascii="宋体" w:hAnsi="宋体"/>
                <w:color w:val="auto"/>
                <w:highlight w:val="none"/>
              </w:rPr>
            </w:pPr>
          </w:p>
        </w:tc>
        <w:tc>
          <w:tcPr>
            <w:tcW w:w="1002" w:type="dxa"/>
            <w:gridSpan w:val="2"/>
            <w:vMerge w:val="continue"/>
            <w:vAlign w:val="center"/>
          </w:tcPr>
          <w:p w14:paraId="29670540">
            <w:pPr>
              <w:adjustRightInd w:val="0"/>
              <w:snapToGrid w:val="0"/>
              <w:spacing w:beforeLines="10" w:afterLines="10"/>
              <w:jc w:val="center"/>
              <w:rPr>
                <w:rFonts w:ascii="宋体" w:hAnsi="宋体"/>
                <w:color w:val="auto"/>
                <w:highlight w:val="none"/>
              </w:rPr>
            </w:pPr>
          </w:p>
        </w:tc>
        <w:tc>
          <w:tcPr>
            <w:tcW w:w="993" w:type="dxa"/>
            <w:vMerge w:val="continue"/>
            <w:vAlign w:val="center"/>
          </w:tcPr>
          <w:p w14:paraId="589D8C00">
            <w:pPr>
              <w:adjustRightInd w:val="0"/>
              <w:snapToGrid w:val="0"/>
              <w:spacing w:beforeLines="10" w:afterLines="10"/>
              <w:jc w:val="center"/>
              <w:rPr>
                <w:rFonts w:ascii="宋体" w:hAnsi="宋体"/>
                <w:color w:val="auto"/>
                <w:highlight w:val="none"/>
              </w:rPr>
            </w:pPr>
          </w:p>
        </w:tc>
        <w:tc>
          <w:tcPr>
            <w:tcW w:w="2125" w:type="dxa"/>
            <w:vAlign w:val="center"/>
          </w:tcPr>
          <w:p w14:paraId="4453B69F">
            <w:pPr>
              <w:adjustRightInd w:val="0"/>
              <w:snapToGrid w:val="0"/>
              <w:spacing w:beforeLines="10" w:afterLines="10"/>
              <w:jc w:val="center"/>
              <w:rPr>
                <w:rFonts w:ascii="宋体" w:hAnsi="宋体"/>
                <w:color w:val="auto"/>
                <w:highlight w:val="none"/>
              </w:rPr>
            </w:pPr>
            <w:r>
              <w:rPr>
                <w:rFonts w:ascii="宋体" w:hAnsi="宋体"/>
                <w:color w:val="auto"/>
                <w:highlight w:val="none"/>
              </w:rPr>
              <w:t>项目</w:t>
            </w:r>
            <w:r>
              <w:rPr>
                <w:rFonts w:hint="eastAsia" w:ascii="宋体" w:hAnsi="宋体"/>
                <w:color w:val="auto"/>
                <w:highlight w:val="none"/>
              </w:rPr>
              <w:t>总工</w:t>
            </w:r>
          </w:p>
          <w:p w14:paraId="14816CA2">
            <w:pPr>
              <w:adjustRightInd w:val="0"/>
              <w:snapToGrid w:val="0"/>
              <w:spacing w:beforeLines="10" w:afterLines="10"/>
              <w:jc w:val="center"/>
              <w:rPr>
                <w:rFonts w:ascii="宋体" w:hAnsi="宋体"/>
                <w:color w:val="auto"/>
                <w:highlight w:val="none"/>
              </w:rPr>
            </w:pPr>
            <w:r>
              <w:rPr>
                <w:rFonts w:ascii="宋体" w:hAnsi="宋体"/>
                <w:color w:val="auto"/>
                <w:highlight w:val="none"/>
              </w:rPr>
              <w:t>任职</w:t>
            </w:r>
            <w:r>
              <w:rPr>
                <w:rFonts w:hint="eastAsia" w:ascii="宋体" w:hAnsi="宋体"/>
                <w:color w:val="auto"/>
                <w:highlight w:val="none"/>
              </w:rPr>
              <w:t>资格与业绩</w:t>
            </w:r>
          </w:p>
        </w:tc>
        <w:tc>
          <w:tcPr>
            <w:tcW w:w="531" w:type="dxa"/>
            <w:vAlign w:val="center"/>
          </w:tcPr>
          <w:p w14:paraId="74900497">
            <w:pPr>
              <w:adjustRightInd w:val="0"/>
              <w:snapToGrid w:val="0"/>
              <w:spacing w:beforeLines="10" w:afterLines="10"/>
              <w:jc w:val="center"/>
              <w:rPr>
                <w:rFonts w:ascii="宋体" w:hAnsi="宋体"/>
                <w:color w:val="auto"/>
                <w:highlight w:val="none"/>
              </w:rPr>
            </w:pPr>
            <w:r>
              <w:rPr>
                <w:rFonts w:hint="eastAsia" w:ascii="宋体" w:hAnsi="宋体"/>
                <w:color w:val="auto"/>
                <w:highlight w:val="none"/>
              </w:rPr>
              <w:t>10</w:t>
            </w:r>
          </w:p>
        </w:tc>
        <w:tc>
          <w:tcPr>
            <w:tcW w:w="4104" w:type="dxa"/>
            <w:vAlign w:val="center"/>
          </w:tcPr>
          <w:p w14:paraId="3AFFEFB3">
            <w:pPr>
              <w:pStyle w:val="4"/>
              <w:rPr>
                <w:rFonts w:hAnsi="宋体" w:cs="宋体"/>
                <w:color w:val="auto"/>
                <w:highlight w:val="none"/>
              </w:rPr>
            </w:pPr>
            <w:r>
              <w:rPr>
                <w:rFonts w:hint="eastAsia" w:hAnsi="宋体" w:cs="宋体"/>
                <w:color w:val="auto"/>
                <w:highlight w:val="none"/>
              </w:rPr>
              <w:t>满足最低资格审查条件得6分，</w:t>
            </w:r>
            <w:r>
              <w:rPr>
                <w:rFonts w:hint="eastAsia" w:hAnsi="宋体" w:cs="宋体"/>
                <w:color w:val="auto"/>
                <w:highlight w:val="none"/>
                <w:lang w:val="en-US" w:eastAsia="zh-CN"/>
              </w:rPr>
              <w:t>每担任过1项二级或二级以上公路长隧道或特长隧道施工的项目总工加4分，最多加 4分</w:t>
            </w:r>
            <w:r>
              <w:rPr>
                <w:rFonts w:hint="eastAsia" w:hAnsi="宋体" w:cs="宋体"/>
                <w:color w:val="auto"/>
                <w:highlight w:val="none"/>
              </w:rPr>
              <w:t>。</w:t>
            </w:r>
          </w:p>
          <w:p w14:paraId="6061007B">
            <w:pPr>
              <w:pStyle w:val="4"/>
              <w:rPr>
                <w:color w:val="auto"/>
                <w:highlight w:val="none"/>
              </w:rPr>
            </w:pPr>
            <w:r>
              <w:rPr>
                <w:rFonts w:hint="eastAsia" w:ascii="楷体" w:hAnsi="楷体" w:eastAsia="楷体" w:cs="楷体"/>
                <w:color w:val="auto"/>
                <w:highlight w:val="none"/>
              </w:rPr>
              <w:t>注：</w:t>
            </w:r>
            <w:r>
              <w:rPr>
                <w:rFonts w:hint="eastAsia" w:ascii="楷体" w:hAnsi="楷体" w:eastAsia="楷体" w:cs="楷体"/>
                <w:color w:val="auto"/>
                <w:highlight w:val="none"/>
                <w:lang w:val="en-US" w:eastAsia="zh-CN"/>
              </w:rPr>
              <w:t>项目总工</w:t>
            </w:r>
            <w:r>
              <w:rPr>
                <w:rFonts w:hint="eastAsia" w:ascii="楷体" w:hAnsi="楷体" w:eastAsia="楷体" w:cs="楷体"/>
                <w:color w:val="auto"/>
                <w:highlight w:val="none"/>
              </w:rPr>
              <w:t>个人</w:t>
            </w:r>
            <w:r>
              <w:rPr>
                <w:rFonts w:hint="eastAsia" w:ascii="楷体" w:hAnsi="楷体" w:eastAsia="楷体" w:cs="楷体"/>
                <w:color w:val="auto"/>
                <w:highlight w:val="none"/>
                <w:lang w:val="en-US" w:eastAsia="zh-CN"/>
              </w:rPr>
              <w:t>业绩均应是已列入交通运输部“全国公路建设市场监督管理系统（https://hwdms.mot.gov.cn/BMWebSite/）”或省级交通运输主管部门“公路建设市场信用信息管理系统”并公开的总包已建业绩（</w:t>
            </w:r>
            <w:r>
              <w:rPr>
                <w:rFonts w:hint="eastAsia" w:ascii="宋体" w:hAnsi="宋体"/>
                <w:color w:val="auto"/>
                <w:kern w:val="0"/>
                <w:szCs w:val="21"/>
                <w:highlight w:val="none"/>
                <w:lang w:val="zh-CN" w:eastAsia="zh-CN"/>
              </w:rPr>
              <w:t>业绩应为国内新建或改扩建工程业绩）</w:t>
            </w:r>
            <w:r>
              <w:rPr>
                <w:rFonts w:hint="eastAsia" w:ascii="楷体" w:hAnsi="楷体" w:eastAsia="楷体" w:cs="楷体"/>
                <w:color w:val="auto"/>
                <w:highlight w:val="none"/>
                <w:lang w:val="en-US" w:eastAsia="zh-CN"/>
              </w:rPr>
              <w:t>。</w:t>
            </w:r>
          </w:p>
        </w:tc>
      </w:tr>
      <w:tr w14:paraId="02C4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53" w:hRule="atLeast"/>
        </w:trPr>
        <w:tc>
          <w:tcPr>
            <w:tcW w:w="586" w:type="dxa"/>
            <w:vMerge w:val="restart"/>
            <w:vAlign w:val="center"/>
          </w:tcPr>
          <w:p w14:paraId="4244EC8A">
            <w:pPr>
              <w:adjustRightInd w:val="0"/>
              <w:snapToGrid w:val="0"/>
              <w:spacing w:beforeLines="20" w:afterLines="20"/>
              <w:jc w:val="center"/>
              <w:rPr>
                <w:rFonts w:ascii="宋体" w:hAnsi="宋体"/>
                <w:color w:val="auto"/>
                <w:highlight w:val="none"/>
              </w:rPr>
            </w:pPr>
            <w:r>
              <w:rPr>
                <w:rFonts w:ascii="宋体" w:hAnsi="宋体"/>
                <w:color w:val="auto"/>
                <w:highlight w:val="none"/>
              </w:rPr>
              <w:t>2.2.</w:t>
            </w: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3）</w:t>
            </w:r>
          </w:p>
        </w:tc>
        <w:tc>
          <w:tcPr>
            <w:tcW w:w="500" w:type="dxa"/>
            <w:vMerge w:val="restart"/>
            <w:vAlign w:val="center"/>
          </w:tcPr>
          <w:p w14:paraId="7B4B0EDA">
            <w:pPr>
              <w:adjustRightInd w:val="0"/>
              <w:snapToGrid w:val="0"/>
              <w:spacing w:beforeLines="20" w:afterLines="20"/>
              <w:ind w:left="113" w:right="113"/>
              <w:jc w:val="center"/>
              <w:rPr>
                <w:rFonts w:ascii="宋体" w:hAnsi="宋体"/>
                <w:color w:val="auto"/>
                <w:highlight w:val="none"/>
              </w:rPr>
            </w:pPr>
            <w:r>
              <w:rPr>
                <w:rFonts w:ascii="宋体" w:hAnsi="宋体"/>
                <w:color w:val="auto"/>
                <w:highlight w:val="none"/>
              </w:rPr>
              <w:t>其他因素</w:t>
            </w:r>
          </w:p>
        </w:tc>
        <w:tc>
          <w:tcPr>
            <w:tcW w:w="502" w:type="dxa"/>
            <w:vAlign w:val="center"/>
          </w:tcPr>
          <w:p w14:paraId="2FEB0938">
            <w:pPr>
              <w:adjustRightInd w:val="0"/>
              <w:snapToGrid w:val="0"/>
              <w:spacing w:beforeLines="20" w:afterLines="20"/>
              <w:ind w:left="113" w:right="113"/>
              <w:jc w:val="center"/>
              <w:rPr>
                <w:rFonts w:ascii="宋体" w:hAnsi="宋体"/>
                <w:color w:val="auto"/>
                <w:highlight w:val="none"/>
              </w:rPr>
            </w:pPr>
            <w:r>
              <w:rPr>
                <w:rFonts w:hint="eastAsia" w:ascii="宋体" w:hAnsi="宋体"/>
                <w:color w:val="auto"/>
                <w:highlight w:val="none"/>
              </w:rPr>
              <w:t>企业业绩</w:t>
            </w:r>
          </w:p>
        </w:tc>
        <w:tc>
          <w:tcPr>
            <w:tcW w:w="993" w:type="dxa"/>
            <w:vAlign w:val="center"/>
          </w:tcPr>
          <w:p w14:paraId="56B46910">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20</w:t>
            </w:r>
            <w:r>
              <w:rPr>
                <w:rFonts w:ascii="宋体" w:hAnsi="宋体"/>
                <w:color w:val="auto"/>
                <w:highlight w:val="none"/>
              </w:rPr>
              <w:t>分</w:t>
            </w:r>
          </w:p>
        </w:tc>
        <w:tc>
          <w:tcPr>
            <w:tcW w:w="2125" w:type="dxa"/>
            <w:vAlign w:val="center"/>
          </w:tcPr>
          <w:p w14:paraId="0F737474">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企业业绩</w:t>
            </w:r>
          </w:p>
        </w:tc>
        <w:tc>
          <w:tcPr>
            <w:tcW w:w="531" w:type="dxa"/>
            <w:vAlign w:val="center"/>
          </w:tcPr>
          <w:p w14:paraId="38B899DC">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20</w:t>
            </w:r>
          </w:p>
        </w:tc>
        <w:tc>
          <w:tcPr>
            <w:tcW w:w="4104" w:type="dxa"/>
            <w:vAlign w:val="center"/>
          </w:tcPr>
          <w:p w14:paraId="2F9E20CB">
            <w:pPr>
              <w:pStyle w:val="4"/>
              <w:rPr>
                <w:rFonts w:hint="eastAsia" w:hAnsi="宋体" w:cs="宋体"/>
                <w:color w:val="auto"/>
                <w:highlight w:val="none"/>
                <w:lang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rPr>
              <w:t>满足最低资格审查条件得</w:t>
            </w:r>
            <w:r>
              <w:rPr>
                <w:rFonts w:hint="eastAsia" w:hAnsi="宋体" w:cs="宋体"/>
                <w:color w:val="auto"/>
                <w:highlight w:val="none"/>
                <w:lang w:val="en-US" w:eastAsia="zh-CN"/>
              </w:rPr>
              <w:t>12</w:t>
            </w:r>
            <w:r>
              <w:rPr>
                <w:rFonts w:hint="eastAsia" w:hAnsi="宋体" w:cs="宋体"/>
                <w:color w:val="auto"/>
                <w:highlight w:val="none"/>
              </w:rPr>
              <w:t>分</w:t>
            </w:r>
            <w:r>
              <w:rPr>
                <w:rFonts w:hint="eastAsia" w:hAnsi="宋体" w:cs="宋体"/>
                <w:color w:val="auto"/>
                <w:highlight w:val="none"/>
                <w:lang w:eastAsia="zh-CN"/>
              </w:rPr>
              <w:t>。</w:t>
            </w:r>
          </w:p>
          <w:p w14:paraId="11EF7D46">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（2）每增加</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0公里</w:t>
            </w:r>
            <w:r>
              <w:rPr>
                <w:rFonts w:ascii="宋体" w:hAnsi="宋体" w:cs="宋体"/>
                <w:color w:val="auto"/>
                <w:kern w:val="0"/>
                <w:szCs w:val="21"/>
                <w:highlight w:val="none"/>
              </w:rPr>
              <w:t>二级或二级以上</w:t>
            </w:r>
            <w:r>
              <w:rPr>
                <w:rFonts w:hint="eastAsia" w:ascii="宋体" w:hAnsi="宋体" w:cs="宋体"/>
                <w:color w:val="auto"/>
                <w:kern w:val="2"/>
                <w:sz w:val="21"/>
                <w:szCs w:val="21"/>
                <w:highlight w:val="none"/>
                <w:lang w:val="en-US" w:eastAsia="zh-CN" w:bidi="ar-SA"/>
              </w:rPr>
              <w:t>公路</w:t>
            </w:r>
            <w:r>
              <w:rPr>
                <w:rFonts w:hint="eastAsia" w:ascii="宋体" w:hAnsi="宋体" w:eastAsia="宋体" w:cs="宋体"/>
                <w:color w:val="auto"/>
                <w:kern w:val="2"/>
                <w:sz w:val="21"/>
                <w:szCs w:val="21"/>
                <w:highlight w:val="none"/>
                <w:lang w:val="en-US" w:eastAsia="zh-CN" w:bidi="ar-SA"/>
              </w:rPr>
              <w:t>路基工程</w:t>
            </w:r>
            <w:r>
              <w:rPr>
                <w:rFonts w:hint="eastAsia" w:ascii="宋体" w:hAnsi="宋体" w:cs="宋体"/>
                <w:color w:val="auto"/>
                <w:kern w:val="2"/>
                <w:sz w:val="21"/>
                <w:szCs w:val="21"/>
                <w:highlight w:val="none"/>
                <w:lang w:val="en-US" w:eastAsia="zh-CN" w:bidi="ar-SA"/>
              </w:rPr>
              <w:t>施工</w:t>
            </w:r>
            <w:r>
              <w:rPr>
                <w:rFonts w:hint="eastAsia" w:ascii="宋体" w:hAnsi="宋体" w:eastAsia="宋体" w:cs="宋体"/>
                <w:color w:val="auto"/>
                <w:kern w:val="2"/>
                <w:sz w:val="21"/>
                <w:szCs w:val="21"/>
                <w:highlight w:val="none"/>
                <w:lang w:val="en-US" w:eastAsia="zh-CN" w:bidi="ar-SA"/>
              </w:rPr>
              <w:t>有效业绩加</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分，最多加</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分，中间内插计算得分。</w:t>
            </w:r>
          </w:p>
          <w:p w14:paraId="21C5F615">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（3）每增加</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0公里</w:t>
            </w:r>
            <w:r>
              <w:rPr>
                <w:rFonts w:ascii="宋体" w:hAnsi="宋体" w:cs="宋体"/>
                <w:color w:val="auto"/>
                <w:kern w:val="0"/>
                <w:szCs w:val="21"/>
                <w:highlight w:val="none"/>
              </w:rPr>
              <w:t>二级或二级以上</w:t>
            </w:r>
            <w:r>
              <w:rPr>
                <w:rFonts w:hint="eastAsia" w:ascii="宋体" w:hAnsi="宋体" w:cs="宋体"/>
                <w:color w:val="auto"/>
                <w:kern w:val="2"/>
                <w:sz w:val="21"/>
                <w:szCs w:val="21"/>
                <w:highlight w:val="none"/>
                <w:lang w:val="en-US" w:eastAsia="zh-CN" w:bidi="ar-SA"/>
              </w:rPr>
              <w:t>公路</w:t>
            </w:r>
            <w:r>
              <w:rPr>
                <w:rFonts w:hint="eastAsia" w:ascii="宋体" w:hAnsi="宋体" w:eastAsia="宋体" w:cs="宋体"/>
                <w:color w:val="auto"/>
                <w:kern w:val="2"/>
                <w:sz w:val="21"/>
                <w:szCs w:val="21"/>
                <w:highlight w:val="none"/>
                <w:lang w:val="en-US" w:eastAsia="zh-CN" w:bidi="ar-SA"/>
              </w:rPr>
              <w:t>沥青混凝土路面工程</w:t>
            </w:r>
            <w:r>
              <w:rPr>
                <w:rFonts w:hint="eastAsia" w:ascii="宋体" w:hAnsi="宋体" w:cs="宋体"/>
                <w:color w:val="auto"/>
                <w:kern w:val="2"/>
                <w:sz w:val="21"/>
                <w:szCs w:val="21"/>
                <w:highlight w:val="none"/>
                <w:lang w:val="en-US" w:eastAsia="zh-CN" w:bidi="ar-SA"/>
              </w:rPr>
              <w:t>施工</w:t>
            </w:r>
            <w:r>
              <w:rPr>
                <w:rFonts w:hint="eastAsia" w:ascii="宋体" w:hAnsi="宋体" w:eastAsia="宋体" w:cs="宋体"/>
                <w:color w:val="auto"/>
                <w:kern w:val="2"/>
                <w:sz w:val="21"/>
                <w:szCs w:val="21"/>
                <w:highlight w:val="none"/>
                <w:lang w:val="en-US" w:eastAsia="zh-CN" w:bidi="ar-SA"/>
              </w:rPr>
              <w:t>有效业绩加</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分，最多加</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分，中间内插计算得分。</w:t>
            </w:r>
          </w:p>
          <w:p w14:paraId="0289C5A4">
            <w:pPr>
              <w:keepNext w:val="0"/>
              <w:keepLines w:val="0"/>
              <w:widowControl/>
              <w:suppressLineNumbers w:val="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（4）每增加1座</w:t>
            </w:r>
            <w:r>
              <w:rPr>
                <w:rFonts w:ascii="宋体" w:hAnsi="宋体" w:cs="宋体"/>
                <w:color w:val="auto"/>
                <w:kern w:val="0"/>
                <w:szCs w:val="21"/>
                <w:highlight w:val="none"/>
              </w:rPr>
              <w:t>二级或二级以上</w:t>
            </w:r>
            <w:r>
              <w:rPr>
                <w:rFonts w:hint="eastAsia" w:ascii="宋体" w:hAnsi="宋体" w:cs="宋体"/>
                <w:color w:val="auto"/>
                <w:kern w:val="2"/>
                <w:sz w:val="21"/>
                <w:szCs w:val="21"/>
                <w:highlight w:val="none"/>
                <w:lang w:val="en-US" w:eastAsia="zh-CN" w:bidi="ar-SA"/>
              </w:rPr>
              <w:t>公路长隧道或特长隧道工程施工有效业绩加2分，最多加4分</w:t>
            </w:r>
            <w:r>
              <w:rPr>
                <w:rFonts w:hint="eastAsia" w:ascii="宋体" w:hAnsi="宋体" w:eastAsia="宋体" w:cs="宋体"/>
                <w:color w:val="auto"/>
                <w:kern w:val="2"/>
                <w:sz w:val="21"/>
                <w:szCs w:val="21"/>
                <w:highlight w:val="none"/>
                <w:lang w:val="en-US" w:eastAsia="zh-CN" w:bidi="ar-SA"/>
              </w:rPr>
              <w:t>。</w:t>
            </w:r>
          </w:p>
          <w:p w14:paraId="2FCBA784">
            <w:pPr>
              <w:keepNext w:val="0"/>
              <w:keepLines w:val="0"/>
              <w:widowControl/>
              <w:suppressLineNumbers w:val="0"/>
              <w:jc w:val="left"/>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注：</w:t>
            </w:r>
          </w:p>
          <w:p w14:paraId="29F98E45">
            <w:pPr>
              <w:keepNext w:val="0"/>
              <w:keepLines w:val="0"/>
              <w:widowControl/>
              <w:suppressLineNumbers w:val="0"/>
              <w:jc w:val="left"/>
              <w:rPr>
                <w:rFonts w:hint="default" w:ascii="楷体" w:hAnsi="楷体" w:eastAsia="楷体" w:cs="楷体"/>
                <w:color w:val="auto"/>
                <w:kern w:val="2"/>
                <w:sz w:val="21"/>
                <w:szCs w:val="21"/>
                <w:highlight w:val="none"/>
                <w:lang w:val="en-US" w:eastAsia="zh-CN" w:bidi="ar-SA"/>
              </w:rPr>
            </w:pPr>
            <w:r>
              <w:rPr>
                <w:rFonts w:hint="default" w:ascii="楷体" w:hAnsi="楷体" w:eastAsia="楷体" w:cs="楷体"/>
                <w:color w:val="auto"/>
                <w:kern w:val="2"/>
                <w:sz w:val="21"/>
                <w:szCs w:val="21"/>
                <w:highlight w:val="none"/>
                <w:lang w:val="en-US" w:eastAsia="zh-CN" w:bidi="ar-SA"/>
              </w:rPr>
              <w:t>①施工业绩均应是已列入交通运输部“全国公路建设市场监督管理系统（https://hwdms.mot.gov.cn/BMWebSite/）”或省级交通运输主管部门“公路建设市场信用信息管理系统”并公开的总包已建业绩。</w:t>
            </w:r>
          </w:p>
          <w:p w14:paraId="3E3209BB">
            <w:pPr>
              <w:keepNext w:val="0"/>
              <w:keepLines w:val="0"/>
              <w:widowControl/>
              <w:suppressLineNumbers w:val="0"/>
              <w:jc w:val="left"/>
              <w:rPr>
                <w:rFonts w:hint="default" w:ascii="楷体" w:hAnsi="楷体" w:eastAsia="楷体" w:cs="楷体"/>
                <w:color w:val="auto"/>
                <w:kern w:val="2"/>
                <w:sz w:val="21"/>
                <w:szCs w:val="21"/>
                <w:highlight w:val="none"/>
                <w:lang w:val="en-US" w:eastAsia="zh-CN" w:bidi="ar-SA"/>
              </w:rPr>
            </w:pPr>
            <w:r>
              <w:rPr>
                <w:rFonts w:hint="default" w:ascii="楷体" w:hAnsi="楷体" w:eastAsia="楷体" w:cs="楷体"/>
                <w:color w:val="auto"/>
                <w:kern w:val="2"/>
                <w:sz w:val="21"/>
                <w:szCs w:val="21"/>
                <w:highlight w:val="none"/>
                <w:lang w:val="en-US" w:eastAsia="zh-CN" w:bidi="ar-SA"/>
              </w:rPr>
              <w:t>②业绩应为国内新建或改扩建工程业绩。</w:t>
            </w:r>
          </w:p>
          <w:p w14:paraId="738AE1F1">
            <w:pPr>
              <w:keepNext w:val="0"/>
              <w:keepLines w:val="0"/>
              <w:widowControl/>
              <w:suppressLineNumbers w:val="0"/>
              <w:jc w:val="left"/>
              <w:rPr>
                <w:rFonts w:hint="default" w:ascii="楷体" w:hAnsi="楷体" w:eastAsia="楷体" w:cs="楷体"/>
                <w:color w:val="auto"/>
                <w:kern w:val="2"/>
                <w:sz w:val="21"/>
                <w:szCs w:val="21"/>
                <w:highlight w:val="none"/>
                <w:lang w:val="en-US" w:eastAsia="zh-CN" w:bidi="ar-SA"/>
              </w:rPr>
            </w:pPr>
            <w:r>
              <w:rPr>
                <w:rFonts w:hint="default" w:ascii="楷体" w:hAnsi="楷体" w:eastAsia="楷体" w:cs="楷体"/>
                <w:color w:val="auto"/>
                <w:kern w:val="2"/>
                <w:sz w:val="21"/>
                <w:szCs w:val="21"/>
                <w:highlight w:val="none"/>
                <w:lang w:val="en-US" w:eastAsia="zh-CN" w:bidi="ar-SA"/>
              </w:rPr>
              <w:t xml:space="preserve">③以联合体形式投标的，按联合体牵头人的业绩计算联合体业绩。 </w:t>
            </w:r>
          </w:p>
          <w:p w14:paraId="46C3E98B">
            <w:pPr>
              <w:keepNext w:val="0"/>
              <w:keepLines w:val="0"/>
              <w:widowControl/>
              <w:suppressLineNumbers w:val="0"/>
              <w:jc w:val="left"/>
              <w:rPr>
                <w:rFonts w:hint="default" w:hAnsi="宋体" w:cs="宋体"/>
                <w:color w:val="auto"/>
                <w:highlight w:val="none"/>
                <w:lang w:val="en-US" w:eastAsia="zh-CN"/>
              </w:rPr>
            </w:pPr>
            <w:r>
              <w:rPr>
                <w:rFonts w:hint="default" w:ascii="楷体" w:hAnsi="楷体" w:eastAsia="楷体" w:cs="楷体"/>
                <w:color w:val="auto"/>
                <w:kern w:val="2"/>
                <w:sz w:val="21"/>
                <w:szCs w:val="21"/>
                <w:highlight w:val="none"/>
                <w:lang w:val="en-US" w:eastAsia="zh-CN" w:bidi="ar-SA"/>
              </w:rPr>
              <w:t>④高速公路、一级公路全幅路基、路面工程按2倍长度计算。</w:t>
            </w:r>
          </w:p>
        </w:tc>
      </w:tr>
      <w:tr w14:paraId="44E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6FDA2D23">
            <w:pPr>
              <w:adjustRightInd w:val="0"/>
              <w:snapToGrid w:val="0"/>
              <w:spacing w:beforeLines="20" w:afterLines="20"/>
              <w:jc w:val="center"/>
              <w:rPr>
                <w:rFonts w:ascii="宋体" w:hAnsi="宋体"/>
                <w:color w:val="auto"/>
                <w:highlight w:val="none"/>
              </w:rPr>
            </w:pPr>
          </w:p>
        </w:tc>
        <w:tc>
          <w:tcPr>
            <w:tcW w:w="500" w:type="dxa"/>
            <w:vMerge w:val="continue"/>
            <w:vAlign w:val="center"/>
          </w:tcPr>
          <w:p w14:paraId="37BA87DA">
            <w:pPr>
              <w:adjustRightInd w:val="0"/>
              <w:snapToGrid w:val="0"/>
              <w:spacing w:beforeLines="20" w:afterLines="20"/>
              <w:ind w:left="113" w:right="113"/>
              <w:jc w:val="center"/>
              <w:rPr>
                <w:rFonts w:ascii="宋体" w:hAnsi="宋体"/>
                <w:color w:val="auto"/>
                <w:highlight w:val="none"/>
              </w:rPr>
            </w:pPr>
          </w:p>
        </w:tc>
        <w:tc>
          <w:tcPr>
            <w:tcW w:w="502" w:type="dxa"/>
            <w:vMerge w:val="restart"/>
            <w:vAlign w:val="center"/>
          </w:tcPr>
          <w:p w14:paraId="09E0310F">
            <w:pPr>
              <w:adjustRightInd w:val="0"/>
              <w:snapToGrid w:val="0"/>
              <w:spacing w:beforeLines="20" w:afterLines="20"/>
              <w:ind w:left="113" w:right="113"/>
              <w:jc w:val="center"/>
              <w:rPr>
                <w:rFonts w:ascii="宋体" w:hAnsi="宋体"/>
                <w:color w:val="auto"/>
                <w:highlight w:val="none"/>
              </w:rPr>
            </w:pPr>
            <w:r>
              <w:rPr>
                <w:rFonts w:hint="eastAsia" w:ascii="宋体" w:hAnsi="宋体"/>
                <w:color w:val="auto"/>
                <w:highlight w:val="none"/>
              </w:rPr>
              <w:t>履约信誉</w:t>
            </w:r>
          </w:p>
        </w:tc>
        <w:tc>
          <w:tcPr>
            <w:tcW w:w="993" w:type="dxa"/>
            <w:vMerge w:val="restart"/>
            <w:vAlign w:val="center"/>
          </w:tcPr>
          <w:p w14:paraId="5C8EE490">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15分</w:t>
            </w:r>
          </w:p>
        </w:tc>
        <w:tc>
          <w:tcPr>
            <w:tcW w:w="2125" w:type="dxa"/>
            <w:vMerge w:val="restart"/>
            <w:vAlign w:val="center"/>
          </w:tcPr>
          <w:p w14:paraId="4B349CE5">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投标人的</w:t>
            </w:r>
          </w:p>
          <w:p w14:paraId="701D3DD1">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信用评价等级</w:t>
            </w:r>
          </w:p>
        </w:tc>
        <w:tc>
          <w:tcPr>
            <w:tcW w:w="531" w:type="dxa"/>
            <w:vAlign w:val="center"/>
          </w:tcPr>
          <w:p w14:paraId="62FB7E04">
            <w:pPr>
              <w:adjustRightInd w:val="0"/>
              <w:snapToGrid w:val="0"/>
              <w:spacing w:beforeLines="20" w:afterLines="20"/>
              <w:jc w:val="center"/>
              <w:rPr>
                <w:rFonts w:ascii="宋体" w:hAnsi="宋体"/>
                <w:color w:val="auto"/>
                <w:highlight w:val="none"/>
              </w:rPr>
            </w:pPr>
            <w:r>
              <w:rPr>
                <w:rFonts w:hint="eastAsia" w:ascii="宋体" w:hAnsi="宋体"/>
                <w:color w:val="auto"/>
                <w:highlight w:val="none"/>
              </w:rPr>
              <w:t>15</w:t>
            </w:r>
          </w:p>
        </w:tc>
        <w:tc>
          <w:tcPr>
            <w:tcW w:w="4104" w:type="dxa"/>
            <w:vAlign w:val="center"/>
          </w:tcPr>
          <w:p w14:paraId="23DA4153">
            <w:pPr>
              <w:adjustRightInd w:val="0"/>
              <w:snapToGrid w:val="0"/>
              <w:spacing w:beforeLines="20" w:afterLines="20"/>
              <w:jc w:val="left"/>
              <w:rPr>
                <w:rFonts w:ascii="宋体" w:hAnsi="宋体"/>
                <w:color w:val="auto"/>
                <w:highlight w:val="none"/>
              </w:rPr>
            </w:pPr>
            <w:r>
              <w:rPr>
                <w:rFonts w:hint="eastAsia" w:ascii="宋体" w:hAnsi="宋体"/>
                <w:color w:val="auto"/>
                <w:highlight w:val="none"/>
              </w:rPr>
              <w:t>信用评价AA级，得15分。</w:t>
            </w:r>
          </w:p>
        </w:tc>
      </w:tr>
      <w:tr w14:paraId="76C2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1C9C29ED">
            <w:pPr>
              <w:adjustRightInd w:val="0"/>
              <w:snapToGrid w:val="0"/>
              <w:spacing w:beforeLines="20" w:afterLines="20"/>
              <w:jc w:val="center"/>
              <w:rPr>
                <w:rFonts w:ascii="宋体" w:hAnsi="宋体"/>
                <w:color w:val="auto"/>
                <w:highlight w:val="none"/>
              </w:rPr>
            </w:pPr>
          </w:p>
        </w:tc>
        <w:tc>
          <w:tcPr>
            <w:tcW w:w="500" w:type="dxa"/>
            <w:vMerge w:val="continue"/>
            <w:vAlign w:val="center"/>
          </w:tcPr>
          <w:p w14:paraId="376D8E7D">
            <w:pPr>
              <w:adjustRightInd w:val="0"/>
              <w:snapToGrid w:val="0"/>
              <w:spacing w:beforeLines="20" w:afterLines="20"/>
              <w:ind w:left="113" w:right="113"/>
              <w:jc w:val="center"/>
              <w:rPr>
                <w:rFonts w:ascii="宋体" w:hAnsi="宋体"/>
                <w:color w:val="auto"/>
                <w:highlight w:val="none"/>
              </w:rPr>
            </w:pPr>
          </w:p>
        </w:tc>
        <w:tc>
          <w:tcPr>
            <w:tcW w:w="502" w:type="dxa"/>
            <w:vMerge w:val="continue"/>
            <w:vAlign w:val="center"/>
          </w:tcPr>
          <w:p w14:paraId="3BB474DB">
            <w:pPr>
              <w:adjustRightInd w:val="0"/>
              <w:snapToGrid w:val="0"/>
              <w:spacing w:beforeLines="20" w:afterLines="20"/>
              <w:ind w:left="113" w:right="113"/>
              <w:jc w:val="center"/>
              <w:rPr>
                <w:rFonts w:hint="eastAsia" w:ascii="宋体" w:hAnsi="宋体"/>
                <w:color w:val="auto"/>
                <w:highlight w:val="none"/>
              </w:rPr>
            </w:pPr>
          </w:p>
        </w:tc>
        <w:tc>
          <w:tcPr>
            <w:tcW w:w="993" w:type="dxa"/>
            <w:vMerge w:val="continue"/>
            <w:vAlign w:val="center"/>
          </w:tcPr>
          <w:p w14:paraId="44E1DE7C">
            <w:pPr>
              <w:adjustRightInd w:val="0"/>
              <w:snapToGrid w:val="0"/>
              <w:spacing w:beforeLines="20" w:afterLines="20"/>
              <w:jc w:val="center"/>
              <w:rPr>
                <w:rFonts w:hint="eastAsia" w:ascii="宋体" w:hAnsi="宋体"/>
                <w:color w:val="auto"/>
                <w:highlight w:val="none"/>
              </w:rPr>
            </w:pPr>
          </w:p>
        </w:tc>
        <w:tc>
          <w:tcPr>
            <w:tcW w:w="2125" w:type="dxa"/>
            <w:vMerge w:val="continue"/>
            <w:vAlign w:val="center"/>
          </w:tcPr>
          <w:p w14:paraId="70A63C30">
            <w:pPr>
              <w:adjustRightInd w:val="0"/>
              <w:snapToGrid w:val="0"/>
              <w:spacing w:beforeLines="20" w:afterLines="20"/>
              <w:jc w:val="center"/>
              <w:rPr>
                <w:rFonts w:hint="eastAsia" w:ascii="宋体" w:hAnsi="宋体"/>
                <w:color w:val="auto"/>
                <w:highlight w:val="none"/>
              </w:rPr>
            </w:pPr>
          </w:p>
        </w:tc>
        <w:tc>
          <w:tcPr>
            <w:tcW w:w="531" w:type="dxa"/>
            <w:vAlign w:val="center"/>
          </w:tcPr>
          <w:p w14:paraId="2BD2E030">
            <w:pPr>
              <w:adjustRightInd w:val="0"/>
              <w:snapToGrid w:val="0"/>
              <w:spacing w:beforeLines="20" w:afterLines="2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14.5</w:t>
            </w:r>
          </w:p>
        </w:tc>
        <w:tc>
          <w:tcPr>
            <w:tcW w:w="4104" w:type="dxa"/>
            <w:vAlign w:val="center"/>
          </w:tcPr>
          <w:p w14:paraId="1771C788">
            <w:pPr>
              <w:adjustRightInd w:val="0"/>
              <w:snapToGrid w:val="0"/>
              <w:spacing w:beforeLines="20" w:afterLines="20"/>
              <w:jc w:val="left"/>
              <w:rPr>
                <w:rFonts w:hint="eastAsia" w:ascii="宋体" w:hAnsi="宋体"/>
                <w:color w:val="auto"/>
                <w:highlight w:val="none"/>
              </w:rPr>
            </w:pPr>
            <w:r>
              <w:rPr>
                <w:rFonts w:hint="eastAsia" w:ascii="宋体" w:hAnsi="宋体"/>
                <w:color w:val="auto"/>
                <w:highlight w:val="none"/>
              </w:rPr>
              <w:t>信用评价</w:t>
            </w:r>
            <w:r>
              <w:rPr>
                <w:rFonts w:hint="eastAsia" w:ascii="宋体" w:hAnsi="宋体"/>
                <w:color w:val="auto"/>
                <w:highlight w:val="none"/>
                <w:lang w:val="en-US" w:eastAsia="zh-CN"/>
              </w:rPr>
              <w:t>A级</w:t>
            </w:r>
            <w:r>
              <w:rPr>
                <w:rFonts w:hint="eastAsia" w:ascii="宋体" w:hAnsi="宋体"/>
                <w:color w:val="auto"/>
                <w:highlight w:val="none"/>
              </w:rPr>
              <w:t>，得1</w:t>
            </w:r>
            <w:r>
              <w:rPr>
                <w:rFonts w:hint="eastAsia" w:ascii="宋体" w:hAnsi="宋体"/>
                <w:color w:val="auto"/>
                <w:highlight w:val="none"/>
                <w:lang w:val="en-US" w:eastAsia="zh-CN"/>
              </w:rPr>
              <w:t>4.</w:t>
            </w:r>
            <w:r>
              <w:rPr>
                <w:rFonts w:hint="eastAsia" w:ascii="宋体" w:hAnsi="宋体"/>
                <w:color w:val="auto"/>
                <w:highlight w:val="none"/>
              </w:rPr>
              <w:t>5分。</w:t>
            </w:r>
          </w:p>
        </w:tc>
      </w:tr>
      <w:tr w14:paraId="7965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31A736B9">
            <w:pPr>
              <w:adjustRightInd w:val="0"/>
              <w:snapToGrid w:val="0"/>
              <w:spacing w:beforeLines="20" w:afterLines="20"/>
              <w:jc w:val="center"/>
              <w:rPr>
                <w:rFonts w:ascii="宋体" w:hAnsi="宋体"/>
                <w:color w:val="auto"/>
                <w:highlight w:val="none"/>
              </w:rPr>
            </w:pPr>
          </w:p>
        </w:tc>
        <w:tc>
          <w:tcPr>
            <w:tcW w:w="500" w:type="dxa"/>
            <w:vMerge w:val="continue"/>
            <w:vAlign w:val="center"/>
          </w:tcPr>
          <w:p w14:paraId="1D8C5FFC">
            <w:pPr>
              <w:adjustRightInd w:val="0"/>
              <w:snapToGrid w:val="0"/>
              <w:spacing w:beforeLines="20" w:afterLines="20"/>
              <w:ind w:left="113" w:right="113"/>
              <w:jc w:val="center"/>
              <w:rPr>
                <w:rFonts w:ascii="宋体" w:hAnsi="宋体"/>
                <w:color w:val="auto"/>
                <w:highlight w:val="none"/>
              </w:rPr>
            </w:pPr>
          </w:p>
        </w:tc>
        <w:tc>
          <w:tcPr>
            <w:tcW w:w="502" w:type="dxa"/>
            <w:vMerge w:val="continue"/>
            <w:vAlign w:val="center"/>
          </w:tcPr>
          <w:p w14:paraId="5EB6EF1C">
            <w:pPr>
              <w:adjustRightInd w:val="0"/>
              <w:snapToGrid w:val="0"/>
              <w:spacing w:beforeLines="20" w:afterLines="20"/>
              <w:ind w:left="113" w:right="113"/>
              <w:jc w:val="center"/>
              <w:rPr>
                <w:rFonts w:hint="eastAsia" w:ascii="宋体" w:hAnsi="宋体"/>
                <w:color w:val="auto"/>
                <w:highlight w:val="none"/>
              </w:rPr>
            </w:pPr>
          </w:p>
        </w:tc>
        <w:tc>
          <w:tcPr>
            <w:tcW w:w="993" w:type="dxa"/>
            <w:vMerge w:val="continue"/>
            <w:vAlign w:val="center"/>
          </w:tcPr>
          <w:p w14:paraId="604C675D">
            <w:pPr>
              <w:adjustRightInd w:val="0"/>
              <w:snapToGrid w:val="0"/>
              <w:spacing w:beforeLines="20" w:afterLines="20"/>
              <w:jc w:val="center"/>
              <w:rPr>
                <w:rFonts w:hint="eastAsia" w:ascii="宋体" w:hAnsi="宋体"/>
                <w:color w:val="auto"/>
                <w:highlight w:val="none"/>
              </w:rPr>
            </w:pPr>
          </w:p>
        </w:tc>
        <w:tc>
          <w:tcPr>
            <w:tcW w:w="2125" w:type="dxa"/>
            <w:vMerge w:val="continue"/>
            <w:vAlign w:val="center"/>
          </w:tcPr>
          <w:p w14:paraId="4C4B8580">
            <w:pPr>
              <w:adjustRightInd w:val="0"/>
              <w:snapToGrid w:val="0"/>
              <w:spacing w:beforeLines="20" w:afterLines="20"/>
              <w:jc w:val="center"/>
              <w:rPr>
                <w:rFonts w:hint="eastAsia" w:ascii="宋体" w:hAnsi="宋体"/>
                <w:color w:val="auto"/>
                <w:highlight w:val="none"/>
              </w:rPr>
            </w:pPr>
          </w:p>
        </w:tc>
        <w:tc>
          <w:tcPr>
            <w:tcW w:w="531" w:type="dxa"/>
            <w:vAlign w:val="center"/>
          </w:tcPr>
          <w:p w14:paraId="0E860CD6">
            <w:pPr>
              <w:adjustRightInd w:val="0"/>
              <w:snapToGrid w:val="0"/>
              <w:spacing w:beforeLines="20" w:afterLines="2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w:t>
            </w:r>
          </w:p>
        </w:tc>
        <w:tc>
          <w:tcPr>
            <w:tcW w:w="4104" w:type="dxa"/>
            <w:vAlign w:val="center"/>
          </w:tcPr>
          <w:p w14:paraId="16D4406F">
            <w:pPr>
              <w:adjustRightInd w:val="0"/>
              <w:snapToGrid w:val="0"/>
              <w:spacing w:beforeLines="20" w:afterLines="20"/>
              <w:jc w:val="left"/>
              <w:rPr>
                <w:rFonts w:hint="default" w:ascii="宋体" w:hAnsi="宋体" w:eastAsia="宋体"/>
                <w:color w:val="auto"/>
                <w:highlight w:val="none"/>
                <w:lang w:val="en-US" w:eastAsia="zh-CN"/>
              </w:rPr>
            </w:pPr>
            <w:r>
              <w:rPr>
                <w:rFonts w:hint="eastAsia" w:ascii="宋体" w:hAnsi="宋体"/>
                <w:color w:val="auto"/>
                <w:highlight w:val="none"/>
              </w:rPr>
              <w:t>信用评价B级，得</w:t>
            </w:r>
            <w:r>
              <w:rPr>
                <w:rFonts w:hint="eastAsia" w:ascii="宋体" w:hAnsi="宋体"/>
                <w:color w:val="auto"/>
                <w:highlight w:val="none"/>
                <w:lang w:val="en-US" w:eastAsia="zh-CN"/>
              </w:rPr>
              <w:t>12</w:t>
            </w:r>
            <w:r>
              <w:rPr>
                <w:rFonts w:hint="eastAsia" w:ascii="宋体" w:hAnsi="宋体"/>
                <w:color w:val="auto"/>
                <w:highlight w:val="none"/>
              </w:rPr>
              <w:t>分。</w:t>
            </w:r>
          </w:p>
        </w:tc>
      </w:tr>
      <w:tr w14:paraId="2A15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2EBA319A">
            <w:pPr>
              <w:adjustRightInd w:val="0"/>
              <w:snapToGrid w:val="0"/>
              <w:spacing w:beforeLines="20" w:afterLines="20"/>
              <w:jc w:val="center"/>
              <w:rPr>
                <w:rFonts w:ascii="宋体" w:hAnsi="宋体"/>
                <w:color w:val="auto"/>
                <w:highlight w:val="none"/>
              </w:rPr>
            </w:pPr>
          </w:p>
        </w:tc>
        <w:tc>
          <w:tcPr>
            <w:tcW w:w="500" w:type="dxa"/>
            <w:vMerge w:val="continue"/>
            <w:vAlign w:val="center"/>
          </w:tcPr>
          <w:p w14:paraId="63A2BCD4">
            <w:pPr>
              <w:adjustRightInd w:val="0"/>
              <w:snapToGrid w:val="0"/>
              <w:spacing w:beforeLines="20" w:afterLines="20"/>
              <w:jc w:val="center"/>
              <w:rPr>
                <w:rFonts w:ascii="宋体" w:hAnsi="宋体"/>
                <w:color w:val="auto"/>
                <w:highlight w:val="none"/>
              </w:rPr>
            </w:pPr>
          </w:p>
        </w:tc>
        <w:tc>
          <w:tcPr>
            <w:tcW w:w="502" w:type="dxa"/>
            <w:vMerge w:val="continue"/>
            <w:vAlign w:val="center"/>
          </w:tcPr>
          <w:p w14:paraId="7CE2614A">
            <w:pPr>
              <w:adjustRightInd w:val="0"/>
              <w:snapToGrid w:val="0"/>
              <w:spacing w:beforeLines="20" w:afterLines="20"/>
              <w:jc w:val="center"/>
              <w:rPr>
                <w:rFonts w:ascii="宋体" w:hAnsi="宋体"/>
                <w:color w:val="auto"/>
                <w:highlight w:val="none"/>
              </w:rPr>
            </w:pPr>
          </w:p>
        </w:tc>
        <w:tc>
          <w:tcPr>
            <w:tcW w:w="993" w:type="dxa"/>
            <w:vMerge w:val="continue"/>
            <w:vAlign w:val="center"/>
          </w:tcPr>
          <w:p w14:paraId="3898ECC0">
            <w:pPr>
              <w:adjustRightInd w:val="0"/>
              <w:snapToGrid w:val="0"/>
              <w:spacing w:beforeLines="20" w:afterLines="20"/>
              <w:jc w:val="center"/>
              <w:rPr>
                <w:rFonts w:ascii="宋体" w:hAnsi="宋体"/>
                <w:color w:val="auto"/>
                <w:highlight w:val="none"/>
              </w:rPr>
            </w:pPr>
          </w:p>
        </w:tc>
        <w:tc>
          <w:tcPr>
            <w:tcW w:w="2125" w:type="dxa"/>
            <w:vMerge w:val="continue"/>
            <w:vAlign w:val="center"/>
          </w:tcPr>
          <w:p w14:paraId="066B9089">
            <w:pPr>
              <w:adjustRightInd w:val="0"/>
              <w:snapToGrid w:val="0"/>
              <w:spacing w:beforeLines="20" w:afterLines="20"/>
              <w:jc w:val="left"/>
              <w:rPr>
                <w:rFonts w:ascii="宋体" w:hAnsi="宋体"/>
                <w:color w:val="auto"/>
                <w:highlight w:val="none"/>
              </w:rPr>
            </w:pPr>
          </w:p>
        </w:tc>
        <w:tc>
          <w:tcPr>
            <w:tcW w:w="531" w:type="dxa"/>
            <w:vAlign w:val="center"/>
          </w:tcPr>
          <w:p w14:paraId="20CA7207">
            <w:pPr>
              <w:adjustRightInd w:val="0"/>
              <w:snapToGrid w:val="0"/>
              <w:spacing w:beforeLines="20" w:afterLines="2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4104" w:type="dxa"/>
            <w:vAlign w:val="center"/>
          </w:tcPr>
          <w:p w14:paraId="493019F2">
            <w:pPr>
              <w:adjustRightInd w:val="0"/>
              <w:snapToGrid w:val="0"/>
              <w:spacing w:beforeLines="20" w:afterLines="20"/>
              <w:jc w:val="left"/>
              <w:rPr>
                <w:rFonts w:ascii="宋体" w:hAnsi="宋体"/>
                <w:color w:val="auto"/>
                <w:highlight w:val="none"/>
              </w:rPr>
            </w:pPr>
            <w:r>
              <w:rPr>
                <w:rFonts w:hint="eastAsia" w:ascii="宋体" w:hAnsi="宋体"/>
                <w:color w:val="auto"/>
                <w:highlight w:val="none"/>
              </w:rPr>
              <w:t>信用评价C级，得</w:t>
            </w:r>
            <w:r>
              <w:rPr>
                <w:rFonts w:hint="eastAsia" w:ascii="宋体" w:hAnsi="宋体"/>
                <w:color w:val="auto"/>
                <w:highlight w:val="none"/>
                <w:lang w:val="en-US" w:eastAsia="zh-CN"/>
              </w:rPr>
              <w:t>9</w:t>
            </w:r>
            <w:r>
              <w:rPr>
                <w:rFonts w:hint="eastAsia" w:ascii="宋体" w:hAnsi="宋体"/>
                <w:color w:val="auto"/>
                <w:highlight w:val="none"/>
              </w:rPr>
              <w:t>分。</w:t>
            </w:r>
          </w:p>
        </w:tc>
      </w:tr>
      <w:tr w14:paraId="3B4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0D03AE97">
            <w:pPr>
              <w:adjustRightInd w:val="0"/>
              <w:snapToGrid w:val="0"/>
              <w:spacing w:beforeLines="20" w:afterLines="20"/>
              <w:jc w:val="center"/>
              <w:rPr>
                <w:rFonts w:ascii="宋体" w:hAnsi="宋体"/>
                <w:color w:val="auto"/>
                <w:highlight w:val="none"/>
              </w:rPr>
            </w:pPr>
          </w:p>
        </w:tc>
        <w:tc>
          <w:tcPr>
            <w:tcW w:w="500" w:type="dxa"/>
            <w:vMerge w:val="continue"/>
            <w:vAlign w:val="center"/>
          </w:tcPr>
          <w:p w14:paraId="6479B20F">
            <w:pPr>
              <w:adjustRightInd w:val="0"/>
              <w:snapToGrid w:val="0"/>
              <w:spacing w:beforeLines="20" w:afterLines="20"/>
              <w:jc w:val="center"/>
              <w:rPr>
                <w:rFonts w:ascii="宋体" w:hAnsi="宋体"/>
                <w:color w:val="auto"/>
                <w:highlight w:val="none"/>
              </w:rPr>
            </w:pPr>
          </w:p>
        </w:tc>
        <w:tc>
          <w:tcPr>
            <w:tcW w:w="502" w:type="dxa"/>
            <w:vMerge w:val="continue"/>
            <w:vAlign w:val="center"/>
          </w:tcPr>
          <w:p w14:paraId="4061297D">
            <w:pPr>
              <w:adjustRightInd w:val="0"/>
              <w:snapToGrid w:val="0"/>
              <w:spacing w:beforeLines="20" w:afterLines="20"/>
              <w:jc w:val="center"/>
              <w:rPr>
                <w:rFonts w:ascii="宋体" w:hAnsi="宋体"/>
                <w:color w:val="auto"/>
                <w:highlight w:val="none"/>
              </w:rPr>
            </w:pPr>
          </w:p>
        </w:tc>
        <w:tc>
          <w:tcPr>
            <w:tcW w:w="993" w:type="dxa"/>
            <w:vMerge w:val="continue"/>
            <w:vAlign w:val="center"/>
          </w:tcPr>
          <w:p w14:paraId="5E6C417A">
            <w:pPr>
              <w:adjustRightInd w:val="0"/>
              <w:snapToGrid w:val="0"/>
              <w:spacing w:beforeLines="20" w:afterLines="20"/>
              <w:jc w:val="center"/>
              <w:rPr>
                <w:rFonts w:ascii="宋体" w:hAnsi="宋体"/>
                <w:color w:val="auto"/>
                <w:highlight w:val="none"/>
              </w:rPr>
            </w:pPr>
          </w:p>
        </w:tc>
        <w:tc>
          <w:tcPr>
            <w:tcW w:w="2125" w:type="dxa"/>
            <w:vMerge w:val="continue"/>
            <w:vAlign w:val="center"/>
          </w:tcPr>
          <w:p w14:paraId="54FAEDF1">
            <w:pPr>
              <w:adjustRightInd w:val="0"/>
              <w:snapToGrid w:val="0"/>
              <w:spacing w:beforeLines="20" w:afterLines="20"/>
              <w:jc w:val="left"/>
              <w:rPr>
                <w:rFonts w:ascii="宋体" w:hAnsi="宋体"/>
                <w:color w:val="auto"/>
                <w:highlight w:val="none"/>
              </w:rPr>
            </w:pPr>
          </w:p>
        </w:tc>
        <w:tc>
          <w:tcPr>
            <w:tcW w:w="531" w:type="dxa"/>
            <w:vAlign w:val="center"/>
          </w:tcPr>
          <w:p w14:paraId="6E5E495B">
            <w:pPr>
              <w:adjustRightInd w:val="0"/>
              <w:snapToGrid w:val="0"/>
              <w:spacing w:beforeLines="20" w:afterLines="20"/>
              <w:jc w:val="center"/>
              <w:rPr>
                <w:rFonts w:hint="default" w:ascii="宋体" w:hAnsi="宋体"/>
                <w:color w:val="auto"/>
                <w:highlight w:val="none"/>
                <w:lang w:val="en-US" w:eastAsia="zh-CN"/>
              </w:rPr>
            </w:pPr>
            <w:r>
              <w:rPr>
                <w:rFonts w:hint="eastAsia" w:ascii="宋体" w:hAnsi="宋体"/>
                <w:color w:val="auto"/>
                <w:highlight w:val="none"/>
              </w:rPr>
              <w:t>0</w:t>
            </w:r>
          </w:p>
        </w:tc>
        <w:tc>
          <w:tcPr>
            <w:tcW w:w="4104" w:type="dxa"/>
            <w:vAlign w:val="center"/>
          </w:tcPr>
          <w:p w14:paraId="6B458296">
            <w:pPr>
              <w:adjustRightInd w:val="0"/>
              <w:snapToGrid w:val="0"/>
              <w:spacing w:beforeLines="20" w:afterLines="20"/>
              <w:jc w:val="left"/>
              <w:rPr>
                <w:rFonts w:hint="eastAsia" w:ascii="宋体" w:hAnsi="宋体"/>
                <w:color w:val="auto"/>
                <w:highlight w:val="none"/>
              </w:rPr>
            </w:pPr>
            <w:r>
              <w:rPr>
                <w:rFonts w:hint="eastAsia" w:ascii="宋体" w:hAnsi="宋体"/>
                <w:color w:val="auto"/>
                <w:highlight w:val="none"/>
              </w:rPr>
              <w:t>信用评价D级，得0分。</w:t>
            </w:r>
          </w:p>
        </w:tc>
      </w:tr>
      <w:tr w14:paraId="6E6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6" w:type="dxa"/>
            <w:vMerge w:val="continue"/>
            <w:vAlign w:val="center"/>
          </w:tcPr>
          <w:p w14:paraId="08081F90">
            <w:pPr>
              <w:adjustRightInd w:val="0"/>
              <w:snapToGrid w:val="0"/>
              <w:spacing w:beforeLines="20" w:afterLines="20"/>
              <w:jc w:val="center"/>
              <w:rPr>
                <w:rFonts w:ascii="楷体" w:hAnsi="楷体" w:eastAsia="楷体"/>
                <w:color w:val="auto"/>
                <w:highlight w:val="none"/>
              </w:rPr>
            </w:pPr>
          </w:p>
        </w:tc>
        <w:tc>
          <w:tcPr>
            <w:tcW w:w="500" w:type="dxa"/>
            <w:vMerge w:val="continue"/>
            <w:vAlign w:val="center"/>
          </w:tcPr>
          <w:p w14:paraId="3D169EC7">
            <w:pPr>
              <w:adjustRightInd w:val="0"/>
              <w:snapToGrid w:val="0"/>
              <w:spacing w:beforeLines="20" w:afterLines="20"/>
              <w:jc w:val="center"/>
              <w:rPr>
                <w:rFonts w:ascii="楷体" w:hAnsi="楷体" w:eastAsia="楷体"/>
                <w:color w:val="auto"/>
                <w:highlight w:val="none"/>
              </w:rPr>
            </w:pPr>
          </w:p>
        </w:tc>
        <w:tc>
          <w:tcPr>
            <w:tcW w:w="502" w:type="dxa"/>
            <w:vMerge w:val="continue"/>
            <w:vAlign w:val="center"/>
          </w:tcPr>
          <w:p w14:paraId="4C4B7790">
            <w:pPr>
              <w:adjustRightInd w:val="0"/>
              <w:snapToGrid w:val="0"/>
              <w:spacing w:beforeLines="20" w:afterLines="20"/>
              <w:jc w:val="center"/>
              <w:rPr>
                <w:rFonts w:ascii="楷体" w:hAnsi="楷体" w:eastAsia="楷体"/>
                <w:color w:val="auto"/>
                <w:highlight w:val="none"/>
              </w:rPr>
            </w:pPr>
          </w:p>
        </w:tc>
        <w:tc>
          <w:tcPr>
            <w:tcW w:w="7753" w:type="dxa"/>
            <w:gridSpan w:val="4"/>
            <w:vAlign w:val="center"/>
          </w:tcPr>
          <w:p w14:paraId="58B45324">
            <w:pPr>
              <w:rPr>
                <w:rFonts w:hint="eastAsia" w:ascii="宋体" w:hAnsi="宋体"/>
                <w:color w:val="auto"/>
                <w:szCs w:val="21"/>
                <w:highlight w:val="none"/>
              </w:rPr>
            </w:pPr>
            <w:r>
              <w:rPr>
                <w:rFonts w:hint="eastAsia" w:ascii="宋体" w:hAnsi="宋体"/>
                <w:color w:val="auto"/>
                <w:szCs w:val="21"/>
                <w:highlight w:val="none"/>
              </w:rPr>
              <w:t>投标人的信用评价按以下</w:t>
            </w:r>
            <w:r>
              <w:rPr>
                <w:rFonts w:hint="eastAsia" w:ascii="宋体" w:hAnsi="宋体"/>
                <w:color w:val="auto"/>
                <w:highlight w:val="none"/>
              </w:rPr>
              <w:t>原则确定</w:t>
            </w:r>
            <w:r>
              <w:rPr>
                <w:rFonts w:hint="eastAsia" w:ascii="宋体" w:hAnsi="宋体"/>
                <w:color w:val="auto"/>
                <w:szCs w:val="21"/>
                <w:highlight w:val="none"/>
              </w:rPr>
              <w:t>：</w:t>
            </w:r>
          </w:p>
          <w:p w14:paraId="2EB969AD">
            <w:pPr>
              <w:adjustRightInd w:val="0"/>
              <w:snapToGrid w:val="0"/>
              <w:spacing w:before="48" w:beforeLines="20" w:after="48" w:afterLines="20"/>
              <w:jc w:val="left"/>
              <w:rPr>
                <w:rFonts w:hint="eastAsia" w:ascii="宋体" w:hAnsi="宋体"/>
                <w:color w:val="auto"/>
                <w:szCs w:val="21"/>
                <w:highlight w:val="none"/>
              </w:rPr>
            </w:pPr>
            <w:r>
              <w:rPr>
                <w:rFonts w:hint="eastAsia" w:ascii="宋体" w:hAnsi="宋体"/>
                <w:color w:val="auto"/>
                <w:szCs w:val="21"/>
                <w:highlight w:val="none"/>
              </w:rPr>
              <w:t>（1）吉林省交通运输厅发布的《</w:t>
            </w:r>
            <w:r>
              <w:rPr>
                <w:rFonts w:ascii="宋体" w:hAnsi="宋体"/>
                <w:bCs/>
                <w:color w:val="auto"/>
                <w:szCs w:val="21"/>
                <w:highlight w:val="none"/>
              </w:rPr>
              <w:t>关于发布</w:t>
            </w:r>
            <w:r>
              <w:rPr>
                <w:rFonts w:hint="eastAsia" w:ascii="宋体" w:hAnsi="宋体"/>
                <w:bCs/>
                <w:color w:val="auto"/>
                <w:szCs w:val="21"/>
                <w:highlight w:val="none"/>
              </w:rPr>
              <w:t>202</w:t>
            </w:r>
            <w:r>
              <w:rPr>
                <w:rFonts w:hint="eastAsia" w:ascii="宋体" w:hAnsi="宋体"/>
                <w:bCs/>
                <w:color w:val="auto"/>
                <w:szCs w:val="21"/>
                <w:highlight w:val="none"/>
                <w:lang w:val="en-US" w:eastAsia="zh-CN"/>
              </w:rPr>
              <w:t>4</w:t>
            </w:r>
            <w:r>
              <w:rPr>
                <w:rFonts w:ascii="宋体" w:hAnsi="宋体"/>
                <w:bCs/>
                <w:color w:val="auto"/>
                <w:szCs w:val="21"/>
                <w:highlight w:val="none"/>
              </w:rPr>
              <w:t>年度公路</w:t>
            </w:r>
            <w:r>
              <w:rPr>
                <w:rFonts w:hint="eastAsia" w:ascii="宋体" w:hAnsi="宋体"/>
                <w:bCs/>
                <w:color w:val="auto"/>
                <w:szCs w:val="21"/>
                <w:highlight w:val="none"/>
              </w:rPr>
              <w:t>建设市场吉林省省级综合评价结果</w:t>
            </w:r>
            <w:r>
              <w:rPr>
                <w:rFonts w:ascii="宋体" w:hAnsi="宋体"/>
                <w:bCs/>
                <w:color w:val="auto"/>
                <w:szCs w:val="21"/>
                <w:highlight w:val="none"/>
              </w:rPr>
              <w:t>的通告</w:t>
            </w:r>
            <w:r>
              <w:rPr>
                <w:rFonts w:hint="eastAsia" w:ascii="宋体" w:hAnsi="宋体"/>
                <w:color w:val="auto"/>
                <w:szCs w:val="21"/>
                <w:highlight w:val="none"/>
              </w:rPr>
              <w:t>》中投标人的企业信用等级；</w:t>
            </w:r>
          </w:p>
          <w:p w14:paraId="6A5E19EC">
            <w:pPr>
              <w:adjustRightInd w:val="0"/>
              <w:snapToGrid w:val="0"/>
              <w:spacing w:before="48" w:beforeLines="20" w:after="48" w:afterLines="20"/>
              <w:jc w:val="left"/>
              <w:rPr>
                <w:rFonts w:hint="eastAsia" w:ascii="宋体" w:hAnsi="宋体"/>
                <w:color w:val="auto"/>
                <w:szCs w:val="21"/>
                <w:highlight w:val="none"/>
              </w:rPr>
            </w:pPr>
            <w:r>
              <w:rPr>
                <w:rFonts w:hint="eastAsia" w:ascii="宋体" w:hAnsi="宋体"/>
                <w:color w:val="auto"/>
                <w:szCs w:val="21"/>
                <w:highlight w:val="none"/>
              </w:rPr>
              <w:t>（2）交通运输</w:t>
            </w:r>
            <w:r>
              <w:rPr>
                <w:rFonts w:hint="eastAsia" w:ascii="宋体" w:hAnsi="宋体" w:eastAsia="宋体" w:cs="Times New Roman"/>
                <w:color w:val="auto"/>
                <w:szCs w:val="21"/>
                <w:highlight w:val="none"/>
              </w:rPr>
              <w:t>部“</w:t>
            </w:r>
            <w:r>
              <w:rPr>
                <w:rFonts w:hint="eastAsia" w:ascii="宋体" w:hAnsi="宋体" w:eastAsia="宋体" w:cs="Times New Roman"/>
                <w:color w:val="auto"/>
                <w:szCs w:val="21"/>
                <w:highlight w:val="none"/>
                <w:lang w:val="en-US" w:eastAsia="zh-CN"/>
              </w:rPr>
              <w:t>全国公路建设市场监督管理系统</w:t>
            </w:r>
            <w:r>
              <w:rPr>
                <w:rFonts w:hint="eastAsia" w:ascii="宋体" w:hAnsi="宋体" w:eastAsia="宋体" w:cs="Times New Roman"/>
                <w:color w:val="auto"/>
                <w:szCs w:val="21"/>
                <w:highlight w:val="none"/>
              </w:rPr>
              <w:t>”“全</w:t>
            </w:r>
            <w:r>
              <w:rPr>
                <w:rFonts w:hint="eastAsia" w:ascii="宋体" w:hAnsi="宋体"/>
                <w:color w:val="auto"/>
                <w:szCs w:val="21"/>
                <w:highlight w:val="none"/>
              </w:rPr>
              <w:t>国公路从业单位信用评价结果”中投标人的全国综合评价202</w:t>
            </w:r>
            <w:r>
              <w:rPr>
                <w:rFonts w:hint="eastAsia" w:ascii="宋体" w:hAnsi="宋体"/>
                <w:color w:val="auto"/>
                <w:szCs w:val="21"/>
                <w:highlight w:val="none"/>
                <w:lang w:val="en-US" w:eastAsia="zh-CN"/>
              </w:rPr>
              <w:t>3</w:t>
            </w:r>
            <w:r>
              <w:rPr>
                <w:rFonts w:hint="eastAsia" w:ascii="宋体" w:hAnsi="宋体"/>
                <w:color w:val="auto"/>
                <w:szCs w:val="21"/>
                <w:highlight w:val="none"/>
              </w:rPr>
              <w:t>年度企业信用等级；</w:t>
            </w:r>
          </w:p>
          <w:p w14:paraId="6A635FAF">
            <w:pPr>
              <w:adjustRightInd w:val="0"/>
              <w:snapToGrid w:val="0"/>
              <w:spacing w:before="48" w:beforeLines="20" w:after="48" w:afterLines="20"/>
              <w:jc w:val="left"/>
              <w:rPr>
                <w:rFonts w:hint="eastAsia" w:ascii="宋体" w:hAnsi="宋体"/>
                <w:color w:val="auto"/>
                <w:szCs w:val="21"/>
                <w:highlight w:val="none"/>
              </w:rPr>
            </w:pPr>
            <w:r>
              <w:rPr>
                <w:rFonts w:hint="eastAsia" w:ascii="宋体" w:hAnsi="宋体"/>
                <w:color w:val="auto"/>
                <w:szCs w:val="21"/>
                <w:highlight w:val="none"/>
              </w:rPr>
              <w:t>（3）同一投标人同时具有上述企业信用评价的，以吉林省评价为准；</w:t>
            </w:r>
          </w:p>
          <w:p w14:paraId="1804A7CF">
            <w:pPr>
              <w:adjustRightInd w:val="0"/>
              <w:snapToGrid w:val="0"/>
              <w:spacing w:before="48" w:beforeLines="20" w:after="48" w:afterLines="20"/>
              <w:jc w:val="left"/>
              <w:rPr>
                <w:rFonts w:hint="eastAsia" w:ascii="宋体" w:hAnsi="宋体"/>
                <w:color w:val="auto"/>
                <w:szCs w:val="21"/>
                <w:highlight w:val="none"/>
              </w:rPr>
            </w:pPr>
            <w:r>
              <w:rPr>
                <w:rFonts w:hint="eastAsia" w:ascii="宋体" w:hAnsi="宋体"/>
                <w:color w:val="auto"/>
                <w:szCs w:val="21"/>
                <w:highlight w:val="none"/>
              </w:rPr>
              <w:t>（4）无上述企业信用评价且未列入交通运输部“</w:t>
            </w:r>
            <w:r>
              <w:rPr>
                <w:rFonts w:hint="eastAsia" w:ascii="宋体" w:hAnsi="宋体"/>
                <w:color w:val="auto"/>
                <w:szCs w:val="21"/>
                <w:highlight w:val="none"/>
                <w:lang w:val="en-US" w:eastAsia="zh-CN"/>
              </w:rPr>
              <w:t>全国公路建设市场监督管理系统</w:t>
            </w:r>
            <w:r>
              <w:rPr>
                <w:rFonts w:hint="eastAsia" w:ascii="宋体" w:hAnsi="宋体"/>
                <w:color w:val="auto"/>
                <w:szCs w:val="21"/>
                <w:highlight w:val="none"/>
              </w:rPr>
              <w:t>”“不良信用记录”的，按A级对待（需提供承诺函），否则按D级对待。</w:t>
            </w:r>
          </w:p>
          <w:p w14:paraId="4C5BB77C">
            <w:pPr>
              <w:adjustRightInd w:val="0"/>
              <w:snapToGrid w:val="0"/>
              <w:spacing w:beforeLines="20" w:afterLines="2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联合体投标的，以各成员企业信用评价等级低的作为联合体企业信用评分标准。</w:t>
            </w:r>
          </w:p>
        </w:tc>
      </w:tr>
      <w:tr w14:paraId="3D6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9341" w:type="dxa"/>
            <w:gridSpan w:val="7"/>
            <w:vAlign w:val="center"/>
          </w:tcPr>
          <w:p w14:paraId="705BCA67">
            <w:pPr>
              <w:adjustRightInd w:val="0"/>
              <w:snapToGrid w:val="0"/>
              <w:spacing w:beforeLines="20" w:afterLines="20"/>
              <w:jc w:val="left"/>
              <w:rPr>
                <w:rFonts w:ascii="宋体" w:hAnsi="宋体"/>
                <w:color w:val="auto"/>
                <w:highlight w:val="none"/>
              </w:rPr>
            </w:pPr>
            <w:r>
              <w:rPr>
                <w:rFonts w:hint="eastAsia" w:ascii="宋体" w:hAnsi="宋体"/>
                <w:color w:val="auto"/>
                <w:highlight w:val="none"/>
              </w:rPr>
              <w:t>需要补充的其他内容：</w:t>
            </w:r>
          </w:p>
          <w:p w14:paraId="308970C9">
            <w:pPr>
              <w:numPr>
                <w:ilvl w:val="0"/>
                <w:numId w:val="0"/>
              </w:numPr>
              <w:tabs>
                <w:tab w:val="left" w:pos="0"/>
              </w:tabs>
              <w:adjustRightInd w:val="0"/>
              <w:snapToGrid w:val="0"/>
              <w:spacing w:beforeLines="20" w:afterLines="20"/>
              <w:ind w:left="0" w:leftChars="0" w:firstLine="0" w:firstLineChars="0"/>
              <w:jc w:val="left"/>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各评分因素（履约信誉评分项除外）得分一般不得低于其权重分值的60%，且各评分因素得分应以评标委员会各成员的打分平均值确定，评标委员会成员数量为</w:t>
            </w:r>
            <w:r>
              <w:rPr>
                <w:rFonts w:hint="eastAsia" w:ascii="宋体" w:hAnsi="宋体"/>
                <w:color w:val="auto"/>
                <w:highlight w:val="none"/>
                <w:lang w:val="en-US" w:eastAsia="zh-CN"/>
              </w:rPr>
              <w:t>7</w:t>
            </w:r>
            <w:r>
              <w:rPr>
                <w:rFonts w:hint="eastAsia" w:ascii="宋体" w:hAnsi="宋体"/>
                <w:color w:val="auto"/>
                <w:highlight w:val="none"/>
              </w:rPr>
              <w:t>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69BBA5FB">
            <w:pPr>
              <w:numPr>
                <w:ilvl w:val="0"/>
                <w:numId w:val="0"/>
              </w:numPr>
              <w:tabs>
                <w:tab w:val="left" w:pos="0"/>
              </w:tabs>
              <w:adjustRightInd w:val="0"/>
              <w:snapToGrid w:val="0"/>
              <w:spacing w:beforeLines="20" w:afterLines="20"/>
              <w:ind w:left="0" w:leftChars="0" w:firstLine="0" w:firstLineChars="0"/>
              <w:jc w:val="left"/>
              <w:rPr>
                <w:rFonts w:hint="eastAsia" w:ascii="宋体" w:hAnsi="宋体"/>
                <w:color w:val="auto"/>
                <w:highlight w:val="none"/>
              </w:rPr>
            </w:pPr>
            <w:r>
              <w:rPr>
                <w:rFonts w:hint="eastAsia" w:ascii="Times New Roman" w:hAnsi="Times New Roman"/>
                <w:bCs/>
                <w:color w:val="auto"/>
                <w:szCs w:val="24"/>
                <w:highlight w:val="none"/>
                <w:lang w:val="en-US" w:eastAsia="zh-CN"/>
              </w:rPr>
              <w:t>2.施工组织设计采用“暗标”评审，如果某投标人的施工组织设计没有按照招标文件规定的格式、内容编制，且经评标委员会认定会暴露投标人信息的，评标委员会应一致将其施工组织设计评为0分，在详细评审中做</w:t>
            </w:r>
            <w:r>
              <w:rPr>
                <w:rFonts w:hint="eastAsia" w:ascii="Times New Roman" w:hAnsi="Times New Roman"/>
                <w:bCs/>
                <w:color w:val="auto"/>
                <w:szCs w:val="24"/>
                <w:highlight w:val="none"/>
              </w:rPr>
              <w:t>否决</w:t>
            </w:r>
            <w:r>
              <w:rPr>
                <w:rFonts w:hint="eastAsia" w:ascii="Times New Roman" w:hAnsi="Times New Roman"/>
                <w:bCs/>
                <w:color w:val="auto"/>
                <w:szCs w:val="24"/>
                <w:highlight w:val="none"/>
                <w:lang w:val="en-US" w:eastAsia="zh-CN"/>
              </w:rPr>
              <w:t>处理，并在评标报告中作出详细说明。</w:t>
            </w:r>
          </w:p>
        </w:tc>
      </w:tr>
    </w:tbl>
    <w:p w14:paraId="2289ACD1">
      <w:pPr>
        <w:keepNext w:val="0"/>
        <w:keepLines w:val="0"/>
        <w:pageBreakBefore w:val="0"/>
        <w:widowControl w:val="0"/>
        <w:numPr>
          <w:ilvl w:val="0"/>
          <w:numId w:val="2"/>
        </w:numPr>
        <w:kinsoku/>
        <w:wordWrap/>
        <w:overflowPunct/>
        <w:topLinePunct w:val="0"/>
        <w:autoSpaceDE/>
        <w:autoSpaceDN/>
        <w:bidi w:val="0"/>
        <w:spacing w:line="320" w:lineRule="exact"/>
        <w:textAlignment w:val="auto"/>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公开时间</w:t>
      </w:r>
    </w:p>
    <w:p w14:paraId="1302A750">
      <w:pPr>
        <w:pStyle w:val="9"/>
        <w:tabs>
          <w:tab w:val="left" w:pos="426"/>
        </w:tabs>
        <w:spacing w:line="360" w:lineRule="auto"/>
        <w:jc w:val="left"/>
        <w:outlineLvl w:val="2"/>
        <w:rPr>
          <w:rFonts w:hint="eastAsia"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keepNext w:val="0"/>
        <w:keepLines w:val="0"/>
        <w:pageBreakBefore w:val="0"/>
        <w:widowControl w:val="0"/>
        <w:numPr>
          <w:ilvl w:val="0"/>
          <w:numId w:val="2"/>
        </w:numPr>
        <w:kinsoku/>
        <w:wordWrap/>
        <w:overflowPunct/>
        <w:topLinePunct w:val="0"/>
        <w:autoSpaceDE/>
        <w:autoSpaceDN/>
        <w:bidi w:val="0"/>
        <w:spacing w:line="320" w:lineRule="exact"/>
        <w:textAlignment w:val="auto"/>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联系方式</w:t>
      </w:r>
    </w:p>
    <w:p w14:paraId="22D4E1ED">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招标人：和龙市公路建设项目服务中心</w:t>
      </w:r>
    </w:p>
    <w:p w14:paraId="4ABD2D32">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地址：吉林省和龙市人民大街105号</w:t>
      </w:r>
    </w:p>
    <w:p w14:paraId="7808FB0F">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联系人：石义海</w:t>
      </w:r>
    </w:p>
    <w:p w14:paraId="4B6C03EB">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电话：0433-4228031</w:t>
      </w:r>
    </w:p>
    <w:p w14:paraId="5BCB0D1F">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招标代理机构：吉林省国信工程咨询有限公司</w:t>
      </w:r>
    </w:p>
    <w:p w14:paraId="3805F42B">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地址：长春市经济技术开发区浦东路4488号213室</w:t>
      </w:r>
    </w:p>
    <w:p w14:paraId="685CF51F">
      <w:pPr>
        <w:keepNext w:val="0"/>
        <w:keepLines w:val="0"/>
        <w:pageBreakBefore w:val="0"/>
        <w:widowControl w:val="0"/>
        <w:kinsoku/>
        <w:wordWrap/>
        <w:overflowPunct/>
        <w:topLinePunct w:val="0"/>
        <w:autoSpaceDE/>
        <w:autoSpaceDN/>
        <w:bidi w:val="0"/>
        <w:spacing w:line="340" w:lineRule="exact"/>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联系人：刘工/李工</w:t>
      </w:r>
    </w:p>
    <w:p w14:paraId="4E5DE257">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电话：18686682827/13610705488（办公电话）</w:t>
      </w:r>
    </w:p>
    <w:p w14:paraId="3ABFF02C">
      <w:pPr>
        <w:spacing w:line="390" w:lineRule="exact"/>
        <w:rPr>
          <w:rFonts w:hint="eastAsia" w:ascii="宋体" w:hAnsi="宋体" w:eastAsia="宋体" w:cs="Times New Roman"/>
          <w:b w:val="0"/>
          <w:bCs w:val="0"/>
          <w:kern w:val="2"/>
          <w:sz w:val="21"/>
          <w:szCs w:val="21"/>
          <w:lang w:val="en-US" w:eastAsia="zh-CN" w:bidi="ar-SA"/>
        </w:rPr>
      </w:pPr>
      <w:bookmarkStart w:id="22" w:name="_GoBack"/>
      <w:bookmarkEnd w:id="22"/>
      <w:r>
        <w:rPr>
          <w:rFonts w:hint="eastAsia" w:ascii="宋体" w:hAnsi="宋体" w:eastAsia="宋体" w:cs="Times New Roman"/>
          <w:b w:val="0"/>
          <w:bCs w:val="0"/>
          <w:kern w:val="2"/>
          <w:sz w:val="21"/>
          <w:szCs w:val="21"/>
          <w:lang w:val="en-US" w:eastAsia="zh-CN" w:bidi="ar-SA"/>
        </w:rPr>
        <w:t>监督部门：延边州交通运输局</w:t>
      </w:r>
    </w:p>
    <w:p w14:paraId="52235AF8">
      <w:pPr>
        <w:keepNext w:val="0"/>
        <w:keepLines w:val="0"/>
        <w:pageBreakBefore w:val="0"/>
        <w:widowControl w:val="0"/>
        <w:numPr>
          <w:numId w:val="0"/>
        </w:numPr>
        <w:kinsoku/>
        <w:wordWrap/>
        <w:overflowPunct/>
        <w:topLinePunct w:val="0"/>
        <w:autoSpaceDE/>
        <w:autoSpaceDN/>
        <w:bidi w:val="0"/>
        <w:spacing w:line="32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电话：0433-2705070</w:t>
      </w:r>
    </w:p>
    <w:p w14:paraId="7A684279">
      <w:pPr>
        <w:pStyle w:val="9"/>
        <w:tabs>
          <w:tab w:val="left" w:pos="426"/>
        </w:tabs>
        <w:spacing w:line="360" w:lineRule="auto"/>
        <w:jc w:val="left"/>
        <w:outlineLvl w:val="2"/>
        <w:rPr>
          <w:rFonts w:hint="eastAsia" w:ascii="宋体" w:hAnsi="宋体"/>
          <w:b w:val="0"/>
          <w:bCs w:val="0"/>
          <w:kern w:val="2"/>
          <w:sz w:val="21"/>
          <w:szCs w:val="21"/>
        </w:rPr>
      </w:pPr>
    </w:p>
    <w:p w14:paraId="0AA6D70A">
      <w:pPr>
        <w:keepNext w:val="0"/>
        <w:keepLines w:val="0"/>
        <w:pageBreakBefore w:val="0"/>
        <w:widowControl w:val="0"/>
        <w:numPr>
          <w:numId w:val="0"/>
        </w:numPr>
        <w:kinsoku/>
        <w:wordWrap/>
        <w:overflowPunct/>
        <w:topLinePunct w:val="0"/>
        <w:autoSpaceDE/>
        <w:autoSpaceDN/>
        <w:bidi w:val="0"/>
        <w:spacing w:line="320" w:lineRule="exact"/>
        <w:textAlignment w:val="auto"/>
        <w:rPr>
          <w:rFonts w:hint="default" w:ascii="黑体" w:hAnsi="黑体" w:eastAsia="黑体" w:cs="Times New Roman"/>
          <w:color w:val="auto"/>
          <w:sz w:val="28"/>
          <w:szCs w:val="28"/>
          <w:highlight w:val="none"/>
          <w:lang w:val="en-US" w:eastAsia="zh-CN"/>
        </w:rPr>
      </w:pPr>
    </w:p>
    <w:p w14:paraId="74B1CE29">
      <w:pPr>
        <w:jc w:val="center"/>
        <w:rPr>
          <w:rFonts w:hint="default" w:ascii="黑体" w:hAnsi="Times New Roman" w:eastAsia="黑体" w:cs="Times New Roman"/>
          <w:b/>
          <w:bCs/>
          <w:color w:val="auto"/>
          <w:kern w:val="0"/>
          <w:sz w:val="30"/>
          <w:szCs w:val="30"/>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962643"/>
    </w:sdtPr>
    <w:sdtEndPr>
      <w:rPr>
        <w:rFonts w:ascii="宋体" w:hAnsi="宋体"/>
        <w:sz w:val="21"/>
        <w:szCs w:val="21"/>
      </w:rPr>
    </w:sdtEndPr>
    <w:sdtContent>
      <w:p w14:paraId="3016BA43">
        <w:pPr>
          <w:pStyle w:val="5"/>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92</w:t>
        </w:r>
        <w:r>
          <w:rPr>
            <w:rFonts w:ascii="宋体" w:hAnsi="宋体"/>
            <w:sz w:val="21"/>
            <w:szCs w:val="21"/>
          </w:rPr>
          <w:fldChar w:fldCharType="end"/>
        </w:r>
      </w:p>
    </w:sdtContent>
  </w:sdt>
  <w:p w14:paraId="16F4711D">
    <w:pPr>
      <w:pStyle w:val="5"/>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8E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5E8DE"/>
    <w:multiLevelType w:val="singleLevel"/>
    <w:tmpl w:val="EC25E8DE"/>
    <w:lvl w:ilvl="0" w:tentative="0">
      <w:start w:val="1"/>
      <w:numFmt w:val="decimal"/>
      <w:suff w:val="nothing"/>
      <w:lvlText w:val="%1、"/>
      <w:lvlJc w:val="left"/>
    </w:lvl>
  </w:abstractNum>
  <w:abstractNum w:abstractNumId="1">
    <w:nsid w:val="1BC16DCD"/>
    <w:multiLevelType w:val="multilevel"/>
    <w:tmpl w:val="1BC16DCD"/>
    <w:lvl w:ilvl="0" w:tentative="0">
      <w:start w:val="1"/>
      <w:numFmt w:val="decimal"/>
      <w:suff w:val="nothing"/>
      <w:lvlText w:val="（%1）"/>
      <w:lvlJc w:val="left"/>
      <w:pPr>
        <w:ind w:left="845" w:hanging="420"/>
      </w:pPr>
      <w:rPr>
        <w:rFonts w:hint="default"/>
        <w:sz w:val="20"/>
        <w:lang w:val="en-US"/>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2FB2B9F5"/>
    <w:multiLevelType w:val="singleLevel"/>
    <w:tmpl w:val="2FB2B9F5"/>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C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paragraph" w:styleId="3">
    <w:name w:val="heading 4"/>
    <w:basedOn w:val="1"/>
    <w:next w:val="1"/>
    <w:qFormat/>
    <w:uiPriority w:val="9"/>
    <w:pPr>
      <w:tabs>
        <w:tab w:val="left" w:pos="315"/>
      </w:tabs>
      <w:spacing w:before="120" w:after="120"/>
      <w:outlineLvl w:val="3"/>
    </w:pPr>
    <w:rPr>
      <w:rFonts w:ascii="Cambria" w:hAnsi="Cambria" w:eastAsia="黑体"/>
      <w:bCs/>
      <w:sz w:val="24"/>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Table Paragraph"/>
    <w:basedOn w:val="1"/>
    <w:qFormat/>
    <w:uiPriority w:val="99"/>
    <w:pPr>
      <w:autoSpaceDE w:val="0"/>
      <w:autoSpaceDN w:val="0"/>
      <w:jc w:val="left"/>
    </w:pPr>
    <w:rPr>
      <w:rFonts w:ascii="宋体" w:hAnsi="宋体" w:cs="宋体"/>
      <w:kern w:val="0"/>
      <w:sz w:val="22"/>
      <w:lang w:val="zh-CN" w:bidi="zh-CN"/>
    </w:rPr>
  </w:style>
  <w:style w:type="paragraph" w:customStyle="1" w:styleId="9">
    <w:name w:val="样式3"/>
    <w:basedOn w:val="1"/>
    <w:autoRedefine/>
    <w:qFormat/>
    <w:uiPriority w:val="0"/>
    <w:pPr>
      <w:keepNext/>
      <w:keepLines/>
      <w:spacing w:line="400" w:lineRule="exact"/>
      <w:outlineLvl w:val="0"/>
    </w:pPr>
    <w:rPr>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2025-07-31T03:43:42Z</dcterms:created>
  <dc:creator>GX</dc:creator>
  <cp:lastModifiedBy></cp:lastModifiedBy>
  <dcterms:modified xsi:type="dcterms:W3CDTF">2025-07-31T03:54:54Z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eyJoZGlkIjoiMWZkNDE1NjUzYmFjYmJiODZlNTJkNzZjZjE5YjYxNjAiLCJ1c2VySWQiOiI2MjI2MTg0OTQifQ==</vt:lpwstr>
  </property>
  <property fmtid="{D5CDD505-2E9C-101B-9397-08002B2CF9AE}" pid="4" name="ICV">
    <vt:lpwstr>FE8995E16670454D9BFC65687E280A6A_12</vt:lpwstr>
  </property>
</Properties>
</file>