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0A0C5">
      <w:pPr>
        <w:adjustRightInd w:val="0"/>
        <w:snapToGrid w:val="0"/>
        <w:spacing w:before="120" w:beforeLines="50" w:after="120" w:afterLines="50" w:line="400" w:lineRule="exact"/>
        <w:ind w:firstLine="240" w:firstLineChars="100"/>
        <w:jc w:val="center"/>
        <w:rPr>
          <w:rFonts w:hint="eastAsia" w:ascii="黑体" w:hAnsi="黑体" w:eastAsia="黑体"/>
          <w:bCs/>
          <w:sz w:val="24"/>
          <w:szCs w:val="24"/>
          <w:highlight w:val="none"/>
        </w:rPr>
      </w:pPr>
      <w:bookmarkStart w:id="0" w:name="_Hlk199143394"/>
      <w:bookmarkStart w:id="1" w:name="OLE_LINK1"/>
      <w:bookmarkStart w:id="2" w:name="OLE_LINK2"/>
      <w:bookmarkStart w:id="3" w:name="OLE_LINK51"/>
      <w:bookmarkStart w:id="4" w:name="_Hlk187238392"/>
      <w:bookmarkStart w:id="5" w:name="_Hlk189830412"/>
      <w:bookmarkStart w:id="6" w:name="_Toc184704560"/>
      <w:bookmarkStart w:id="7" w:name="_Toc197950802"/>
      <w:bookmarkStart w:id="8" w:name="_Toc197960544"/>
      <w:bookmarkStart w:id="9" w:name="_Toc197960492"/>
      <w:bookmarkStart w:id="10" w:name="_Toc197951555"/>
      <w:bookmarkStart w:id="11" w:name="_Toc197950681"/>
      <w:bookmarkStart w:id="12" w:name="_Toc197951587"/>
      <w:bookmarkStart w:id="13" w:name="_Toc197965596"/>
      <w:bookmarkStart w:id="14" w:name="_Toc197967265"/>
      <w:bookmarkStart w:id="15" w:name="_Toc197967117"/>
      <w:r>
        <w:rPr>
          <w:rFonts w:hint="eastAsia" w:ascii="黑体" w:hAnsi="黑体" w:eastAsia="黑体"/>
          <w:bCs/>
          <w:sz w:val="24"/>
          <w:szCs w:val="24"/>
          <w:highlight w:val="none"/>
        </w:rPr>
        <w:t>延边州普通国省干线公路水毁恢复重建工程及灾害防治工程施工</w:t>
      </w:r>
    </w:p>
    <w:bookmarkEnd w:id="0"/>
    <w:p w14:paraId="6AA2FE0B">
      <w:pPr>
        <w:adjustRightInd w:val="0"/>
        <w:snapToGrid w:val="0"/>
        <w:spacing w:before="120" w:beforeLines="50" w:after="120" w:afterLines="50" w:line="400" w:lineRule="exact"/>
        <w:ind w:firstLine="240" w:firstLineChars="100"/>
        <w:jc w:val="center"/>
        <w:rPr>
          <w:rFonts w:hint="eastAsia" w:ascii="黑体" w:hAnsi="黑体" w:eastAsia="黑体"/>
          <w:bCs/>
          <w:sz w:val="24"/>
          <w:szCs w:val="24"/>
          <w:highlight w:val="none"/>
        </w:rPr>
      </w:pPr>
      <w:r>
        <w:rPr>
          <w:rFonts w:hint="eastAsia" w:ascii="黑体" w:hAnsi="黑体" w:eastAsia="黑体"/>
          <w:bCs/>
          <w:sz w:val="24"/>
          <w:szCs w:val="24"/>
          <w:highlight w:val="none"/>
        </w:rPr>
        <w:t>招标文件关键内容信息公开</w:t>
      </w:r>
    </w:p>
    <w:p w14:paraId="09F8E768">
      <w:pPr>
        <w:adjustRightInd w:val="0"/>
        <w:snapToGrid w:val="0"/>
        <w:spacing w:before="120" w:beforeLines="50" w:after="120" w:afterLines="50" w:line="400" w:lineRule="exact"/>
        <w:rPr>
          <w:rFonts w:hint="eastAsia" w:ascii="黑体" w:hAnsi="黑体" w:eastAsia="黑体"/>
          <w:bCs/>
          <w:sz w:val="24"/>
          <w:szCs w:val="24"/>
          <w:highlight w:val="none"/>
        </w:rPr>
      </w:pPr>
      <w:bookmarkStart w:id="16" w:name="_Toc436994093"/>
      <w:r>
        <w:rPr>
          <w:rFonts w:ascii="黑体" w:hAnsi="黑体" w:eastAsia="黑体"/>
          <w:bCs/>
          <w:sz w:val="24"/>
          <w:szCs w:val="24"/>
          <w:highlight w:val="none"/>
        </w:rPr>
        <w:t>1.招标条件</w:t>
      </w:r>
      <w:bookmarkEnd w:id="16"/>
      <w:bookmarkStart w:id="17" w:name="_Hlk196125922"/>
    </w:p>
    <w:p w14:paraId="2CD23A7A">
      <w:pPr>
        <w:adjustRightInd w:val="0"/>
        <w:snapToGrid w:val="0"/>
        <w:spacing w:line="400" w:lineRule="exact"/>
        <w:ind w:firstLine="420" w:firstLineChars="200"/>
        <w:rPr>
          <w:rFonts w:hint="eastAsia" w:ascii="宋体" w:hAnsi="宋体"/>
          <w:bCs/>
          <w:szCs w:val="21"/>
          <w:highlight w:val="none"/>
        </w:rPr>
      </w:pPr>
      <w:bookmarkStart w:id="18" w:name="_Hlk186113543"/>
      <w:r>
        <w:rPr>
          <w:rFonts w:hint="eastAsia" w:ascii="宋体" w:hAnsi="宋体"/>
          <w:bCs/>
          <w:szCs w:val="21"/>
          <w:highlight w:val="none"/>
        </w:rPr>
        <w:t>本招标项目</w:t>
      </w:r>
      <w:bookmarkStart w:id="127" w:name="_GoBack"/>
      <w:bookmarkEnd w:id="127"/>
      <w:r>
        <w:rPr>
          <w:rFonts w:hint="eastAsia" w:ascii="宋体" w:hAnsi="宋体"/>
          <w:bCs/>
          <w:kern w:val="0"/>
          <w:szCs w:val="21"/>
          <w:highlight w:val="none"/>
          <w:lang w:val="zh-CN"/>
        </w:rPr>
        <w:t>已列入养护计划，施工图设计</w:t>
      </w:r>
      <w:r>
        <w:rPr>
          <w:rFonts w:hint="eastAsia" w:ascii="宋体" w:hAnsi="宋体"/>
          <w:bCs/>
          <w:szCs w:val="21"/>
          <w:highlight w:val="none"/>
        </w:rPr>
        <w:t>已由吉林省公路管理局以</w:t>
      </w:r>
      <w:bookmarkStart w:id="19" w:name="OLE_LINK89"/>
      <w:bookmarkStart w:id="20" w:name="_Hlk186123500"/>
      <w:r>
        <w:rPr>
          <w:rFonts w:hint="eastAsia" w:ascii="宋体" w:hAnsi="宋体"/>
          <w:bCs/>
          <w:szCs w:val="21"/>
          <w:highlight w:val="none"/>
        </w:rPr>
        <w:t>吉公路技</w:t>
      </w:r>
      <w:bookmarkEnd w:id="19"/>
      <w:r>
        <w:rPr>
          <w:rFonts w:hint="eastAsia" w:ascii="宋体" w:hAnsi="宋体"/>
          <w:bCs/>
          <w:szCs w:val="21"/>
          <w:highlight w:val="none"/>
        </w:rPr>
        <w:t>〔2024〕132号</w:t>
      </w:r>
      <w:bookmarkEnd w:id="20"/>
      <w:r>
        <w:rPr>
          <w:rFonts w:hint="eastAsia" w:ascii="宋体" w:hAnsi="宋体"/>
          <w:bCs/>
          <w:szCs w:val="21"/>
          <w:highlight w:val="none"/>
        </w:rPr>
        <w:t>、吉公路技〔2025〕51号、吉公路技〔2024〕140号、吉公路技〔2024〕166号文件批准，</w:t>
      </w:r>
      <w:bookmarkStart w:id="21" w:name="_Hlk194995188"/>
      <w:r>
        <w:rPr>
          <w:rFonts w:hint="eastAsia" w:ascii="宋体" w:hAnsi="宋体"/>
          <w:bCs/>
          <w:szCs w:val="21"/>
          <w:highlight w:val="none"/>
        </w:rPr>
        <w:t>项目法人为吉林省公路管理局，项目实施管理法人及招标人为</w:t>
      </w:r>
      <w:r>
        <w:rPr>
          <w:rFonts w:hint="eastAsia" w:ascii="黑体" w:hAnsi="黑体" w:eastAsia="黑体"/>
          <w:bCs/>
          <w:kern w:val="0"/>
          <w:szCs w:val="21"/>
          <w:highlight w:val="none"/>
          <w:u w:val="single"/>
          <w:lang w:val="zh-CN"/>
        </w:rPr>
        <w:t>延边州公路养护工程项目管理办公室</w:t>
      </w:r>
      <w:bookmarkEnd w:id="21"/>
      <w:r>
        <w:rPr>
          <w:rFonts w:hint="eastAsia" w:ascii="宋体" w:hAnsi="宋体"/>
          <w:bCs/>
          <w:szCs w:val="21"/>
          <w:highlight w:val="none"/>
        </w:rPr>
        <w:t>，建设资金来自财政资金，出资比例为100%。项目已具备招标条件，现对该项目的施工进行公开招标</w:t>
      </w:r>
      <w:r>
        <w:rPr>
          <w:rFonts w:ascii="宋体" w:hAnsi="宋体"/>
          <w:bCs/>
          <w:szCs w:val="21"/>
          <w:highlight w:val="none"/>
        </w:rPr>
        <w:t>。</w:t>
      </w:r>
    </w:p>
    <w:bookmarkEnd w:id="18"/>
    <w:p w14:paraId="181A2EEB">
      <w:pPr>
        <w:adjustRightInd w:val="0"/>
        <w:snapToGrid w:val="0"/>
        <w:spacing w:before="120" w:beforeLines="50" w:after="120" w:afterLines="50" w:line="400" w:lineRule="exact"/>
        <w:rPr>
          <w:rFonts w:hint="eastAsia" w:ascii="黑体" w:hAnsi="黑体" w:eastAsia="黑体"/>
          <w:bCs/>
          <w:sz w:val="24"/>
          <w:szCs w:val="24"/>
          <w:highlight w:val="none"/>
        </w:rPr>
      </w:pPr>
      <w:bookmarkStart w:id="22" w:name="_Toc327432500"/>
      <w:bookmarkStart w:id="23" w:name="_Toc184704556"/>
      <w:bookmarkStart w:id="24" w:name="OLE_LINK65"/>
      <w:r>
        <w:rPr>
          <w:rFonts w:ascii="黑体" w:hAnsi="黑体" w:eastAsia="黑体"/>
          <w:bCs/>
          <w:sz w:val="24"/>
          <w:szCs w:val="24"/>
          <w:highlight w:val="none"/>
        </w:rPr>
        <w:t>2.项目概况与招标范围</w:t>
      </w:r>
    </w:p>
    <w:p w14:paraId="3F86A39F">
      <w:pPr>
        <w:adjustRightInd w:val="0"/>
        <w:snapToGrid w:val="0"/>
        <w:spacing w:line="400" w:lineRule="exact"/>
        <w:ind w:firstLine="420" w:firstLineChars="200"/>
        <w:jc w:val="left"/>
        <w:rPr>
          <w:rFonts w:hint="eastAsia" w:ascii="宋体" w:hAnsi="宋体"/>
          <w:bCs/>
          <w:szCs w:val="21"/>
          <w:highlight w:val="none"/>
        </w:rPr>
      </w:pPr>
      <w:bookmarkStart w:id="25" w:name="_Hlk186113577"/>
      <w:bookmarkStart w:id="26" w:name="_Toc257655328"/>
      <w:bookmarkStart w:id="27" w:name="_Toc436994095"/>
      <w:r>
        <w:rPr>
          <w:rFonts w:hint="eastAsia" w:ascii="宋体" w:hAnsi="宋体"/>
          <w:bCs/>
          <w:szCs w:val="21"/>
          <w:highlight w:val="none"/>
        </w:rPr>
        <w:t>2.1建设地点</w:t>
      </w:r>
      <w:bookmarkStart w:id="28" w:name="OLE_LINK35"/>
      <w:r>
        <w:rPr>
          <w:rFonts w:hint="eastAsia" w:ascii="宋体" w:hAnsi="宋体"/>
          <w:bCs/>
          <w:szCs w:val="21"/>
          <w:highlight w:val="none"/>
        </w:rPr>
        <w:t>：吉林省延边州境内。</w:t>
      </w:r>
      <w:bookmarkEnd w:id="28"/>
    </w:p>
    <w:p w14:paraId="2B3FD1B8">
      <w:pPr>
        <w:adjustRightInd w:val="0"/>
        <w:snapToGrid w:val="0"/>
        <w:spacing w:line="400" w:lineRule="exact"/>
        <w:ind w:firstLine="420" w:firstLineChars="200"/>
        <w:jc w:val="left"/>
        <w:rPr>
          <w:rFonts w:hint="eastAsia" w:ascii="宋体" w:hAnsi="宋体"/>
          <w:bCs/>
          <w:szCs w:val="21"/>
          <w:highlight w:val="none"/>
        </w:rPr>
      </w:pPr>
      <w:r>
        <w:rPr>
          <w:rFonts w:hint="eastAsia" w:ascii="宋体" w:hAnsi="宋体"/>
          <w:bCs/>
          <w:szCs w:val="21"/>
          <w:highlight w:val="none"/>
        </w:rPr>
        <w:t>2.2建设规模：</w:t>
      </w:r>
      <w:bookmarkStart w:id="29" w:name="OLE_LINK22"/>
      <w:bookmarkStart w:id="30" w:name="_Hlk186123473"/>
    </w:p>
    <w:p w14:paraId="4A5D5A35">
      <w:pPr>
        <w:adjustRightInd w:val="0"/>
        <w:snapToGrid w:val="0"/>
        <w:spacing w:line="400" w:lineRule="exact"/>
        <w:ind w:firstLine="420" w:firstLineChars="200"/>
        <w:jc w:val="left"/>
        <w:rPr>
          <w:rFonts w:hint="eastAsia" w:ascii="宋体" w:hAnsi="宋体"/>
          <w:bCs/>
          <w:szCs w:val="21"/>
          <w:highlight w:val="none"/>
        </w:rPr>
      </w:pPr>
      <w:r>
        <w:rPr>
          <w:rFonts w:hint="eastAsia" w:ascii="宋体" w:hAnsi="宋体"/>
          <w:bCs/>
          <w:szCs w:val="21"/>
          <w:highlight w:val="none"/>
        </w:rPr>
        <w:t>（1</w:t>
      </w:r>
      <w:r>
        <w:rPr>
          <w:rFonts w:ascii="宋体" w:hAnsi="宋体"/>
          <w:bCs/>
          <w:szCs w:val="21"/>
          <w:highlight w:val="none"/>
        </w:rPr>
        <w:t>）</w:t>
      </w:r>
      <w:r>
        <w:rPr>
          <w:rFonts w:hint="eastAsia" w:ascii="宋体" w:hAnsi="宋体"/>
          <w:bCs/>
          <w:szCs w:val="21"/>
          <w:highlight w:val="none"/>
        </w:rPr>
        <w:t>延边州普通国省干线公路2023年水毁恢复重建工程：</w:t>
      </w:r>
      <w:r>
        <w:rPr>
          <w:rFonts w:ascii="宋体" w:hAnsi="宋体"/>
          <w:bCs/>
          <w:szCs w:val="21"/>
          <w:highlight w:val="none"/>
        </w:rPr>
        <w:t>涉及国道鹤大公路(G201)、珲阿公路(G302)</w:t>
      </w:r>
      <w:r>
        <w:rPr>
          <w:rFonts w:hint="eastAsia" w:ascii="宋体" w:hAnsi="宋体"/>
          <w:bCs/>
          <w:szCs w:val="21"/>
          <w:highlight w:val="none"/>
        </w:rPr>
        <w:t>、</w:t>
      </w:r>
      <w:r>
        <w:rPr>
          <w:rFonts w:ascii="宋体" w:hAnsi="宋体"/>
          <w:bCs/>
          <w:szCs w:val="21"/>
          <w:highlight w:val="none"/>
        </w:rPr>
        <w:t>三莫公路(G333)</w:t>
      </w:r>
      <w:r>
        <w:rPr>
          <w:rFonts w:hint="eastAsia" w:ascii="宋体" w:hAnsi="宋体"/>
          <w:bCs/>
          <w:szCs w:val="21"/>
          <w:highlight w:val="none"/>
        </w:rPr>
        <w:t>、</w:t>
      </w:r>
      <w:r>
        <w:rPr>
          <w:rFonts w:ascii="宋体" w:hAnsi="宋体"/>
          <w:bCs/>
          <w:szCs w:val="21"/>
          <w:highlight w:val="none"/>
        </w:rPr>
        <w:t>丹阿公路(G331)及省道松露公路(S304)共5条路线40 处水毁点段，工程主要内容为恢复重建水毁的路基、路面、桥涵、棚洞及排水防护等设施。</w:t>
      </w:r>
    </w:p>
    <w:p w14:paraId="7A5A7F56">
      <w:pPr>
        <w:adjustRightInd w:val="0"/>
        <w:snapToGrid w:val="0"/>
        <w:spacing w:line="400" w:lineRule="exact"/>
        <w:ind w:firstLine="420" w:firstLineChars="200"/>
        <w:jc w:val="left"/>
        <w:rPr>
          <w:rFonts w:hint="eastAsia" w:ascii="宋体" w:hAnsi="宋体" w:cs="微软雅黑"/>
          <w:szCs w:val="21"/>
          <w:highlight w:val="none"/>
        </w:rPr>
      </w:pPr>
      <w:r>
        <w:rPr>
          <w:rFonts w:hint="eastAsia" w:ascii="宋体" w:hAnsi="宋体"/>
          <w:bCs/>
          <w:szCs w:val="21"/>
          <w:highlight w:val="none"/>
        </w:rPr>
        <w:t>（2）</w:t>
      </w:r>
      <w:r>
        <w:rPr>
          <w:rFonts w:ascii="宋体" w:hAnsi="宋体" w:cs="微软雅黑"/>
          <w:szCs w:val="21"/>
          <w:highlight w:val="none"/>
        </w:rPr>
        <w:t>延边州普通国省干线公路2024年水毁恢复重建工程</w:t>
      </w:r>
      <w:r>
        <w:rPr>
          <w:rFonts w:hint="eastAsia" w:ascii="宋体" w:hAnsi="宋体" w:cs="微软雅黑"/>
          <w:szCs w:val="21"/>
          <w:highlight w:val="none"/>
        </w:rPr>
        <w:t>：</w:t>
      </w:r>
      <w:r>
        <w:rPr>
          <w:rFonts w:ascii="宋体" w:hAnsi="宋体" w:cs="微软雅黑"/>
          <w:szCs w:val="21"/>
          <w:highlight w:val="none"/>
        </w:rPr>
        <w:t>涉及国道珲阿公路（G302）、丹阿公路（G331）、三莫公路（G333）、鹤大公路（G201）、龙东公路（G334）和省道绥东公路（S201）共6条路线33处水毁点段，工程主要内容为恢复重建水毁的路基、路面、桥涵及排水防护等设施。</w:t>
      </w:r>
    </w:p>
    <w:p w14:paraId="7C4B2E12">
      <w:pPr>
        <w:spacing w:line="400" w:lineRule="exact"/>
        <w:ind w:firstLine="420" w:firstLineChars="200"/>
        <w:jc w:val="left"/>
        <w:rPr>
          <w:rFonts w:hint="eastAsia" w:ascii="宋体" w:hAnsi="宋体" w:cs="宋体"/>
          <w:szCs w:val="21"/>
          <w:highlight w:val="none"/>
        </w:rPr>
      </w:pPr>
      <w:r>
        <w:rPr>
          <w:rFonts w:hint="eastAsia" w:ascii="宋体" w:hAnsi="宋体"/>
          <w:bCs/>
          <w:szCs w:val="21"/>
          <w:highlight w:val="none"/>
        </w:rPr>
        <w:t>（3）</w:t>
      </w:r>
      <w:r>
        <w:rPr>
          <w:rFonts w:ascii="宋体" w:hAnsi="宋体" w:cs="仿宋"/>
          <w:spacing w:val="1"/>
          <w:szCs w:val="21"/>
          <w:highlight w:val="none"/>
        </w:rPr>
        <w:t xml:space="preserve"> 延边州2024年普通国省干线公路灾害防治工程</w:t>
      </w:r>
      <w:r>
        <w:rPr>
          <w:rFonts w:hint="eastAsia" w:ascii="宋体" w:hAnsi="宋体" w:cs="仿宋"/>
          <w:spacing w:val="1"/>
          <w:szCs w:val="21"/>
          <w:highlight w:val="none"/>
        </w:rPr>
        <w:t>：</w:t>
      </w:r>
      <w:r>
        <w:rPr>
          <w:rFonts w:ascii="宋体" w:hAnsi="宋体" w:cs="仿宋"/>
          <w:spacing w:val="1"/>
          <w:szCs w:val="21"/>
          <w:highlight w:val="none"/>
        </w:rPr>
        <w:t>位于国道</w:t>
      </w:r>
      <w:r>
        <w:rPr>
          <w:rFonts w:ascii="宋体" w:hAnsi="宋体" w:cs="仿宋"/>
          <w:spacing w:val="-1"/>
          <w:szCs w:val="21"/>
          <w:highlight w:val="none"/>
        </w:rPr>
        <w:t>珲阿公路</w:t>
      </w:r>
      <w:r>
        <w:rPr>
          <w:rFonts w:ascii="宋体" w:hAnsi="宋体" w:cs="宋体"/>
          <w:spacing w:val="-1"/>
          <w:szCs w:val="21"/>
          <w:highlight w:val="none"/>
        </w:rPr>
        <w:t>(G302)K136+600～K136+770、K</w:t>
      </w:r>
      <w:r>
        <w:rPr>
          <w:rFonts w:ascii="宋体" w:hAnsi="宋体" w:cs="宋体"/>
          <w:spacing w:val="-2"/>
          <w:szCs w:val="21"/>
          <w:highlight w:val="none"/>
        </w:rPr>
        <w:t>143+400～K143+550</w:t>
      </w:r>
      <w:r>
        <w:rPr>
          <w:rFonts w:ascii="宋体" w:hAnsi="宋体" w:cs="仿宋"/>
          <w:spacing w:val="-6"/>
          <w:szCs w:val="21"/>
          <w:highlight w:val="none"/>
        </w:rPr>
        <w:t>段、鹤大公路</w:t>
      </w:r>
      <w:r>
        <w:rPr>
          <w:rFonts w:ascii="宋体" w:hAnsi="宋体" w:cs="宋体"/>
          <w:spacing w:val="-6"/>
          <w:szCs w:val="21"/>
          <w:highlight w:val="none"/>
        </w:rPr>
        <w:t>(G201)K666+900～K</w:t>
      </w:r>
      <w:r>
        <w:rPr>
          <w:rFonts w:ascii="宋体" w:hAnsi="宋体" w:cs="宋体"/>
          <w:spacing w:val="-7"/>
          <w:szCs w:val="21"/>
          <w:highlight w:val="none"/>
        </w:rPr>
        <w:t>667+150</w:t>
      </w:r>
      <w:r>
        <w:rPr>
          <w:rFonts w:ascii="宋体" w:hAnsi="宋体" w:cs="仿宋"/>
          <w:spacing w:val="-7"/>
          <w:szCs w:val="21"/>
          <w:highlight w:val="none"/>
        </w:rPr>
        <w:t>段、三莫公路</w:t>
      </w:r>
      <w:r>
        <w:rPr>
          <w:rFonts w:ascii="宋体" w:hAnsi="宋体" w:cs="宋体"/>
          <w:spacing w:val="-7"/>
          <w:szCs w:val="21"/>
          <w:highlight w:val="none"/>
        </w:rPr>
        <w:t>(G333)</w:t>
      </w:r>
      <w:r>
        <w:rPr>
          <w:rFonts w:ascii="宋体" w:hAnsi="宋体" w:cs="宋体"/>
          <w:szCs w:val="21"/>
          <w:highlight w:val="none"/>
        </w:rPr>
        <w:t xml:space="preserve"> </w:t>
      </w:r>
      <w:r>
        <w:rPr>
          <w:rFonts w:ascii="宋体" w:hAnsi="宋体"/>
          <w:spacing w:val="-2"/>
          <w:szCs w:val="21"/>
          <w:highlight w:val="none"/>
        </w:rPr>
        <w:t>K103+533</w:t>
      </w:r>
      <w:r>
        <w:rPr>
          <w:rFonts w:ascii="宋体" w:hAnsi="宋体" w:cs="宋体"/>
          <w:spacing w:val="-6"/>
          <w:szCs w:val="21"/>
          <w:highlight w:val="none"/>
        </w:rPr>
        <w:t>～</w:t>
      </w:r>
      <w:r>
        <w:rPr>
          <w:rFonts w:ascii="宋体" w:hAnsi="宋体"/>
          <w:spacing w:val="-2"/>
          <w:szCs w:val="21"/>
          <w:highlight w:val="none"/>
        </w:rPr>
        <w:t>K103+628</w:t>
      </w:r>
      <w:r>
        <w:rPr>
          <w:rFonts w:ascii="宋体" w:hAnsi="宋体"/>
          <w:spacing w:val="-35"/>
          <w:szCs w:val="21"/>
          <w:highlight w:val="none"/>
        </w:rPr>
        <w:t xml:space="preserve"> </w:t>
      </w:r>
      <w:r>
        <w:rPr>
          <w:rFonts w:ascii="宋体" w:hAnsi="宋体" w:cs="宋体"/>
          <w:spacing w:val="-2"/>
          <w:szCs w:val="21"/>
          <w:highlight w:val="none"/>
        </w:rPr>
        <w:t>、</w:t>
      </w:r>
      <w:r>
        <w:rPr>
          <w:rFonts w:ascii="宋体" w:hAnsi="宋体"/>
          <w:spacing w:val="-2"/>
          <w:szCs w:val="21"/>
          <w:highlight w:val="none"/>
        </w:rPr>
        <w:t>K150+095</w:t>
      </w:r>
      <w:r>
        <w:rPr>
          <w:rFonts w:ascii="宋体" w:hAnsi="宋体" w:cs="宋体"/>
          <w:spacing w:val="-6"/>
          <w:szCs w:val="21"/>
          <w:highlight w:val="none"/>
        </w:rPr>
        <w:t>～</w:t>
      </w:r>
      <w:r>
        <w:rPr>
          <w:rFonts w:ascii="宋体" w:hAnsi="宋体"/>
          <w:spacing w:val="-2"/>
          <w:szCs w:val="21"/>
          <w:highlight w:val="none"/>
        </w:rPr>
        <w:t>K150+200</w:t>
      </w:r>
      <w:r>
        <w:rPr>
          <w:rFonts w:ascii="宋体" w:hAnsi="宋体"/>
          <w:spacing w:val="-44"/>
          <w:szCs w:val="21"/>
          <w:highlight w:val="none"/>
        </w:rPr>
        <w:t xml:space="preserve"> </w:t>
      </w:r>
      <w:r>
        <w:rPr>
          <w:rFonts w:ascii="宋体" w:hAnsi="宋体" w:cs="宋体"/>
          <w:spacing w:val="-2"/>
          <w:szCs w:val="21"/>
          <w:highlight w:val="none"/>
        </w:rPr>
        <w:t>、</w:t>
      </w:r>
      <w:r>
        <w:rPr>
          <w:rFonts w:ascii="宋体" w:hAnsi="宋体"/>
          <w:spacing w:val="-2"/>
          <w:szCs w:val="21"/>
          <w:highlight w:val="none"/>
        </w:rPr>
        <w:t>K164+060</w:t>
      </w:r>
      <w:r>
        <w:rPr>
          <w:rFonts w:ascii="宋体" w:hAnsi="宋体" w:cs="宋体"/>
          <w:spacing w:val="-6"/>
          <w:szCs w:val="21"/>
          <w:highlight w:val="none"/>
        </w:rPr>
        <w:t>～</w:t>
      </w:r>
      <w:r>
        <w:rPr>
          <w:rFonts w:ascii="宋体" w:hAnsi="宋体"/>
          <w:spacing w:val="5"/>
          <w:szCs w:val="21"/>
          <w:highlight w:val="none"/>
        </w:rPr>
        <w:t>K164+300</w:t>
      </w:r>
      <w:r>
        <w:rPr>
          <w:rFonts w:ascii="宋体" w:hAnsi="宋体"/>
          <w:spacing w:val="-44"/>
          <w:szCs w:val="21"/>
          <w:highlight w:val="none"/>
        </w:rPr>
        <w:t xml:space="preserve"> </w:t>
      </w:r>
      <w:r>
        <w:rPr>
          <w:rFonts w:ascii="宋体" w:hAnsi="宋体" w:cs="宋体"/>
          <w:spacing w:val="5"/>
          <w:szCs w:val="21"/>
          <w:highlight w:val="none"/>
        </w:rPr>
        <w:t>、</w:t>
      </w:r>
      <w:r>
        <w:rPr>
          <w:rFonts w:ascii="宋体" w:hAnsi="宋体"/>
          <w:spacing w:val="5"/>
          <w:szCs w:val="21"/>
          <w:highlight w:val="none"/>
        </w:rPr>
        <w:t>K194+000</w:t>
      </w:r>
      <w:r>
        <w:rPr>
          <w:rFonts w:ascii="宋体" w:hAnsi="宋体" w:cs="宋体"/>
          <w:spacing w:val="5"/>
          <w:szCs w:val="21"/>
          <w:highlight w:val="none"/>
        </w:rPr>
        <w:t>～</w:t>
      </w:r>
      <w:r>
        <w:rPr>
          <w:rFonts w:ascii="宋体" w:hAnsi="宋体"/>
          <w:spacing w:val="5"/>
          <w:szCs w:val="21"/>
          <w:highlight w:val="none"/>
        </w:rPr>
        <w:t>K194+130</w:t>
      </w:r>
      <w:r>
        <w:rPr>
          <w:rFonts w:ascii="宋体" w:hAnsi="宋体" w:cs="仿宋"/>
          <w:spacing w:val="5"/>
          <w:szCs w:val="21"/>
          <w:highlight w:val="none"/>
        </w:rPr>
        <w:t>段和</w:t>
      </w:r>
      <w:r>
        <w:rPr>
          <w:rFonts w:ascii="宋体" w:hAnsi="宋体" w:cs="仿宋"/>
          <w:spacing w:val="4"/>
          <w:szCs w:val="21"/>
          <w:highlight w:val="none"/>
        </w:rPr>
        <w:t>省道绥东公路</w:t>
      </w:r>
      <w:r>
        <w:rPr>
          <w:rFonts w:ascii="宋体" w:hAnsi="宋体"/>
          <w:spacing w:val="4"/>
          <w:szCs w:val="21"/>
          <w:highlight w:val="none"/>
        </w:rPr>
        <w:t>(S201)</w:t>
      </w:r>
      <w:r>
        <w:rPr>
          <w:rFonts w:ascii="宋体" w:hAnsi="宋体"/>
          <w:spacing w:val="-1"/>
          <w:szCs w:val="21"/>
          <w:highlight w:val="none"/>
        </w:rPr>
        <w:t>K235+000</w:t>
      </w:r>
      <w:r>
        <w:rPr>
          <w:rFonts w:ascii="宋体" w:hAnsi="宋体" w:cs="宋体"/>
          <w:spacing w:val="-1"/>
          <w:szCs w:val="21"/>
          <w:highlight w:val="none"/>
        </w:rPr>
        <w:t>～</w:t>
      </w:r>
      <w:r>
        <w:rPr>
          <w:rFonts w:ascii="宋体" w:hAnsi="宋体"/>
          <w:spacing w:val="-1"/>
          <w:szCs w:val="21"/>
          <w:highlight w:val="none"/>
        </w:rPr>
        <w:t>K235+118</w:t>
      </w:r>
      <w:r>
        <w:rPr>
          <w:rFonts w:ascii="宋体" w:hAnsi="宋体" w:cs="仿宋"/>
          <w:spacing w:val="-1"/>
          <w:szCs w:val="21"/>
          <w:highlight w:val="none"/>
        </w:rPr>
        <w:t>段内，共8段合计全长1.198公里。灾害主要类型为崩塌、剥落及滑坡。</w:t>
      </w:r>
    </w:p>
    <w:p w14:paraId="6B336C7C">
      <w:pPr>
        <w:spacing w:line="400" w:lineRule="exact"/>
        <w:ind w:firstLine="420" w:firstLineChars="200"/>
        <w:jc w:val="left"/>
        <w:rPr>
          <w:rFonts w:hint="eastAsia" w:ascii="宋体" w:hAnsi="宋体"/>
          <w:bCs/>
          <w:szCs w:val="21"/>
          <w:highlight w:val="none"/>
        </w:rPr>
      </w:pPr>
      <w:r>
        <w:rPr>
          <w:rFonts w:hint="eastAsia" w:ascii="宋体" w:hAnsi="宋体"/>
          <w:bCs/>
          <w:szCs w:val="21"/>
          <w:highlight w:val="none"/>
        </w:rPr>
        <w:t>（4）</w:t>
      </w:r>
      <w:r>
        <w:rPr>
          <w:rFonts w:ascii="宋体" w:hAnsi="宋体"/>
          <w:bCs/>
          <w:szCs w:val="21"/>
          <w:highlight w:val="none"/>
        </w:rPr>
        <w:t>延边州2024年国道珲阿、鹤大、丹阿及龙东公路共四段灾害防治工程</w:t>
      </w:r>
      <w:r>
        <w:rPr>
          <w:rFonts w:hint="eastAsia" w:ascii="宋体" w:hAnsi="宋体"/>
          <w:bCs/>
          <w:szCs w:val="21"/>
          <w:highlight w:val="none"/>
        </w:rPr>
        <w:t>:</w:t>
      </w:r>
      <w:r>
        <w:rPr>
          <w:rFonts w:ascii="宋体" w:hAnsi="宋体"/>
          <w:bCs/>
          <w:szCs w:val="21"/>
          <w:highlight w:val="none"/>
        </w:rPr>
        <w:t>位于国道珲阿公路(G302)K151+442～K151+522段、鹤大公路(G201)K801+045～K801+290段、丹阿公路(G331) K1476+150～K1476+280段和龙东公路 (G334)K222+790～K223+075段内，共4段合计全长0.74公里。灾害主要类型为崩塌、剥落及滑坡。</w:t>
      </w:r>
    </w:p>
    <w:bookmarkEnd w:id="25"/>
    <w:bookmarkEnd w:id="29"/>
    <w:bookmarkEnd w:id="30"/>
    <w:p w14:paraId="7CD40F82">
      <w:pPr>
        <w:adjustRightInd w:val="0"/>
        <w:snapToGrid w:val="0"/>
        <w:spacing w:line="400" w:lineRule="exact"/>
        <w:ind w:firstLine="420" w:firstLineChars="200"/>
        <w:jc w:val="left"/>
        <w:rPr>
          <w:rFonts w:hint="eastAsia" w:ascii="宋体" w:hAnsi="宋体"/>
          <w:bCs/>
          <w:szCs w:val="21"/>
          <w:highlight w:val="none"/>
        </w:rPr>
      </w:pPr>
      <w:r>
        <w:rPr>
          <w:rFonts w:hint="eastAsia" w:ascii="宋体" w:hAnsi="宋体"/>
          <w:bCs/>
          <w:szCs w:val="21"/>
          <w:highlight w:val="none"/>
        </w:rPr>
        <w:t>2.3招标范围：</w:t>
      </w:r>
      <w:bookmarkEnd w:id="26"/>
      <w:bookmarkEnd w:id="27"/>
      <w:bookmarkStart w:id="31" w:name="_Toc455238557"/>
      <w:r>
        <w:rPr>
          <w:rFonts w:hint="eastAsia" w:ascii="宋体" w:hAnsi="宋体"/>
          <w:szCs w:val="21"/>
          <w:highlight w:val="none"/>
        </w:rPr>
        <w:t>经批复的施工图设计范围内所有工程的施工</w:t>
      </w:r>
      <w:r>
        <w:rPr>
          <w:rFonts w:hint="eastAsia" w:ascii="宋体" w:hAnsi="宋体" w:cs="仿宋_GB2312"/>
          <w:bCs/>
          <w:szCs w:val="21"/>
          <w:highlight w:val="none"/>
          <w:lang w:val="zh-CN"/>
        </w:rPr>
        <w:t>。</w:t>
      </w:r>
      <w:bookmarkStart w:id="32" w:name="OLE_LINK27"/>
    </w:p>
    <w:p w14:paraId="6E63E56F">
      <w:pPr>
        <w:adjustRightInd w:val="0"/>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t xml:space="preserve">2.4 </w:t>
      </w:r>
      <w:bookmarkStart w:id="33" w:name="_Hlk186033389"/>
      <w:r>
        <w:rPr>
          <w:rFonts w:hint="eastAsia" w:ascii="宋体" w:hAnsi="宋体"/>
          <w:bCs/>
          <w:szCs w:val="21"/>
          <w:highlight w:val="none"/>
        </w:rPr>
        <w:t>标段划分：</w:t>
      </w:r>
      <w:bookmarkStart w:id="34" w:name="_Hlk186123575"/>
      <w:r>
        <w:rPr>
          <w:rFonts w:hint="eastAsia" w:ascii="宋体" w:hAnsi="宋体"/>
          <w:bCs/>
          <w:szCs w:val="21"/>
          <w:highlight w:val="none"/>
        </w:rPr>
        <w:t>本次招标划分为2个标段，具体</w:t>
      </w:r>
      <w:bookmarkStart w:id="35" w:name="_Hlk187327422"/>
      <w:r>
        <w:rPr>
          <w:rFonts w:hint="eastAsia" w:ascii="宋体" w:hAnsi="宋体"/>
          <w:bCs/>
          <w:szCs w:val="21"/>
          <w:highlight w:val="none"/>
        </w:rPr>
        <w:t>如下：</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61"/>
        <w:gridCol w:w="739"/>
        <w:gridCol w:w="1588"/>
        <w:gridCol w:w="1842"/>
        <w:gridCol w:w="2682"/>
        <w:gridCol w:w="533"/>
        <w:gridCol w:w="1350"/>
      </w:tblGrid>
      <w:tr w14:paraId="3CE7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14:paraId="0965D33B">
            <w:pPr>
              <w:adjustRightInd w:val="0"/>
              <w:snapToGrid w:val="0"/>
              <w:spacing w:line="280" w:lineRule="exact"/>
              <w:jc w:val="center"/>
              <w:rPr>
                <w:rFonts w:hint="eastAsia" w:ascii="宋体" w:hAnsi="宋体"/>
                <w:bCs/>
                <w:szCs w:val="21"/>
                <w:highlight w:val="none"/>
              </w:rPr>
            </w:pPr>
            <w:r>
              <w:rPr>
                <w:rFonts w:hint="eastAsia" w:ascii="宋体" w:hAnsi="宋体"/>
                <w:bCs/>
                <w:szCs w:val="21"/>
                <w:highlight w:val="none"/>
              </w:rPr>
              <w:t>标段</w:t>
            </w:r>
          </w:p>
        </w:tc>
        <w:tc>
          <w:tcPr>
            <w:tcW w:w="381" w:type="pct"/>
            <w:tcBorders>
              <w:top w:val="single" w:color="auto" w:sz="4" w:space="0"/>
              <w:left w:val="single" w:color="auto" w:sz="4" w:space="0"/>
              <w:bottom w:val="single" w:color="auto" w:sz="4" w:space="0"/>
              <w:right w:val="single" w:color="auto" w:sz="4" w:space="0"/>
            </w:tcBorders>
            <w:vAlign w:val="center"/>
          </w:tcPr>
          <w:p w14:paraId="640056C4">
            <w:pPr>
              <w:adjustRightInd w:val="0"/>
              <w:snapToGrid w:val="0"/>
              <w:spacing w:line="280" w:lineRule="exact"/>
              <w:jc w:val="center"/>
              <w:rPr>
                <w:rFonts w:hint="eastAsia" w:ascii="宋体" w:hAnsi="宋体"/>
                <w:bCs/>
                <w:szCs w:val="21"/>
                <w:highlight w:val="none"/>
              </w:rPr>
            </w:pPr>
            <w:r>
              <w:rPr>
                <w:rFonts w:hint="eastAsia" w:ascii="宋体" w:hAnsi="宋体"/>
                <w:bCs/>
                <w:szCs w:val="21"/>
                <w:highlight w:val="none"/>
              </w:rPr>
              <w:t>工程</w:t>
            </w:r>
          </w:p>
          <w:p w14:paraId="724A3F24">
            <w:pPr>
              <w:adjustRightInd w:val="0"/>
              <w:snapToGrid w:val="0"/>
              <w:spacing w:line="280" w:lineRule="exact"/>
              <w:jc w:val="center"/>
              <w:rPr>
                <w:rFonts w:hint="eastAsia" w:ascii="宋体" w:hAnsi="宋体"/>
                <w:bCs/>
                <w:szCs w:val="21"/>
                <w:highlight w:val="none"/>
              </w:rPr>
            </w:pPr>
            <w:r>
              <w:rPr>
                <w:rFonts w:hint="eastAsia" w:ascii="宋体" w:hAnsi="宋体"/>
                <w:bCs/>
                <w:szCs w:val="21"/>
                <w:highlight w:val="none"/>
              </w:rPr>
              <w:t>类别</w:t>
            </w:r>
          </w:p>
        </w:tc>
        <w:tc>
          <w:tcPr>
            <w:tcW w:w="819" w:type="pct"/>
            <w:tcBorders>
              <w:top w:val="single" w:color="auto" w:sz="4" w:space="0"/>
              <w:left w:val="single" w:color="auto" w:sz="4" w:space="0"/>
              <w:bottom w:val="single" w:color="auto" w:sz="4" w:space="0"/>
              <w:right w:val="single" w:color="auto" w:sz="4" w:space="0"/>
            </w:tcBorders>
            <w:vAlign w:val="center"/>
          </w:tcPr>
          <w:p w14:paraId="2265344F">
            <w:pPr>
              <w:adjustRightInd w:val="0"/>
              <w:snapToGrid w:val="0"/>
              <w:spacing w:line="280" w:lineRule="exact"/>
              <w:jc w:val="center"/>
              <w:rPr>
                <w:rFonts w:hint="eastAsia" w:ascii="宋体" w:hAnsi="宋体"/>
                <w:bCs/>
                <w:szCs w:val="21"/>
                <w:highlight w:val="none"/>
              </w:rPr>
            </w:pPr>
            <w:r>
              <w:rPr>
                <w:rFonts w:hint="eastAsia" w:ascii="宋体" w:hAnsi="宋体"/>
                <w:bCs/>
                <w:szCs w:val="21"/>
                <w:highlight w:val="none"/>
              </w:rPr>
              <w:t>批复文号</w:t>
            </w:r>
          </w:p>
        </w:tc>
        <w:tc>
          <w:tcPr>
            <w:tcW w:w="950" w:type="pct"/>
            <w:tcBorders>
              <w:top w:val="single" w:color="auto" w:sz="4" w:space="0"/>
              <w:left w:val="single" w:color="auto" w:sz="4" w:space="0"/>
              <w:bottom w:val="single" w:color="auto" w:sz="4" w:space="0"/>
              <w:right w:val="single" w:color="auto" w:sz="4" w:space="0"/>
            </w:tcBorders>
            <w:vAlign w:val="center"/>
          </w:tcPr>
          <w:p w14:paraId="1F94852E">
            <w:pPr>
              <w:adjustRightInd w:val="0"/>
              <w:snapToGrid w:val="0"/>
              <w:spacing w:line="280" w:lineRule="exact"/>
              <w:jc w:val="center"/>
              <w:rPr>
                <w:rFonts w:hint="eastAsia" w:ascii="宋体" w:hAnsi="宋体"/>
                <w:bCs/>
                <w:szCs w:val="21"/>
                <w:highlight w:val="none"/>
              </w:rPr>
            </w:pPr>
            <w:r>
              <w:rPr>
                <w:rFonts w:hint="eastAsia" w:ascii="宋体" w:hAnsi="宋体"/>
                <w:bCs/>
                <w:szCs w:val="21"/>
                <w:highlight w:val="none"/>
              </w:rPr>
              <w:t>工程项目</w:t>
            </w:r>
          </w:p>
        </w:tc>
        <w:tc>
          <w:tcPr>
            <w:tcW w:w="1383" w:type="pct"/>
            <w:tcBorders>
              <w:top w:val="single" w:color="auto" w:sz="4" w:space="0"/>
              <w:left w:val="single" w:color="auto" w:sz="4" w:space="0"/>
              <w:bottom w:val="single" w:color="auto" w:sz="4" w:space="0"/>
              <w:right w:val="single" w:color="auto" w:sz="4" w:space="0"/>
            </w:tcBorders>
            <w:vAlign w:val="center"/>
          </w:tcPr>
          <w:p w14:paraId="1FC5FE52">
            <w:pPr>
              <w:adjustRightInd w:val="0"/>
              <w:snapToGrid w:val="0"/>
              <w:spacing w:line="280" w:lineRule="exact"/>
              <w:jc w:val="center"/>
              <w:rPr>
                <w:rFonts w:hint="eastAsia" w:ascii="宋体" w:hAnsi="宋体"/>
                <w:bCs/>
                <w:szCs w:val="21"/>
                <w:highlight w:val="none"/>
              </w:rPr>
            </w:pPr>
            <w:r>
              <w:rPr>
                <w:rFonts w:hint="eastAsia" w:ascii="宋体" w:hAnsi="宋体"/>
                <w:bCs/>
                <w:szCs w:val="21"/>
                <w:highlight w:val="none"/>
              </w:rPr>
              <w:t>位置</w:t>
            </w:r>
          </w:p>
        </w:tc>
        <w:tc>
          <w:tcPr>
            <w:tcW w:w="275" w:type="pct"/>
            <w:tcBorders>
              <w:top w:val="single" w:color="auto" w:sz="4" w:space="0"/>
              <w:left w:val="single" w:color="auto" w:sz="4" w:space="0"/>
              <w:bottom w:val="single" w:color="auto" w:sz="4" w:space="0"/>
              <w:right w:val="single" w:color="auto" w:sz="4" w:space="0"/>
            </w:tcBorders>
            <w:vAlign w:val="center"/>
          </w:tcPr>
          <w:p w14:paraId="09BA43A5">
            <w:pPr>
              <w:adjustRightInd w:val="0"/>
              <w:snapToGrid w:val="0"/>
              <w:spacing w:line="280" w:lineRule="exact"/>
              <w:jc w:val="center"/>
              <w:rPr>
                <w:rFonts w:hint="eastAsia" w:ascii="宋体" w:hAnsi="宋体"/>
                <w:bCs/>
                <w:szCs w:val="21"/>
                <w:highlight w:val="none"/>
              </w:rPr>
            </w:pPr>
            <w:r>
              <w:rPr>
                <w:rFonts w:hint="eastAsia" w:ascii="宋体" w:hAnsi="宋体"/>
                <w:bCs/>
                <w:szCs w:val="21"/>
                <w:highlight w:val="none"/>
              </w:rPr>
              <w:t>公路</w:t>
            </w:r>
          </w:p>
          <w:p w14:paraId="49C1B8BA">
            <w:pPr>
              <w:adjustRightInd w:val="0"/>
              <w:snapToGrid w:val="0"/>
              <w:spacing w:line="280" w:lineRule="exact"/>
              <w:jc w:val="center"/>
              <w:rPr>
                <w:rFonts w:hint="eastAsia" w:ascii="宋体" w:hAnsi="宋体"/>
                <w:bCs/>
                <w:szCs w:val="21"/>
                <w:highlight w:val="none"/>
              </w:rPr>
            </w:pPr>
            <w:r>
              <w:rPr>
                <w:rFonts w:hint="eastAsia" w:ascii="宋体" w:hAnsi="宋体"/>
                <w:bCs/>
                <w:szCs w:val="21"/>
                <w:highlight w:val="none"/>
              </w:rPr>
              <w:t>等级</w:t>
            </w:r>
          </w:p>
        </w:tc>
        <w:tc>
          <w:tcPr>
            <w:tcW w:w="696" w:type="pct"/>
            <w:tcBorders>
              <w:top w:val="single" w:color="auto" w:sz="4" w:space="0"/>
              <w:left w:val="single" w:color="auto" w:sz="4" w:space="0"/>
              <w:bottom w:val="single" w:color="auto" w:sz="4" w:space="0"/>
              <w:right w:val="single" w:color="auto" w:sz="4" w:space="0"/>
            </w:tcBorders>
            <w:vAlign w:val="center"/>
          </w:tcPr>
          <w:p w14:paraId="27D8A2B8">
            <w:pPr>
              <w:adjustRightInd w:val="0"/>
              <w:snapToGrid w:val="0"/>
              <w:spacing w:line="280" w:lineRule="exact"/>
              <w:jc w:val="center"/>
              <w:rPr>
                <w:rFonts w:hint="eastAsia" w:ascii="宋体" w:hAnsi="宋体"/>
                <w:bCs/>
                <w:szCs w:val="21"/>
                <w:highlight w:val="none"/>
              </w:rPr>
            </w:pPr>
            <w:r>
              <w:rPr>
                <w:rFonts w:hint="eastAsia" w:ascii="宋体" w:hAnsi="宋体"/>
                <w:bCs/>
                <w:szCs w:val="21"/>
                <w:highlight w:val="none"/>
              </w:rPr>
              <w:t>主要工程内容</w:t>
            </w:r>
          </w:p>
        </w:tc>
      </w:tr>
      <w:tr w14:paraId="47187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96" w:type="pct"/>
            <w:vMerge w:val="restart"/>
            <w:tcBorders>
              <w:top w:val="single" w:color="auto" w:sz="4" w:space="0"/>
              <w:left w:val="single" w:color="000000" w:sz="4" w:space="0"/>
              <w:right w:val="single" w:color="000000" w:sz="4" w:space="0"/>
            </w:tcBorders>
            <w:vAlign w:val="center"/>
          </w:tcPr>
          <w:p w14:paraId="0E19CA10">
            <w:pPr>
              <w:adjustRightInd w:val="0"/>
              <w:snapToGrid w:val="0"/>
              <w:spacing w:line="280" w:lineRule="exact"/>
              <w:jc w:val="center"/>
              <w:rPr>
                <w:rFonts w:hint="eastAsia" w:ascii="黑体" w:hAnsi="黑体" w:eastAsia="黑体"/>
                <w:bCs/>
                <w:szCs w:val="21"/>
                <w:highlight w:val="none"/>
              </w:rPr>
            </w:pPr>
            <w:bookmarkStart w:id="36" w:name="OLE_LINK4"/>
            <w:bookmarkStart w:id="37" w:name="_Hlk187398597"/>
            <w:r>
              <w:rPr>
                <w:rFonts w:hint="eastAsia" w:ascii="黑体" w:hAnsi="黑体" w:eastAsia="黑体"/>
                <w:bCs/>
                <w:szCs w:val="21"/>
                <w:highlight w:val="none"/>
              </w:rPr>
              <w:t>YB25SH0</w:t>
            </w:r>
            <w:bookmarkEnd w:id="36"/>
            <w:r>
              <w:rPr>
                <w:rFonts w:hint="eastAsia" w:ascii="黑体" w:hAnsi="黑体" w:eastAsia="黑体"/>
                <w:bCs/>
                <w:szCs w:val="21"/>
                <w:highlight w:val="none"/>
              </w:rPr>
              <w:t>1</w:t>
            </w:r>
          </w:p>
        </w:tc>
        <w:tc>
          <w:tcPr>
            <w:tcW w:w="381" w:type="pct"/>
            <w:vMerge w:val="restart"/>
            <w:tcBorders>
              <w:top w:val="single" w:color="auto" w:sz="4" w:space="0"/>
              <w:left w:val="single" w:color="000000" w:sz="4" w:space="0"/>
              <w:right w:val="single" w:color="000000" w:sz="4" w:space="0"/>
            </w:tcBorders>
            <w:vAlign w:val="center"/>
          </w:tcPr>
          <w:p w14:paraId="2C65E99E">
            <w:pPr>
              <w:adjustRightInd w:val="0"/>
              <w:snapToGrid w:val="0"/>
              <w:spacing w:line="280" w:lineRule="exact"/>
              <w:jc w:val="center"/>
              <w:rPr>
                <w:rFonts w:hint="eastAsia" w:ascii="宋体" w:hAnsi="宋体"/>
                <w:bCs/>
                <w:szCs w:val="21"/>
                <w:highlight w:val="none"/>
              </w:rPr>
            </w:pPr>
            <w:r>
              <w:rPr>
                <w:rFonts w:hint="eastAsia" w:ascii="宋体" w:hAnsi="宋体"/>
                <w:bCs/>
                <w:szCs w:val="21"/>
                <w:highlight w:val="none"/>
              </w:rPr>
              <w:t>水毁</w:t>
            </w:r>
          </w:p>
          <w:p w14:paraId="3AAF572D">
            <w:pPr>
              <w:adjustRightInd w:val="0"/>
              <w:snapToGrid w:val="0"/>
              <w:spacing w:line="280" w:lineRule="exact"/>
              <w:jc w:val="center"/>
              <w:rPr>
                <w:rFonts w:hint="eastAsia" w:ascii="宋体" w:hAnsi="宋体"/>
                <w:bCs/>
                <w:szCs w:val="21"/>
                <w:highlight w:val="none"/>
              </w:rPr>
            </w:pPr>
            <w:r>
              <w:rPr>
                <w:rFonts w:hint="eastAsia" w:ascii="宋体" w:hAnsi="宋体"/>
                <w:bCs/>
                <w:szCs w:val="21"/>
                <w:highlight w:val="none"/>
              </w:rPr>
              <w:t>重建</w:t>
            </w:r>
          </w:p>
        </w:tc>
        <w:tc>
          <w:tcPr>
            <w:tcW w:w="819" w:type="pct"/>
            <w:tcBorders>
              <w:top w:val="single" w:color="auto" w:sz="4" w:space="0"/>
              <w:left w:val="single" w:color="000000" w:sz="4" w:space="0"/>
              <w:bottom w:val="single" w:color="auto" w:sz="4" w:space="0"/>
              <w:right w:val="single" w:color="000000" w:sz="4" w:space="0"/>
            </w:tcBorders>
            <w:vAlign w:val="center"/>
          </w:tcPr>
          <w:p w14:paraId="0E69797E">
            <w:pPr>
              <w:adjustRightInd w:val="0"/>
              <w:snapToGrid w:val="0"/>
              <w:spacing w:line="280" w:lineRule="exact"/>
              <w:jc w:val="center"/>
              <w:rPr>
                <w:rFonts w:hint="eastAsia" w:ascii="宋体" w:hAnsi="宋体"/>
                <w:bCs/>
                <w:szCs w:val="21"/>
                <w:highlight w:val="none"/>
              </w:rPr>
            </w:pPr>
            <w:r>
              <w:rPr>
                <w:rFonts w:hint="eastAsia" w:ascii="宋体" w:hAnsi="宋体"/>
                <w:bCs/>
                <w:szCs w:val="21"/>
                <w:highlight w:val="none"/>
              </w:rPr>
              <w:t>吉公路技</w:t>
            </w:r>
          </w:p>
          <w:p w14:paraId="7F669AA8">
            <w:pPr>
              <w:adjustRightInd w:val="0"/>
              <w:snapToGrid w:val="0"/>
              <w:spacing w:line="280" w:lineRule="exact"/>
              <w:jc w:val="center"/>
              <w:rPr>
                <w:rFonts w:hint="eastAsia" w:ascii="宋体" w:hAnsi="宋体"/>
                <w:bCs/>
                <w:szCs w:val="21"/>
                <w:highlight w:val="none"/>
              </w:rPr>
            </w:pPr>
            <w:r>
              <w:rPr>
                <w:rFonts w:hint="eastAsia" w:ascii="宋体" w:hAnsi="宋体"/>
                <w:bCs/>
                <w:szCs w:val="21"/>
                <w:highlight w:val="none"/>
              </w:rPr>
              <w:t>〔2024〕132号</w:t>
            </w:r>
          </w:p>
        </w:tc>
        <w:tc>
          <w:tcPr>
            <w:tcW w:w="950" w:type="pct"/>
            <w:tcBorders>
              <w:top w:val="single" w:color="auto" w:sz="4" w:space="0"/>
              <w:left w:val="single" w:color="000000" w:sz="4" w:space="0"/>
              <w:bottom w:val="single" w:color="auto" w:sz="4" w:space="0"/>
              <w:right w:val="single" w:color="000000" w:sz="4" w:space="0"/>
            </w:tcBorders>
            <w:vAlign w:val="center"/>
          </w:tcPr>
          <w:p w14:paraId="1E480E9A">
            <w:pPr>
              <w:adjustRightInd w:val="0"/>
              <w:snapToGrid w:val="0"/>
              <w:spacing w:line="280" w:lineRule="exact"/>
              <w:rPr>
                <w:rFonts w:hint="eastAsia" w:ascii="宋体" w:hAnsi="宋体"/>
                <w:bCs/>
                <w:szCs w:val="21"/>
                <w:highlight w:val="none"/>
              </w:rPr>
            </w:pPr>
            <w:r>
              <w:rPr>
                <w:rFonts w:hint="eastAsia" w:ascii="宋体" w:hAnsi="宋体"/>
                <w:bCs/>
                <w:szCs w:val="21"/>
                <w:highlight w:val="none"/>
              </w:rPr>
              <w:t>延边州普通国省干线公路2023年水毁恢复重建工程</w:t>
            </w:r>
          </w:p>
        </w:tc>
        <w:tc>
          <w:tcPr>
            <w:tcW w:w="1383" w:type="pct"/>
            <w:tcBorders>
              <w:top w:val="single" w:color="auto" w:sz="4" w:space="0"/>
              <w:left w:val="single" w:color="000000" w:sz="4" w:space="0"/>
              <w:bottom w:val="single" w:color="auto" w:sz="4" w:space="0"/>
              <w:right w:val="single" w:color="000000" w:sz="4" w:space="0"/>
            </w:tcBorders>
            <w:vAlign w:val="center"/>
          </w:tcPr>
          <w:p w14:paraId="4D64EF41">
            <w:pPr>
              <w:adjustRightInd w:val="0"/>
              <w:snapToGrid w:val="0"/>
              <w:spacing w:line="280" w:lineRule="exact"/>
              <w:rPr>
                <w:rFonts w:hint="eastAsia" w:ascii="宋体" w:hAnsi="宋体"/>
                <w:bCs/>
                <w:szCs w:val="21"/>
                <w:highlight w:val="none"/>
              </w:rPr>
            </w:pPr>
            <w:r>
              <w:rPr>
                <w:rFonts w:ascii="宋体" w:hAnsi="宋体"/>
                <w:bCs/>
                <w:szCs w:val="21"/>
                <w:highlight w:val="none"/>
              </w:rPr>
              <w:t>国道鹤大公路(G201)、珲阿公路(G302)</w:t>
            </w:r>
            <w:r>
              <w:rPr>
                <w:rFonts w:hint="eastAsia" w:ascii="宋体" w:hAnsi="宋体"/>
                <w:bCs/>
                <w:szCs w:val="21"/>
                <w:highlight w:val="none"/>
              </w:rPr>
              <w:t>、</w:t>
            </w:r>
            <w:r>
              <w:rPr>
                <w:rFonts w:ascii="宋体" w:hAnsi="宋体"/>
                <w:bCs/>
                <w:szCs w:val="21"/>
                <w:highlight w:val="none"/>
              </w:rPr>
              <w:t>三莫公路(G333)</w:t>
            </w:r>
            <w:r>
              <w:rPr>
                <w:rFonts w:hint="eastAsia" w:ascii="宋体" w:hAnsi="宋体"/>
                <w:bCs/>
                <w:szCs w:val="21"/>
                <w:highlight w:val="none"/>
              </w:rPr>
              <w:t>、</w:t>
            </w:r>
            <w:r>
              <w:rPr>
                <w:rFonts w:ascii="宋体" w:hAnsi="宋体"/>
                <w:bCs/>
                <w:szCs w:val="21"/>
                <w:highlight w:val="none"/>
              </w:rPr>
              <w:t>丹阿公路(G331)及省道松露公路(S304)共5条路线40 处水毁点段</w:t>
            </w:r>
            <w:r>
              <w:rPr>
                <w:rFonts w:hint="eastAsia" w:ascii="宋体" w:hAnsi="宋体"/>
                <w:bCs/>
                <w:szCs w:val="21"/>
                <w:highlight w:val="none"/>
              </w:rPr>
              <w:t>。</w:t>
            </w:r>
          </w:p>
        </w:tc>
        <w:tc>
          <w:tcPr>
            <w:tcW w:w="275" w:type="pct"/>
            <w:tcBorders>
              <w:top w:val="single" w:color="auto" w:sz="4" w:space="0"/>
              <w:left w:val="single" w:color="000000" w:sz="4" w:space="0"/>
              <w:bottom w:val="single" w:color="auto" w:sz="4" w:space="0"/>
              <w:right w:val="single" w:color="000000" w:sz="4" w:space="0"/>
            </w:tcBorders>
            <w:vAlign w:val="center"/>
          </w:tcPr>
          <w:p w14:paraId="343B6B21">
            <w:pPr>
              <w:adjustRightInd w:val="0"/>
              <w:snapToGrid w:val="0"/>
              <w:spacing w:line="280" w:lineRule="exact"/>
              <w:jc w:val="center"/>
              <w:rPr>
                <w:rFonts w:hint="eastAsia" w:ascii="宋体" w:hAnsi="宋体"/>
                <w:bCs/>
                <w:szCs w:val="21"/>
                <w:highlight w:val="none"/>
              </w:rPr>
            </w:pPr>
            <w:r>
              <w:rPr>
                <w:rFonts w:hint="eastAsia" w:ascii="宋体" w:hAnsi="宋体"/>
                <w:bCs/>
                <w:szCs w:val="21"/>
                <w:highlight w:val="none"/>
              </w:rPr>
              <w:t>二级</w:t>
            </w:r>
          </w:p>
        </w:tc>
        <w:tc>
          <w:tcPr>
            <w:tcW w:w="696" w:type="pct"/>
            <w:tcBorders>
              <w:top w:val="single" w:color="auto" w:sz="4" w:space="0"/>
              <w:left w:val="single" w:color="000000" w:sz="4" w:space="0"/>
              <w:bottom w:val="single" w:color="auto" w:sz="4" w:space="0"/>
              <w:right w:val="single" w:color="000000" w:sz="4" w:space="0"/>
            </w:tcBorders>
            <w:vAlign w:val="center"/>
          </w:tcPr>
          <w:p w14:paraId="668994A6">
            <w:pPr>
              <w:adjustRightInd w:val="0"/>
              <w:snapToGrid w:val="0"/>
              <w:spacing w:line="280" w:lineRule="exact"/>
              <w:rPr>
                <w:rFonts w:hint="eastAsia" w:ascii="宋体" w:hAnsi="宋体"/>
                <w:bCs/>
                <w:szCs w:val="21"/>
                <w:highlight w:val="none"/>
              </w:rPr>
            </w:pPr>
            <w:r>
              <w:rPr>
                <w:rFonts w:ascii="宋体" w:hAnsi="宋体"/>
                <w:bCs/>
                <w:szCs w:val="21"/>
                <w:highlight w:val="none"/>
              </w:rPr>
              <w:t>恢复重建水毁的路基、路面、桥涵、棚洞及排水防护等设施</w:t>
            </w:r>
            <w:r>
              <w:rPr>
                <w:rFonts w:hint="eastAsia" w:ascii="宋体" w:hAnsi="宋体"/>
                <w:bCs/>
                <w:szCs w:val="21"/>
                <w:highlight w:val="none"/>
              </w:rPr>
              <w:t>。</w:t>
            </w:r>
          </w:p>
        </w:tc>
      </w:tr>
      <w:bookmarkEnd w:id="37"/>
      <w:tr w14:paraId="30BC3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96" w:type="pct"/>
            <w:vMerge w:val="continue"/>
            <w:tcBorders>
              <w:left w:val="single" w:color="000000" w:sz="4" w:space="0"/>
              <w:bottom w:val="single" w:color="auto" w:sz="4" w:space="0"/>
              <w:right w:val="single" w:color="000000" w:sz="4" w:space="0"/>
            </w:tcBorders>
            <w:vAlign w:val="center"/>
          </w:tcPr>
          <w:p w14:paraId="11CBC1B2">
            <w:pPr>
              <w:adjustRightInd w:val="0"/>
              <w:snapToGrid w:val="0"/>
              <w:spacing w:line="280" w:lineRule="exact"/>
              <w:jc w:val="center"/>
              <w:rPr>
                <w:rFonts w:hint="eastAsia" w:ascii="黑体" w:hAnsi="黑体" w:eastAsia="黑体"/>
                <w:bCs/>
                <w:szCs w:val="21"/>
                <w:highlight w:val="none"/>
              </w:rPr>
            </w:pPr>
          </w:p>
        </w:tc>
        <w:tc>
          <w:tcPr>
            <w:tcW w:w="381" w:type="pct"/>
            <w:vMerge w:val="continue"/>
            <w:tcBorders>
              <w:left w:val="single" w:color="000000" w:sz="4" w:space="0"/>
              <w:bottom w:val="single" w:color="auto" w:sz="4" w:space="0"/>
              <w:right w:val="single" w:color="000000" w:sz="4" w:space="0"/>
            </w:tcBorders>
            <w:vAlign w:val="center"/>
          </w:tcPr>
          <w:p w14:paraId="4807BCDD">
            <w:pPr>
              <w:kinsoku w:val="0"/>
              <w:adjustRightInd w:val="0"/>
              <w:snapToGrid w:val="0"/>
              <w:spacing w:line="280" w:lineRule="exact"/>
              <w:jc w:val="center"/>
              <w:rPr>
                <w:rFonts w:hint="eastAsia" w:ascii="宋体" w:hAnsi="宋体"/>
                <w:bCs/>
                <w:szCs w:val="21"/>
                <w:highlight w:val="none"/>
              </w:rPr>
            </w:pPr>
          </w:p>
        </w:tc>
        <w:tc>
          <w:tcPr>
            <w:tcW w:w="819" w:type="pct"/>
            <w:tcBorders>
              <w:top w:val="single" w:color="auto" w:sz="4" w:space="0"/>
              <w:left w:val="single" w:color="000000" w:sz="4" w:space="0"/>
              <w:bottom w:val="single" w:color="auto" w:sz="4" w:space="0"/>
              <w:right w:val="single" w:color="000000" w:sz="4" w:space="0"/>
            </w:tcBorders>
            <w:vAlign w:val="center"/>
          </w:tcPr>
          <w:p w14:paraId="50D275B9">
            <w:pPr>
              <w:kinsoku w:val="0"/>
              <w:adjustRightInd w:val="0"/>
              <w:snapToGrid w:val="0"/>
              <w:spacing w:line="280" w:lineRule="exact"/>
              <w:jc w:val="center"/>
              <w:rPr>
                <w:rFonts w:hint="eastAsia" w:ascii="宋体" w:hAnsi="宋体"/>
                <w:bCs/>
                <w:szCs w:val="21"/>
                <w:highlight w:val="none"/>
              </w:rPr>
            </w:pPr>
            <w:r>
              <w:rPr>
                <w:rFonts w:hint="eastAsia" w:ascii="宋体" w:hAnsi="宋体"/>
                <w:bCs/>
                <w:szCs w:val="21"/>
                <w:highlight w:val="none"/>
              </w:rPr>
              <w:t>吉公路技</w:t>
            </w:r>
          </w:p>
          <w:p w14:paraId="34FB0C8E">
            <w:pPr>
              <w:kinsoku w:val="0"/>
              <w:adjustRightInd w:val="0"/>
              <w:snapToGrid w:val="0"/>
              <w:spacing w:line="280" w:lineRule="exact"/>
              <w:jc w:val="center"/>
              <w:rPr>
                <w:rFonts w:hint="eastAsia" w:ascii="宋体" w:hAnsi="宋体"/>
                <w:bCs/>
                <w:szCs w:val="21"/>
                <w:highlight w:val="none"/>
              </w:rPr>
            </w:pPr>
            <w:r>
              <w:rPr>
                <w:rFonts w:hint="eastAsia" w:ascii="宋体" w:hAnsi="宋体"/>
                <w:bCs/>
                <w:szCs w:val="21"/>
                <w:highlight w:val="none"/>
              </w:rPr>
              <w:t>〔2025〕51号</w:t>
            </w:r>
          </w:p>
        </w:tc>
        <w:tc>
          <w:tcPr>
            <w:tcW w:w="950" w:type="pct"/>
            <w:tcBorders>
              <w:top w:val="single" w:color="auto" w:sz="4" w:space="0"/>
              <w:left w:val="single" w:color="000000" w:sz="4" w:space="0"/>
              <w:bottom w:val="single" w:color="auto" w:sz="4" w:space="0"/>
              <w:right w:val="single" w:color="000000" w:sz="4" w:space="0"/>
            </w:tcBorders>
            <w:vAlign w:val="center"/>
          </w:tcPr>
          <w:p w14:paraId="1E1D6EF7">
            <w:pPr>
              <w:adjustRightInd w:val="0"/>
              <w:snapToGrid w:val="0"/>
              <w:spacing w:line="280" w:lineRule="exact"/>
              <w:rPr>
                <w:rFonts w:hint="eastAsia" w:ascii="宋体" w:hAnsi="宋体"/>
                <w:bCs/>
                <w:szCs w:val="21"/>
                <w:highlight w:val="none"/>
              </w:rPr>
            </w:pPr>
            <w:r>
              <w:rPr>
                <w:rFonts w:ascii="宋体" w:hAnsi="宋体" w:cs="微软雅黑"/>
                <w:szCs w:val="21"/>
                <w:highlight w:val="none"/>
              </w:rPr>
              <w:t>延边州普通国省干线公路</w:t>
            </w:r>
            <w:r>
              <w:rPr>
                <w:rFonts w:ascii="宋体" w:hAnsi="宋体"/>
                <w:bCs/>
                <w:szCs w:val="21"/>
                <w:highlight w:val="none"/>
              </w:rPr>
              <w:t>2024年水毁</w:t>
            </w:r>
            <w:r>
              <w:rPr>
                <w:rFonts w:ascii="宋体" w:hAnsi="宋体" w:cs="微软雅黑"/>
                <w:szCs w:val="21"/>
                <w:highlight w:val="none"/>
              </w:rPr>
              <w:t>恢复重建工程</w:t>
            </w:r>
          </w:p>
        </w:tc>
        <w:tc>
          <w:tcPr>
            <w:tcW w:w="1383" w:type="pct"/>
            <w:tcBorders>
              <w:top w:val="single" w:color="auto" w:sz="4" w:space="0"/>
              <w:left w:val="single" w:color="000000" w:sz="4" w:space="0"/>
              <w:bottom w:val="single" w:color="auto" w:sz="4" w:space="0"/>
              <w:right w:val="single" w:color="000000" w:sz="4" w:space="0"/>
            </w:tcBorders>
            <w:vAlign w:val="center"/>
          </w:tcPr>
          <w:p w14:paraId="6A36C93A">
            <w:pPr>
              <w:adjustRightInd w:val="0"/>
              <w:snapToGrid w:val="0"/>
              <w:spacing w:line="280" w:lineRule="exact"/>
              <w:rPr>
                <w:rFonts w:hint="eastAsia" w:ascii="宋体" w:hAnsi="宋体"/>
                <w:bCs/>
                <w:szCs w:val="21"/>
                <w:highlight w:val="none"/>
              </w:rPr>
            </w:pPr>
            <w:r>
              <w:rPr>
                <w:rFonts w:ascii="宋体" w:hAnsi="宋体" w:cs="微软雅黑"/>
                <w:szCs w:val="21"/>
                <w:highlight w:val="none"/>
              </w:rPr>
              <w:t>国道珲阿公路（G302）、丹阿公路（G331）、三莫公路（G333）、鹤大公路（G201）、龙东公路（G334）和省道绥东公路（S201）共6条路线33处水毁点段</w:t>
            </w:r>
            <w:r>
              <w:rPr>
                <w:rFonts w:hint="eastAsia" w:ascii="宋体" w:hAnsi="宋体" w:cs="微软雅黑"/>
                <w:szCs w:val="21"/>
                <w:highlight w:val="none"/>
              </w:rPr>
              <w:t>。</w:t>
            </w:r>
          </w:p>
        </w:tc>
        <w:tc>
          <w:tcPr>
            <w:tcW w:w="275" w:type="pct"/>
            <w:tcBorders>
              <w:top w:val="single" w:color="auto" w:sz="4" w:space="0"/>
              <w:left w:val="single" w:color="000000" w:sz="4" w:space="0"/>
              <w:bottom w:val="single" w:color="auto" w:sz="4" w:space="0"/>
              <w:right w:val="single" w:color="000000" w:sz="4" w:space="0"/>
            </w:tcBorders>
            <w:vAlign w:val="center"/>
          </w:tcPr>
          <w:p w14:paraId="52D2AB8F">
            <w:pPr>
              <w:adjustRightInd w:val="0"/>
              <w:snapToGrid w:val="0"/>
              <w:spacing w:line="280" w:lineRule="exact"/>
              <w:jc w:val="center"/>
              <w:rPr>
                <w:rFonts w:hint="eastAsia" w:ascii="宋体" w:hAnsi="宋体"/>
                <w:bCs/>
                <w:szCs w:val="21"/>
                <w:highlight w:val="none"/>
              </w:rPr>
            </w:pPr>
            <w:r>
              <w:rPr>
                <w:rFonts w:hint="eastAsia" w:ascii="宋体" w:hAnsi="宋体"/>
                <w:bCs/>
                <w:szCs w:val="21"/>
                <w:highlight w:val="none"/>
              </w:rPr>
              <w:t>二级</w:t>
            </w:r>
          </w:p>
        </w:tc>
        <w:tc>
          <w:tcPr>
            <w:tcW w:w="696" w:type="pct"/>
            <w:tcBorders>
              <w:top w:val="single" w:color="auto" w:sz="4" w:space="0"/>
              <w:left w:val="single" w:color="000000" w:sz="4" w:space="0"/>
              <w:bottom w:val="single" w:color="auto" w:sz="4" w:space="0"/>
              <w:right w:val="single" w:color="000000" w:sz="4" w:space="0"/>
            </w:tcBorders>
            <w:vAlign w:val="center"/>
          </w:tcPr>
          <w:p w14:paraId="770C5F98">
            <w:pPr>
              <w:adjustRightInd w:val="0"/>
              <w:snapToGrid w:val="0"/>
              <w:spacing w:line="280" w:lineRule="exact"/>
              <w:rPr>
                <w:rFonts w:hint="eastAsia" w:ascii="宋体" w:hAnsi="宋体"/>
                <w:bCs/>
                <w:szCs w:val="21"/>
                <w:highlight w:val="none"/>
              </w:rPr>
            </w:pPr>
            <w:r>
              <w:rPr>
                <w:rFonts w:ascii="宋体" w:hAnsi="宋体" w:cs="微软雅黑"/>
                <w:szCs w:val="21"/>
                <w:highlight w:val="none"/>
              </w:rPr>
              <w:t>恢复重建水毁的路基、路面、桥涵及排水防护等设施</w:t>
            </w:r>
            <w:r>
              <w:rPr>
                <w:rFonts w:hint="eastAsia" w:ascii="宋体" w:hAnsi="宋体" w:cs="微软雅黑"/>
                <w:szCs w:val="21"/>
                <w:highlight w:val="none"/>
              </w:rPr>
              <w:t>。</w:t>
            </w:r>
          </w:p>
        </w:tc>
      </w:tr>
      <w:tr w14:paraId="20E5B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96" w:type="pct"/>
            <w:vMerge w:val="restart"/>
            <w:tcBorders>
              <w:top w:val="single" w:color="auto" w:sz="4" w:space="0"/>
              <w:left w:val="single" w:color="000000" w:sz="4" w:space="0"/>
              <w:right w:val="single" w:color="000000" w:sz="4" w:space="0"/>
            </w:tcBorders>
            <w:vAlign w:val="center"/>
          </w:tcPr>
          <w:p w14:paraId="5E719701">
            <w:pPr>
              <w:adjustRightInd w:val="0"/>
              <w:snapToGrid w:val="0"/>
              <w:spacing w:line="280" w:lineRule="exact"/>
              <w:jc w:val="center"/>
              <w:rPr>
                <w:rFonts w:hint="eastAsia" w:ascii="黑体" w:hAnsi="黑体" w:eastAsia="黑体"/>
                <w:bCs/>
                <w:szCs w:val="21"/>
                <w:highlight w:val="none"/>
              </w:rPr>
            </w:pPr>
            <w:r>
              <w:rPr>
                <w:rFonts w:hint="eastAsia" w:ascii="黑体" w:hAnsi="黑体" w:eastAsia="黑体"/>
                <w:bCs/>
                <w:szCs w:val="21"/>
                <w:highlight w:val="none"/>
              </w:rPr>
              <w:t>YB25ZH01</w:t>
            </w:r>
          </w:p>
        </w:tc>
        <w:tc>
          <w:tcPr>
            <w:tcW w:w="381" w:type="pct"/>
            <w:vMerge w:val="restart"/>
            <w:tcBorders>
              <w:top w:val="single" w:color="auto" w:sz="4" w:space="0"/>
              <w:left w:val="single" w:color="000000" w:sz="4" w:space="0"/>
              <w:right w:val="single" w:color="000000" w:sz="4" w:space="0"/>
            </w:tcBorders>
            <w:vAlign w:val="center"/>
          </w:tcPr>
          <w:p w14:paraId="50601502">
            <w:pPr>
              <w:adjustRightInd w:val="0"/>
              <w:snapToGrid w:val="0"/>
              <w:spacing w:line="280" w:lineRule="exact"/>
              <w:jc w:val="center"/>
              <w:rPr>
                <w:rFonts w:hint="eastAsia" w:ascii="宋体" w:hAnsi="宋体" w:cs="微软雅黑"/>
                <w:szCs w:val="21"/>
                <w:highlight w:val="none"/>
              </w:rPr>
            </w:pPr>
            <w:r>
              <w:rPr>
                <w:rFonts w:hint="eastAsia" w:ascii="宋体" w:hAnsi="宋体" w:cs="微软雅黑"/>
                <w:szCs w:val="21"/>
                <w:highlight w:val="none"/>
              </w:rPr>
              <w:t>灾害</w:t>
            </w:r>
          </w:p>
          <w:p w14:paraId="52F52E02">
            <w:pPr>
              <w:adjustRightInd w:val="0"/>
              <w:snapToGrid w:val="0"/>
              <w:spacing w:line="280" w:lineRule="exact"/>
              <w:jc w:val="center"/>
              <w:rPr>
                <w:rFonts w:hint="eastAsia" w:ascii="宋体" w:hAnsi="宋体"/>
                <w:bCs/>
                <w:szCs w:val="21"/>
                <w:highlight w:val="none"/>
              </w:rPr>
            </w:pPr>
            <w:r>
              <w:rPr>
                <w:rFonts w:hint="eastAsia" w:ascii="宋体" w:hAnsi="宋体" w:cs="微软雅黑"/>
                <w:szCs w:val="21"/>
                <w:highlight w:val="none"/>
              </w:rPr>
              <w:t>防治</w:t>
            </w:r>
          </w:p>
        </w:tc>
        <w:tc>
          <w:tcPr>
            <w:tcW w:w="819" w:type="pct"/>
            <w:tcBorders>
              <w:top w:val="single" w:color="auto" w:sz="4" w:space="0"/>
              <w:left w:val="single" w:color="000000" w:sz="4" w:space="0"/>
              <w:bottom w:val="single" w:color="auto" w:sz="4" w:space="0"/>
              <w:right w:val="single" w:color="000000" w:sz="4" w:space="0"/>
            </w:tcBorders>
            <w:vAlign w:val="center"/>
          </w:tcPr>
          <w:p w14:paraId="726EA520">
            <w:pPr>
              <w:adjustRightInd w:val="0"/>
              <w:snapToGrid w:val="0"/>
              <w:spacing w:line="280" w:lineRule="exact"/>
              <w:jc w:val="center"/>
              <w:rPr>
                <w:rFonts w:hint="eastAsia" w:ascii="宋体" w:hAnsi="宋体"/>
                <w:bCs/>
                <w:szCs w:val="21"/>
                <w:highlight w:val="none"/>
              </w:rPr>
            </w:pPr>
            <w:r>
              <w:rPr>
                <w:rFonts w:hint="eastAsia" w:ascii="宋体" w:hAnsi="宋体"/>
                <w:bCs/>
                <w:szCs w:val="21"/>
                <w:highlight w:val="none"/>
              </w:rPr>
              <w:t>吉公路技</w:t>
            </w:r>
          </w:p>
          <w:p w14:paraId="46BAF2E1">
            <w:pPr>
              <w:adjustRightInd w:val="0"/>
              <w:snapToGrid w:val="0"/>
              <w:spacing w:line="280" w:lineRule="exact"/>
              <w:jc w:val="center"/>
              <w:rPr>
                <w:rFonts w:hint="eastAsia" w:ascii="宋体" w:hAnsi="宋体"/>
                <w:bCs/>
                <w:szCs w:val="21"/>
                <w:highlight w:val="none"/>
              </w:rPr>
            </w:pPr>
            <w:r>
              <w:rPr>
                <w:rFonts w:hint="eastAsia" w:ascii="宋体" w:hAnsi="宋体"/>
                <w:bCs/>
                <w:szCs w:val="21"/>
                <w:highlight w:val="none"/>
              </w:rPr>
              <w:t>〔2024〕140号</w:t>
            </w:r>
          </w:p>
        </w:tc>
        <w:tc>
          <w:tcPr>
            <w:tcW w:w="950" w:type="pct"/>
            <w:tcBorders>
              <w:top w:val="single" w:color="auto" w:sz="4" w:space="0"/>
              <w:left w:val="single" w:color="000000" w:sz="4" w:space="0"/>
              <w:bottom w:val="single" w:color="auto" w:sz="4" w:space="0"/>
              <w:right w:val="single" w:color="000000" w:sz="4" w:space="0"/>
            </w:tcBorders>
            <w:vAlign w:val="center"/>
          </w:tcPr>
          <w:p w14:paraId="0D0482B3">
            <w:pPr>
              <w:adjustRightInd w:val="0"/>
              <w:snapToGrid w:val="0"/>
              <w:spacing w:line="280" w:lineRule="exact"/>
              <w:rPr>
                <w:rFonts w:hint="eastAsia" w:ascii="宋体" w:hAnsi="宋体" w:cs="微软雅黑"/>
                <w:szCs w:val="21"/>
                <w:highlight w:val="none"/>
              </w:rPr>
            </w:pPr>
            <w:r>
              <w:rPr>
                <w:rFonts w:ascii="宋体" w:hAnsi="宋体" w:cs="仿宋"/>
                <w:spacing w:val="1"/>
                <w:szCs w:val="21"/>
                <w:highlight w:val="none"/>
              </w:rPr>
              <w:t>延边州2024年普通国省干线公路灾害防治工程</w:t>
            </w:r>
          </w:p>
        </w:tc>
        <w:tc>
          <w:tcPr>
            <w:tcW w:w="1383" w:type="pct"/>
            <w:tcBorders>
              <w:top w:val="single" w:color="auto" w:sz="4" w:space="0"/>
              <w:left w:val="single" w:color="000000" w:sz="4" w:space="0"/>
              <w:bottom w:val="single" w:color="auto" w:sz="4" w:space="0"/>
              <w:right w:val="single" w:color="000000" w:sz="4" w:space="0"/>
            </w:tcBorders>
            <w:vAlign w:val="center"/>
          </w:tcPr>
          <w:p w14:paraId="0116C228">
            <w:pPr>
              <w:adjustRightInd w:val="0"/>
              <w:snapToGrid w:val="0"/>
              <w:spacing w:line="280" w:lineRule="exact"/>
              <w:rPr>
                <w:rFonts w:hint="eastAsia" w:ascii="宋体" w:hAnsi="宋体" w:cs="微软雅黑"/>
                <w:szCs w:val="21"/>
                <w:highlight w:val="none"/>
              </w:rPr>
            </w:pPr>
            <w:r>
              <w:rPr>
                <w:rFonts w:hint="eastAsia" w:ascii="宋体" w:hAnsi="宋体" w:cs="仿宋"/>
                <w:spacing w:val="-1"/>
                <w:szCs w:val="21"/>
                <w:highlight w:val="none"/>
              </w:rPr>
              <w:t>国道</w:t>
            </w:r>
            <w:r>
              <w:rPr>
                <w:rFonts w:ascii="宋体" w:hAnsi="宋体" w:cs="仿宋"/>
                <w:spacing w:val="-1"/>
                <w:szCs w:val="21"/>
                <w:highlight w:val="none"/>
              </w:rPr>
              <w:t>珲阿</w:t>
            </w:r>
            <w:r>
              <w:rPr>
                <w:rFonts w:hint="eastAsia" w:ascii="宋体" w:hAnsi="宋体" w:cs="仿宋"/>
                <w:spacing w:val="-1"/>
                <w:szCs w:val="21"/>
                <w:highlight w:val="none"/>
              </w:rPr>
              <w:t>、</w:t>
            </w:r>
            <w:r>
              <w:rPr>
                <w:rFonts w:ascii="宋体" w:hAnsi="宋体" w:cs="仿宋"/>
                <w:spacing w:val="-6"/>
                <w:szCs w:val="21"/>
                <w:highlight w:val="none"/>
              </w:rPr>
              <w:t>鹤大</w:t>
            </w:r>
            <w:r>
              <w:rPr>
                <w:rFonts w:hint="eastAsia" w:ascii="宋体" w:hAnsi="宋体" w:cs="仿宋"/>
                <w:spacing w:val="-6"/>
                <w:szCs w:val="21"/>
                <w:highlight w:val="none"/>
              </w:rPr>
              <w:t>、</w:t>
            </w:r>
            <w:r>
              <w:rPr>
                <w:rFonts w:ascii="宋体" w:hAnsi="宋体" w:cs="仿宋"/>
                <w:spacing w:val="-7"/>
                <w:szCs w:val="21"/>
                <w:highlight w:val="none"/>
              </w:rPr>
              <w:t>三莫公路</w:t>
            </w:r>
            <w:r>
              <w:rPr>
                <w:rFonts w:hint="eastAsia" w:ascii="宋体" w:hAnsi="宋体" w:cs="仿宋"/>
                <w:spacing w:val="-7"/>
                <w:szCs w:val="21"/>
                <w:highlight w:val="none"/>
              </w:rPr>
              <w:t>及</w:t>
            </w:r>
            <w:r>
              <w:rPr>
                <w:rFonts w:ascii="宋体" w:hAnsi="宋体" w:cs="仿宋"/>
                <w:spacing w:val="4"/>
                <w:szCs w:val="21"/>
                <w:highlight w:val="none"/>
              </w:rPr>
              <w:t>省道绥东公路</w:t>
            </w:r>
            <w:r>
              <w:rPr>
                <w:rFonts w:ascii="宋体" w:hAnsi="宋体" w:cs="仿宋"/>
                <w:spacing w:val="-1"/>
                <w:szCs w:val="21"/>
                <w:highlight w:val="none"/>
              </w:rPr>
              <w:t>共8段</w:t>
            </w:r>
            <w:r>
              <w:rPr>
                <w:rFonts w:hint="eastAsia" w:ascii="宋体" w:hAnsi="宋体" w:cs="仿宋"/>
                <w:spacing w:val="-1"/>
                <w:szCs w:val="21"/>
                <w:highlight w:val="none"/>
              </w:rPr>
              <w:t>，</w:t>
            </w:r>
            <w:r>
              <w:rPr>
                <w:rFonts w:ascii="宋体" w:hAnsi="宋体" w:cs="仿宋"/>
                <w:spacing w:val="-1"/>
                <w:szCs w:val="21"/>
                <w:highlight w:val="none"/>
              </w:rPr>
              <w:t>合计全长1.198公里</w:t>
            </w:r>
            <w:r>
              <w:rPr>
                <w:rFonts w:hint="eastAsia" w:ascii="宋体" w:hAnsi="宋体" w:cs="仿宋"/>
                <w:spacing w:val="-1"/>
                <w:szCs w:val="21"/>
                <w:highlight w:val="none"/>
              </w:rPr>
              <w:t>。</w:t>
            </w:r>
          </w:p>
        </w:tc>
        <w:tc>
          <w:tcPr>
            <w:tcW w:w="275" w:type="pct"/>
            <w:tcBorders>
              <w:top w:val="single" w:color="auto" w:sz="4" w:space="0"/>
              <w:left w:val="single" w:color="000000" w:sz="4" w:space="0"/>
              <w:bottom w:val="single" w:color="auto" w:sz="4" w:space="0"/>
              <w:right w:val="single" w:color="000000" w:sz="4" w:space="0"/>
            </w:tcBorders>
            <w:vAlign w:val="center"/>
          </w:tcPr>
          <w:p w14:paraId="612323B0">
            <w:pPr>
              <w:adjustRightInd w:val="0"/>
              <w:snapToGrid w:val="0"/>
              <w:spacing w:line="280" w:lineRule="exact"/>
              <w:jc w:val="center"/>
              <w:rPr>
                <w:rFonts w:hint="eastAsia" w:ascii="宋体" w:hAnsi="宋体"/>
                <w:bCs/>
                <w:szCs w:val="21"/>
                <w:highlight w:val="none"/>
              </w:rPr>
            </w:pPr>
            <w:r>
              <w:rPr>
                <w:rFonts w:hint="eastAsia" w:ascii="宋体" w:hAnsi="宋体"/>
                <w:bCs/>
                <w:szCs w:val="21"/>
                <w:highlight w:val="none"/>
              </w:rPr>
              <w:t>二级</w:t>
            </w:r>
          </w:p>
        </w:tc>
        <w:tc>
          <w:tcPr>
            <w:tcW w:w="696" w:type="pct"/>
            <w:tcBorders>
              <w:top w:val="single" w:color="auto" w:sz="4" w:space="0"/>
              <w:left w:val="single" w:color="000000" w:sz="4" w:space="0"/>
              <w:bottom w:val="single" w:color="auto" w:sz="4" w:space="0"/>
              <w:right w:val="single" w:color="000000" w:sz="4" w:space="0"/>
            </w:tcBorders>
            <w:vAlign w:val="center"/>
          </w:tcPr>
          <w:p w14:paraId="1C1D08C2">
            <w:pPr>
              <w:adjustRightInd w:val="0"/>
              <w:snapToGrid w:val="0"/>
              <w:spacing w:line="280" w:lineRule="exact"/>
              <w:rPr>
                <w:rFonts w:hint="eastAsia" w:ascii="宋体" w:hAnsi="宋体" w:cs="微软雅黑"/>
                <w:szCs w:val="21"/>
                <w:highlight w:val="none"/>
              </w:rPr>
            </w:pPr>
            <w:r>
              <w:rPr>
                <w:rFonts w:ascii="宋体" w:hAnsi="宋体" w:cs="仿宋"/>
                <w:spacing w:val="-1"/>
                <w:szCs w:val="21"/>
                <w:highlight w:val="none"/>
              </w:rPr>
              <w:t>灾害主要类型为崩塌、剥落及滑坡。</w:t>
            </w:r>
          </w:p>
        </w:tc>
      </w:tr>
      <w:tr w14:paraId="2612B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96" w:type="pct"/>
            <w:vMerge w:val="continue"/>
            <w:tcBorders>
              <w:left w:val="single" w:color="000000" w:sz="4" w:space="0"/>
              <w:bottom w:val="single" w:color="auto" w:sz="4" w:space="0"/>
              <w:right w:val="single" w:color="000000" w:sz="4" w:space="0"/>
            </w:tcBorders>
            <w:vAlign w:val="center"/>
          </w:tcPr>
          <w:p w14:paraId="2785AD59">
            <w:pPr>
              <w:adjustRightInd w:val="0"/>
              <w:snapToGrid w:val="0"/>
              <w:spacing w:line="280" w:lineRule="exact"/>
              <w:jc w:val="center"/>
              <w:rPr>
                <w:rFonts w:hint="eastAsia" w:ascii="宋体" w:hAnsi="宋体"/>
                <w:bCs/>
                <w:szCs w:val="21"/>
                <w:highlight w:val="none"/>
              </w:rPr>
            </w:pPr>
            <w:bookmarkStart w:id="38" w:name="_Hlk187309086"/>
          </w:p>
        </w:tc>
        <w:tc>
          <w:tcPr>
            <w:tcW w:w="381" w:type="pct"/>
            <w:vMerge w:val="continue"/>
            <w:tcBorders>
              <w:left w:val="single" w:color="000000" w:sz="4" w:space="0"/>
              <w:bottom w:val="single" w:color="auto" w:sz="4" w:space="0"/>
              <w:right w:val="single" w:color="000000" w:sz="4" w:space="0"/>
            </w:tcBorders>
          </w:tcPr>
          <w:p w14:paraId="59130336">
            <w:pPr>
              <w:adjustRightInd w:val="0"/>
              <w:snapToGrid w:val="0"/>
              <w:spacing w:line="280" w:lineRule="exact"/>
              <w:jc w:val="center"/>
              <w:rPr>
                <w:rFonts w:hint="eastAsia" w:ascii="宋体" w:hAnsi="宋体"/>
                <w:bCs/>
                <w:szCs w:val="21"/>
                <w:highlight w:val="none"/>
              </w:rPr>
            </w:pPr>
          </w:p>
        </w:tc>
        <w:tc>
          <w:tcPr>
            <w:tcW w:w="819" w:type="pct"/>
            <w:tcBorders>
              <w:top w:val="single" w:color="auto" w:sz="4" w:space="0"/>
              <w:left w:val="single" w:color="000000" w:sz="4" w:space="0"/>
              <w:bottom w:val="single" w:color="auto" w:sz="4" w:space="0"/>
              <w:right w:val="single" w:color="000000" w:sz="4" w:space="0"/>
            </w:tcBorders>
            <w:vAlign w:val="center"/>
          </w:tcPr>
          <w:p w14:paraId="7C5D223B">
            <w:pPr>
              <w:adjustRightInd w:val="0"/>
              <w:snapToGrid w:val="0"/>
              <w:spacing w:line="280" w:lineRule="exact"/>
              <w:jc w:val="center"/>
              <w:rPr>
                <w:rFonts w:hint="eastAsia" w:ascii="宋体" w:hAnsi="宋体"/>
                <w:bCs/>
                <w:szCs w:val="21"/>
                <w:highlight w:val="none"/>
              </w:rPr>
            </w:pPr>
            <w:r>
              <w:rPr>
                <w:rFonts w:hint="eastAsia" w:ascii="宋体" w:hAnsi="宋体"/>
                <w:bCs/>
                <w:szCs w:val="21"/>
                <w:highlight w:val="none"/>
              </w:rPr>
              <w:t>吉公路技</w:t>
            </w:r>
          </w:p>
          <w:p w14:paraId="4E57F1A5">
            <w:pPr>
              <w:adjustRightInd w:val="0"/>
              <w:snapToGrid w:val="0"/>
              <w:spacing w:line="280" w:lineRule="exact"/>
              <w:jc w:val="center"/>
              <w:rPr>
                <w:rFonts w:hint="eastAsia" w:ascii="宋体" w:hAnsi="宋体"/>
                <w:bCs/>
                <w:szCs w:val="21"/>
                <w:highlight w:val="none"/>
              </w:rPr>
            </w:pPr>
            <w:r>
              <w:rPr>
                <w:rFonts w:hint="eastAsia" w:ascii="宋体" w:hAnsi="宋体"/>
                <w:bCs/>
                <w:szCs w:val="21"/>
                <w:highlight w:val="none"/>
              </w:rPr>
              <w:t>〔2024〕166号</w:t>
            </w:r>
          </w:p>
        </w:tc>
        <w:tc>
          <w:tcPr>
            <w:tcW w:w="950" w:type="pct"/>
            <w:tcBorders>
              <w:top w:val="single" w:color="auto" w:sz="4" w:space="0"/>
              <w:left w:val="single" w:color="000000" w:sz="4" w:space="0"/>
              <w:bottom w:val="single" w:color="auto" w:sz="4" w:space="0"/>
              <w:right w:val="single" w:color="000000" w:sz="4" w:space="0"/>
            </w:tcBorders>
            <w:vAlign w:val="center"/>
          </w:tcPr>
          <w:p w14:paraId="1EDE1744">
            <w:pPr>
              <w:adjustRightInd w:val="0"/>
              <w:snapToGrid w:val="0"/>
              <w:spacing w:line="280" w:lineRule="exact"/>
              <w:rPr>
                <w:rFonts w:hint="eastAsia" w:ascii="宋体" w:hAnsi="宋体" w:cs="微软雅黑"/>
                <w:szCs w:val="21"/>
                <w:highlight w:val="none"/>
              </w:rPr>
            </w:pPr>
            <w:r>
              <w:rPr>
                <w:rFonts w:ascii="宋体" w:hAnsi="宋体"/>
                <w:bCs/>
                <w:szCs w:val="21"/>
                <w:highlight w:val="none"/>
              </w:rPr>
              <w:t>延边州2024年国道珲阿、鹤大、丹阿及龙东公路共四段灾害防治工程</w:t>
            </w:r>
          </w:p>
        </w:tc>
        <w:tc>
          <w:tcPr>
            <w:tcW w:w="1383" w:type="pct"/>
            <w:tcBorders>
              <w:top w:val="single" w:color="auto" w:sz="4" w:space="0"/>
              <w:left w:val="single" w:color="000000" w:sz="4" w:space="0"/>
              <w:bottom w:val="single" w:color="auto" w:sz="4" w:space="0"/>
              <w:right w:val="single" w:color="000000" w:sz="4" w:space="0"/>
            </w:tcBorders>
            <w:vAlign w:val="center"/>
          </w:tcPr>
          <w:p w14:paraId="492F5AC1">
            <w:pPr>
              <w:adjustRightInd w:val="0"/>
              <w:snapToGrid w:val="0"/>
              <w:spacing w:line="280" w:lineRule="exact"/>
              <w:rPr>
                <w:rFonts w:hint="eastAsia" w:ascii="宋体" w:hAnsi="宋体" w:cs="微软雅黑"/>
                <w:szCs w:val="21"/>
                <w:highlight w:val="none"/>
              </w:rPr>
            </w:pPr>
            <w:r>
              <w:rPr>
                <w:rFonts w:ascii="宋体" w:hAnsi="宋体"/>
                <w:bCs/>
                <w:szCs w:val="21"/>
                <w:highlight w:val="none"/>
              </w:rPr>
              <w:t>国道珲阿、鹤大、丹阿及龙东公路共4段</w:t>
            </w:r>
            <w:r>
              <w:rPr>
                <w:rFonts w:hint="eastAsia" w:ascii="宋体" w:hAnsi="宋体"/>
                <w:bCs/>
                <w:szCs w:val="21"/>
                <w:highlight w:val="none"/>
              </w:rPr>
              <w:t>，</w:t>
            </w:r>
            <w:r>
              <w:rPr>
                <w:rFonts w:ascii="宋体" w:hAnsi="宋体"/>
                <w:bCs/>
                <w:szCs w:val="21"/>
                <w:highlight w:val="none"/>
              </w:rPr>
              <w:t>合计全长0.74公里</w:t>
            </w:r>
            <w:r>
              <w:rPr>
                <w:rFonts w:hint="eastAsia" w:ascii="宋体" w:hAnsi="宋体"/>
                <w:bCs/>
                <w:szCs w:val="21"/>
                <w:highlight w:val="none"/>
              </w:rPr>
              <w:t>。</w:t>
            </w:r>
          </w:p>
        </w:tc>
        <w:tc>
          <w:tcPr>
            <w:tcW w:w="275" w:type="pct"/>
            <w:tcBorders>
              <w:top w:val="single" w:color="auto" w:sz="4" w:space="0"/>
              <w:left w:val="single" w:color="000000" w:sz="4" w:space="0"/>
              <w:bottom w:val="single" w:color="auto" w:sz="4" w:space="0"/>
              <w:right w:val="single" w:color="000000" w:sz="4" w:space="0"/>
            </w:tcBorders>
            <w:vAlign w:val="center"/>
          </w:tcPr>
          <w:p w14:paraId="38B969CB">
            <w:pPr>
              <w:adjustRightInd w:val="0"/>
              <w:snapToGrid w:val="0"/>
              <w:spacing w:line="280" w:lineRule="exact"/>
              <w:jc w:val="center"/>
              <w:rPr>
                <w:rFonts w:hint="eastAsia" w:ascii="宋体" w:hAnsi="宋体"/>
                <w:bCs/>
                <w:szCs w:val="21"/>
                <w:highlight w:val="none"/>
              </w:rPr>
            </w:pPr>
            <w:r>
              <w:rPr>
                <w:rFonts w:hint="eastAsia" w:ascii="宋体" w:hAnsi="宋体"/>
                <w:bCs/>
                <w:szCs w:val="21"/>
                <w:highlight w:val="none"/>
              </w:rPr>
              <w:t>二级</w:t>
            </w:r>
          </w:p>
        </w:tc>
        <w:tc>
          <w:tcPr>
            <w:tcW w:w="696" w:type="pct"/>
            <w:tcBorders>
              <w:top w:val="single" w:color="auto" w:sz="4" w:space="0"/>
              <w:left w:val="single" w:color="000000" w:sz="4" w:space="0"/>
              <w:bottom w:val="single" w:color="auto" w:sz="4" w:space="0"/>
              <w:right w:val="single" w:color="000000" w:sz="4" w:space="0"/>
            </w:tcBorders>
            <w:vAlign w:val="center"/>
          </w:tcPr>
          <w:p w14:paraId="3C1C55C1">
            <w:pPr>
              <w:adjustRightInd w:val="0"/>
              <w:snapToGrid w:val="0"/>
              <w:spacing w:line="280" w:lineRule="exact"/>
              <w:rPr>
                <w:rFonts w:hint="eastAsia" w:ascii="宋体" w:hAnsi="宋体" w:cs="微软雅黑"/>
                <w:szCs w:val="21"/>
                <w:highlight w:val="none"/>
              </w:rPr>
            </w:pPr>
            <w:r>
              <w:rPr>
                <w:rFonts w:ascii="宋体" w:hAnsi="宋体" w:cs="仿宋"/>
                <w:spacing w:val="-1"/>
                <w:szCs w:val="21"/>
                <w:highlight w:val="none"/>
              </w:rPr>
              <w:t>灾害主要类型为崩塌、剥落及滑坡。</w:t>
            </w:r>
          </w:p>
        </w:tc>
      </w:tr>
      <w:bookmarkEnd w:id="38"/>
    </w:tbl>
    <w:p w14:paraId="07E5650D">
      <w:pPr>
        <w:adjustRightInd w:val="0"/>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t>2.</w:t>
      </w:r>
      <w:bookmarkEnd w:id="33"/>
      <w:r>
        <w:rPr>
          <w:rFonts w:hint="eastAsia" w:ascii="宋体" w:hAnsi="宋体"/>
          <w:bCs/>
          <w:szCs w:val="21"/>
          <w:highlight w:val="none"/>
        </w:rPr>
        <w:t>5计划工期：</w:t>
      </w:r>
      <w:bookmarkStart w:id="39" w:name="_Hlk170805445"/>
      <w:r>
        <w:rPr>
          <w:rFonts w:hint="eastAsia" w:ascii="黑体" w:hAnsi="黑体" w:eastAsia="黑体"/>
          <w:bCs/>
          <w:szCs w:val="21"/>
          <w:highlight w:val="none"/>
        </w:rPr>
        <w:t>202</w:t>
      </w:r>
      <w:bookmarkEnd w:id="35"/>
      <w:r>
        <w:rPr>
          <w:rFonts w:hint="eastAsia" w:ascii="黑体" w:hAnsi="黑体" w:eastAsia="黑体"/>
          <w:bCs/>
          <w:szCs w:val="21"/>
          <w:highlight w:val="none"/>
        </w:rPr>
        <w:t>5年7月25日～2026年7月31日，共371日历天。</w:t>
      </w:r>
      <w:bookmarkEnd w:id="39"/>
      <w:r>
        <w:rPr>
          <w:rFonts w:hint="eastAsia" w:ascii="黑体" w:hAnsi="黑体" w:eastAsia="黑体"/>
          <w:bCs/>
          <w:szCs w:val="21"/>
          <w:highlight w:val="none"/>
        </w:rPr>
        <w:t>阶段工期：除棚洞外其余水毁工程2025年9月30日竣工</w:t>
      </w:r>
      <w:r>
        <w:rPr>
          <w:rFonts w:hint="eastAsia" w:ascii="宋体" w:hAnsi="宋体"/>
          <w:bCs/>
          <w:szCs w:val="21"/>
          <w:highlight w:val="none"/>
        </w:rPr>
        <w:t>。</w:t>
      </w:r>
    </w:p>
    <w:bookmarkEnd w:id="32"/>
    <w:bookmarkEnd w:id="34"/>
    <w:p w14:paraId="4D9EB9D2">
      <w:pPr>
        <w:adjustRightInd w:val="0"/>
        <w:snapToGrid w:val="0"/>
        <w:spacing w:before="120" w:beforeLines="50" w:after="120" w:afterLines="50" w:line="400" w:lineRule="exact"/>
        <w:rPr>
          <w:rFonts w:hint="eastAsia" w:ascii="黑体" w:hAnsi="黑体" w:eastAsia="黑体"/>
          <w:bCs/>
          <w:sz w:val="24"/>
          <w:szCs w:val="24"/>
          <w:highlight w:val="none"/>
        </w:rPr>
      </w:pPr>
      <w:r>
        <w:rPr>
          <w:rFonts w:hint="eastAsia" w:ascii="黑体" w:hAnsi="黑体" w:eastAsia="黑体"/>
          <w:bCs/>
          <w:sz w:val="24"/>
          <w:szCs w:val="24"/>
          <w:highlight w:val="none"/>
        </w:rPr>
        <w:t>3</w:t>
      </w:r>
      <w:r>
        <w:rPr>
          <w:rFonts w:ascii="黑体" w:hAnsi="黑体" w:eastAsia="黑体"/>
          <w:bCs/>
          <w:sz w:val="24"/>
          <w:szCs w:val="24"/>
          <w:highlight w:val="none"/>
        </w:rPr>
        <w:t>．投标人资格</w:t>
      </w:r>
      <w:r>
        <w:rPr>
          <w:rFonts w:hint="eastAsia" w:ascii="黑体" w:hAnsi="黑体" w:eastAsia="黑体"/>
          <w:bCs/>
          <w:sz w:val="24"/>
          <w:szCs w:val="24"/>
          <w:highlight w:val="none"/>
        </w:rPr>
        <w:t>要求</w:t>
      </w:r>
      <w:bookmarkEnd w:id="31"/>
    </w:p>
    <w:p w14:paraId="5D4B8FF8">
      <w:pPr>
        <w:adjustRightInd w:val="0"/>
        <w:snapToGrid w:val="0"/>
        <w:spacing w:line="400" w:lineRule="exact"/>
        <w:ind w:firstLine="420" w:firstLineChars="200"/>
        <w:rPr>
          <w:rFonts w:hint="eastAsia" w:ascii="宋体" w:hAnsi="宋体"/>
          <w:bCs/>
          <w:szCs w:val="21"/>
          <w:highlight w:val="none"/>
        </w:rPr>
      </w:pPr>
      <w:bookmarkStart w:id="40" w:name="_Toc452639674"/>
      <w:bookmarkStart w:id="41" w:name="_Toc452639770"/>
      <w:bookmarkStart w:id="42" w:name="_Toc455238559"/>
      <w:r>
        <w:rPr>
          <w:rFonts w:hint="eastAsia" w:ascii="宋体" w:hAnsi="宋体"/>
          <w:bCs/>
          <w:szCs w:val="21"/>
          <w:highlight w:val="none"/>
        </w:rPr>
        <w:t>3.1本次招标要求投标人</w:t>
      </w:r>
      <w:r>
        <w:rPr>
          <w:rFonts w:hint="eastAsia" w:ascii="黑体" w:hAnsi="黑体" w:eastAsia="黑体"/>
          <w:bCs/>
          <w:szCs w:val="21"/>
          <w:highlight w:val="none"/>
        </w:rPr>
        <w:t>须同时具备</w:t>
      </w:r>
      <w:r>
        <w:rPr>
          <w:rFonts w:hint="eastAsia" w:ascii="宋体" w:hAnsi="宋体"/>
          <w:bCs/>
          <w:szCs w:val="21"/>
          <w:highlight w:val="none"/>
        </w:rPr>
        <w:t>交通运输主管部门核发的以下公路养护作业单位资质，并在人员、设备、资金等方面具有相应的施工能力。</w:t>
      </w:r>
      <w:bookmarkStart w:id="43" w:name="_Hlk186034259"/>
    </w:p>
    <w:p w14:paraId="36DEFF67">
      <w:pPr>
        <w:adjustRightInd w:val="0"/>
        <w:snapToGrid w:val="0"/>
        <w:spacing w:line="400" w:lineRule="exact"/>
        <w:ind w:firstLine="420" w:firstLineChars="200"/>
        <w:rPr>
          <w:rFonts w:hint="eastAsia" w:ascii="黑体" w:hAnsi="黑体" w:eastAsia="黑体"/>
          <w:bCs/>
          <w:szCs w:val="21"/>
          <w:highlight w:val="none"/>
        </w:rPr>
      </w:pPr>
      <w:bookmarkStart w:id="44" w:name="OLE_LINK28"/>
      <w:bookmarkStart w:id="45" w:name="_Hlk186123649"/>
      <w:bookmarkStart w:id="46" w:name="OLE_LINK63"/>
      <w:bookmarkStart w:id="47" w:name="_Hlk187327522"/>
      <w:r>
        <w:rPr>
          <w:rFonts w:hint="eastAsia" w:ascii="黑体" w:hAnsi="黑体" w:eastAsia="黑体"/>
          <w:bCs/>
          <w:szCs w:val="21"/>
          <w:highlight w:val="none"/>
        </w:rPr>
        <w:t>YB25SH01标段：</w:t>
      </w:r>
      <w:bookmarkEnd w:id="44"/>
      <w:r>
        <w:rPr>
          <w:rFonts w:hint="eastAsia" w:ascii="宋体" w:hAnsi="宋体"/>
          <w:bCs/>
          <w:szCs w:val="21"/>
          <w:highlight w:val="none"/>
        </w:rPr>
        <w:t>具备路基路面养护乙级（或甲级）资质、桥梁养护乙级（或甲级）资质、隧道养护乙级（或甲级）资质、</w:t>
      </w:r>
      <w:r>
        <w:rPr>
          <w:rFonts w:hint="eastAsia" w:ascii="宋体" w:hAnsi="宋体"/>
          <w:szCs w:val="21"/>
          <w:highlight w:val="none"/>
        </w:rPr>
        <w:t>交通安全设施养护资质（可以承担二级及以下公路交通安全设施的各类养护工程）或交通安全设施养护资质（可以承担各等级公路交通安全设施的各类养护工程）。</w:t>
      </w:r>
    </w:p>
    <w:p w14:paraId="4A6E1D48">
      <w:pPr>
        <w:adjustRightInd w:val="0"/>
        <w:snapToGrid w:val="0"/>
        <w:spacing w:line="400" w:lineRule="exact"/>
        <w:ind w:firstLine="420" w:firstLineChars="200"/>
        <w:rPr>
          <w:rFonts w:hint="eastAsia" w:ascii="宋体" w:hAnsi="宋体"/>
          <w:szCs w:val="21"/>
          <w:highlight w:val="none"/>
        </w:rPr>
      </w:pPr>
      <w:r>
        <w:rPr>
          <w:rFonts w:hint="eastAsia" w:ascii="黑体" w:hAnsi="黑体" w:eastAsia="黑体"/>
          <w:bCs/>
          <w:szCs w:val="21"/>
          <w:highlight w:val="none"/>
        </w:rPr>
        <w:t>YB25ZH01标段：</w:t>
      </w:r>
      <w:r>
        <w:rPr>
          <w:rFonts w:hint="eastAsia" w:ascii="宋体" w:hAnsi="宋体"/>
          <w:bCs/>
          <w:szCs w:val="21"/>
          <w:highlight w:val="none"/>
        </w:rPr>
        <w:t>具备路基路面养护乙级（或甲级）资质。</w:t>
      </w:r>
    </w:p>
    <w:bookmarkEnd w:id="45"/>
    <w:bookmarkEnd w:id="46"/>
    <w:p w14:paraId="1B989F2C">
      <w:pPr>
        <w:adjustRightInd w:val="0"/>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t>3.2</w:t>
      </w:r>
      <w:bookmarkStart w:id="48" w:name="_Hlk186123879"/>
      <w:r>
        <w:rPr>
          <w:rFonts w:hint="eastAsia" w:ascii="宋体" w:hAnsi="宋体"/>
          <w:bCs/>
          <w:szCs w:val="21"/>
          <w:highlight w:val="none"/>
        </w:rPr>
        <w:t>本次招标</w:t>
      </w:r>
      <w:r>
        <w:rPr>
          <w:rFonts w:hint="eastAsia" w:ascii="黑体" w:hAnsi="黑体" w:eastAsia="黑体"/>
          <w:bCs/>
          <w:szCs w:val="21"/>
          <w:highlight w:val="none"/>
        </w:rPr>
        <w:t>水毁重建YB25SH01标段</w:t>
      </w:r>
      <w:r>
        <w:rPr>
          <w:rFonts w:hint="eastAsia" w:ascii="黑体" w:hAnsi="黑体" w:eastAsia="黑体"/>
          <w:bCs/>
          <w:szCs w:val="21"/>
          <w:highlight w:val="none"/>
          <w:u w:val="single"/>
        </w:rPr>
        <w:t>接受</w:t>
      </w:r>
      <w:r>
        <w:rPr>
          <w:rFonts w:hint="eastAsia" w:ascii="宋体" w:hAnsi="宋体"/>
          <w:bCs/>
          <w:szCs w:val="21"/>
          <w:highlight w:val="none"/>
        </w:rPr>
        <w:t>联合体投标，其他标段不接受联合体投标。联合体投标的，应满足以下联合体要求：</w:t>
      </w:r>
    </w:p>
    <w:p w14:paraId="491F2D2E">
      <w:pPr>
        <w:adjustRightInd w:val="0"/>
        <w:snapToGrid w:val="0"/>
        <w:spacing w:line="400" w:lineRule="exact"/>
        <w:ind w:firstLine="420" w:firstLineChars="200"/>
        <w:rPr>
          <w:rFonts w:hint="eastAsia" w:ascii="宋体" w:hAnsi="宋体"/>
          <w:bCs/>
          <w:szCs w:val="21"/>
          <w:highlight w:val="none"/>
        </w:rPr>
      </w:pPr>
      <w:r>
        <w:rPr>
          <w:rFonts w:hint="eastAsia" w:ascii="黑体" w:hAnsi="黑体" w:eastAsia="黑体"/>
          <w:bCs/>
          <w:szCs w:val="21"/>
          <w:highlight w:val="none"/>
        </w:rPr>
        <w:t>YB25SH01标段：</w:t>
      </w:r>
    </w:p>
    <w:p w14:paraId="4C152184">
      <w:pPr>
        <w:adjustRightInd w:val="0"/>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t>（1）联合体所有成员数量不得超过4家；</w:t>
      </w:r>
    </w:p>
    <w:p w14:paraId="61B39CB1">
      <w:pPr>
        <w:adjustRightInd w:val="0"/>
        <w:snapToGrid w:val="0"/>
        <w:spacing w:line="400" w:lineRule="exact"/>
        <w:ind w:firstLine="420" w:firstLineChars="200"/>
        <w:rPr>
          <w:rFonts w:hint="eastAsia" w:ascii="宋体" w:hAnsi="宋体" w:cs="宋体"/>
          <w:bCs/>
          <w:szCs w:val="21"/>
          <w:highlight w:val="none"/>
        </w:rPr>
      </w:pPr>
      <w:r>
        <w:rPr>
          <w:rFonts w:hint="eastAsia" w:ascii="宋体" w:hAnsi="宋体"/>
          <w:bCs/>
          <w:szCs w:val="21"/>
          <w:highlight w:val="none"/>
        </w:rPr>
        <w:t>（2）</w:t>
      </w:r>
      <w:r>
        <w:rPr>
          <w:rFonts w:hint="eastAsia" w:ascii="宋体" w:hAnsi="宋体"/>
          <w:szCs w:val="21"/>
          <w:highlight w:val="none"/>
        </w:rPr>
        <w:t>联合体牵头人应具有交通运输主管部门核发的路基路面养护乙级（或甲级）资质，并至少承担路基路面养护施工</w:t>
      </w:r>
      <w:r>
        <w:rPr>
          <w:rFonts w:hint="eastAsia" w:ascii="宋体" w:hAnsi="宋体" w:cs="宋体"/>
          <w:bCs/>
          <w:szCs w:val="21"/>
          <w:highlight w:val="none"/>
        </w:rPr>
        <w:t>；</w:t>
      </w:r>
    </w:p>
    <w:bookmarkEnd w:id="47"/>
    <w:bookmarkEnd w:id="48"/>
    <w:p w14:paraId="428F270A">
      <w:pPr>
        <w:adjustRightInd w:val="0"/>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（3）符合招标文件对联合体的其他要求。</w:t>
      </w:r>
    </w:p>
    <w:p w14:paraId="749475BE">
      <w:pPr>
        <w:adjustRightInd w:val="0"/>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t>3.3</w:t>
      </w:r>
      <w:bookmarkStart w:id="49" w:name="_Hlk187327595"/>
      <w:r>
        <w:rPr>
          <w:rFonts w:hint="eastAsia" w:ascii="宋体" w:hAnsi="宋体"/>
          <w:bCs/>
          <w:szCs w:val="21"/>
          <w:highlight w:val="none"/>
        </w:rPr>
        <w:t>每个投标人（包括联合体各成员）</w:t>
      </w:r>
      <w:r>
        <w:rPr>
          <w:rFonts w:hint="eastAsia" w:ascii="黑体" w:hAnsi="黑体" w:eastAsia="黑体"/>
          <w:bCs/>
          <w:szCs w:val="21"/>
          <w:highlight w:val="none"/>
        </w:rPr>
        <w:t>可对本次招标所有标段进行投标</w:t>
      </w:r>
      <w:r>
        <w:rPr>
          <w:rFonts w:hint="eastAsia" w:ascii="宋体" w:hAnsi="宋体"/>
          <w:bCs/>
          <w:szCs w:val="21"/>
          <w:highlight w:val="none"/>
        </w:rPr>
        <w:t>，每个投标人（包括联合体各成员）</w:t>
      </w:r>
      <w:r>
        <w:rPr>
          <w:rFonts w:hint="eastAsia" w:ascii="黑体" w:hAnsi="黑体" w:eastAsia="黑体"/>
          <w:bCs/>
          <w:szCs w:val="21"/>
          <w:highlight w:val="none"/>
        </w:rPr>
        <w:t>允许中1个标段</w:t>
      </w:r>
      <w:r>
        <w:rPr>
          <w:rFonts w:hint="eastAsia" w:ascii="宋体" w:hAnsi="宋体"/>
          <w:bCs/>
          <w:szCs w:val="21"/>
          <w:highlight w:val="none"/>
        </w:rPr>
        <w:t xml:space="preserve">，被推荐为评标顺序在前标段的中标候选人（包括联合体各方），将不再参与后续标段的中标候选人推荐。评标顺序为YB25SH01标段→YB25ZH01标段。 </w:t>
      </w:r>
      <w:bookmarkEnd w:id="49"/>
      <w:r>
        <w:rPr>
          <w:rFonts w:hint="eastAsia" w:ascii="宋体" w:hAnsi="宋体"/>
          <w:bCs/>
          <w:szCs w:val="21"/>
          <w:highlight w:val="none"/>
        </w:rPr>
        <w:t xml:space="preserve"> </w:t>
      </w:r>
    </w:p>
    <w:bookmarkEnd w:id="43"/>
    <w:p w14:paraId="7E75EF35">
      <w:pPr>
        <w:adjustRightInd w:val="0"/>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t>3</w:t>
      </w:r>
      <w:r>
        <w:rPr>
          <w:rFonts w:ascii="宋体" w:hAnsi="宋体"/>
          <w:bCs/>
          <w:szCs w:val="21"/>
          <w:highlight w:val="none"/>
        </w:rPr>
        <w:t>.</w:t>
      </w:r>
      <w:r>
        <w:rPr>
          <w:rFonts w:hint="eastAsia" w:ascii="宋体" w:hAnsi="宋体"/>
          <w:bCs/>
          <w:szCs w:val="21"/>
          <w:highlight w:val="none"/>
        </w:rPr>
        <w:t>4与招标人存在利害关系可能影响招标公正性的单位，不得参加投标。单位负责人为同一人或存在控股、管理关系的不同单位，不得同时参加同一标段投标，否则，相关投标均无效。</w:t>
      </w:r>
    </w:p>
    <w:p w14:paraId="0D66C7C2">
      <w:pPr>
        <w:adjustRightInd w:val="0"/>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t>3.5在“信用中国”网站（https://www.creditchina.gov.cn/）中被列入失信被执行人名单的投标人，不得参加投标。</w:t>
      </w:r>
    </w:p>
    <w:bookmarkEnd w:id="40"/>
    <w:bookmarkEnd w:id="41"/>
    <w:bookmarkEnd w:id="42"/>
    <w:p w14:paraId="3B0A0890">
      <w:pPr>
        <w:adjustRightInd w:val="0"/>
        <w:snapToGrid w:val="0"/>
        <w:spacing w:before="120" w:beforeLines="50" w:after="120" w:afterLines="50" w:line="400" w:lineRule="exact"/>
        <w:rPr>
          <w:rFonts w:hint="eastAsia" w:ascii="黑体" w:hAnsi="黑体" w:eastAsia="黑体"/>
          <w:bCs/>
          <w:sz w:val="24"/>
          <w:szCs w:val="24"/>
          <w:highlight w:val="none"/>
        </w:rPr>
      </w:pPr>
      <w:r>
        <w:rPr>
          <w:rFonts w:hint="eastAsia" w:ascii="黑体" w:hAnsi="黑体" w:eastAsia="黑体"/>
          <w:bCs/>
          <w:sz w:val="24"/>
          <w:szCs w:val="24"/>
          <w:highlight w:val="none"/>
        </w:rPr>
        <w:t>4．评标办法及相关事宜</w:t>
      </w:r>
    </w:p>
    <w:p w14:paraId="0AF740CD">
      <w:pPr>
        <w:adjustRightInd w:val="0"/>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t>4</w:t>
      </w:r>
      <w:r>
        <w:rPr>
          <w:rFonts w:ascii="宋体" w:hAnsi="宋体"/>
          <w:bCs/>
          <w:szCs w:val="21"/>
          <w:highlight w:val="none"/>
        </w:rPr>
        <w:t>.1</w:t>
      </w:r>
      <w:r>
        <w:rPr>
          <w:rFonts w:hint="eastAsia" w:ascii="宋体" w:hAnsi="宋体"/>
          <w:bCs/>
          <w:szCs w:val="21"/>
          <w:highlight w:val="none"/>
        </w:rPr>
        <w:t>评标办法采用</w:t>
      </w:r>
      <w:r>
        <w:rPr>
          <w:rFonts w:hint="eastAsia" w:ascii="黑体" w:hAnsi="黑体" w:eastAsia="黑体"/>
          <w:bCs/>
          <w:szCs w:val="21"/>
          <w:highlight w:val="none"/>
        </w:rPr>
        <w:t>双信封形式的技术评分最低标价法</w:t>
      </w:r>
      <w:r>
        <w:rPr>
          <w:rFonts w:hint="eastAsia" w:ascii="宋体" w:hAnsi="宋体"/>
          <w:bCs/>
          <w:szCs w:val="21"/>
          <w:highlight w:val="none"/>
        </w:rPr>
        <w:t>。</w:t>
      </w:r>
    </w:p>
    <w:bookmarkEnd w:id="17"/>
    <w:p w14:paraId="4A7DACB3">
      <w:pPr>
        <w:adjustRightInd w:val="0"/>
        <w:snapToGrid w:val="0"/>
        <w:spacing w:before="120" w:beforeLines="50" w:after="120" w:afterLines="50" w:line="400" w:lineRule="exact"/>
        <w:rPr>
          <w:rFonts w:hint="eastAsia" w:ascii="黑体" w:hAnsi="黑体" w:eastAsia="黑体"/>
          <w:bCs/>
          <w:sz w:val="24"/>
          <w:szCs w:val="24"/>
          <w:highlight w:val="none"/>
        </w:rPr>
      </w:pPr>
      <w:r>
        <w:rPr>
          <w:rFonts w:hint="eastAsia" w:ascii="黑体" w:hAnsi="黑体" w:eastAsia="黑体"/>
          <w:bCs/>
          <w:sz w:val="24"/>
          <w:szCs w:val="24"/>
          <w:highlight w:val="none"/>
        </w:rPr>
        <w:t>5.</w:t>
      </w:r>
      <w:bookmarkEnd w:id="22"/>
      <w:r>
        <w:rPr>
          <w:rFonts w:hint="eastAsia" w:ascii="黑体" w:hAnsi="黑体" w:eastAsia="黑体"/>
          <w:bCs/>
          <w:sz w:val="24"/>
          <w:szCs w:val="24"/>
          <w:highlight w:val="none"/>
        </w:rPr>
        <w:t>电子化招投标</w:t>
      </w:r>
    </w:p>
    <w:p w14:paraId="525719A8">
      <w:pPr>
        <w:widowControl/>
        <w:shd w:val="clear" w:color="auto" w:fill="FFFFFF"/>
        <w:adjustRightInd w:val="0"/>
        <w:spacing w:line="400" w:lineRule="exact"/>
        <w:ind w:firstLine="420" w:firstLineChars="200"/>
        <w:jc w:val="left"/>
        <w:rPr>
          <w:rFonts w:hint="eastAsia" w:ascii="宋体" w:hAnsi="宋体" w:cs="宋体"/>
          <w:bCs/>
          <w:color w:val="363D45"/>
          <w:szCs w:val="21"/>
          <w:highlight w:val="none"/>
        </w:rPr>
      </w:pPr>
      <w:r>
        <w:rPr>
          <w:rFonts w:hint="eastAsia" w:ascii="宋体" w:hAnsi="宋体" w:cs="宋体"/>
          <w:bCs/>
          <w:color w:val="363D45"/>
          <w:szCs w:val="21"/>
          <w:highlight w:val="none"/>
        </w:rPr>
        <w:t>5.1</w:t>
      </w:r>
      <w:bookmarkStart w:id="50" w:name="OLE_LINK31"/>
      <w:r>
        <w:rPr>
          <w:rFonts w:hint="eastAsia" w:ascii="宋体" w:hAnsi="宋体" w:cs="宋体"/>
          <w:bCs/>
          <w:color w:val="363D45"/>
          <w:szCs w:val="21"/>
          <w:highlight w:val="none"/>
        </w:rPr>
        <w:t>本次招标</w:t>
      </w:r>
      <w:bookmarkEnd w:id="50"/>
      <w:r>
        <w:rPr>
          <w:rFonts w:hint="eastAsia" w:ascii="宋体" w:hAnsi="宋体" w:cs="宋体"/>
          <w:bCs/>
          <w:color w:val="363D45"/>
          <w:szCs w:val="21"/>
          <w:highlight w:val="none"/>
        </w:rPr>
        <w:t>全程实行电子化招投标。</w:t>
      </w:r>
      <w:bookmarkEnd w:id="23"/>
      <w:bookmarkStart w:id="51" w:name="_Toc184704557"/>
    </w:p>
    <w:p w14:paraId="373B9160">
      <w:pPr>
        <w:adjustRightInd w:val="0"/>
        <w:snapToGrid w:val="0"/>
        <w:spacing w:before="120" w:beforeLines="50" w:after="120" w:afterLines="50" w:line="400" w:lineRule="exact"/>
        <w:rPr>
          <w:rFonts w:hint="eastAsia" w:ascii="黑体" w:hAnsi="黑体" w:eastAsia="黑体"/>
          <w:bCs/>
          <w:sz w:val="24"/>
          <w:szCs w:val="24"/>
          <w:highlight w:val="none"/>
        </w:rPr>
      </w:pPr>
      <w:r>
        <w:rPr>
          <w:rFonts w:hint="eastAsia" w:ascii="黑体" w:hAnsi="黑体" w:eastAsia="黑体"/>
          <w:bCs/>
          <w:sz w:val="24"/>
          <w:szCs w:val="24"/>
          <w:highlight w:val="none"/>
        </w:rPr>
        <w:t>6．招标文件的获取</w:t>
      </w:r>
      <w:bookmarkEnd w:id="51"/>
    </w:p>
    <w:p w14:paraId="0344DEEE">
      <w:pPr>
        <w:adjustRightInd w:val="0"/>
        <w:snapToGrid w:val="0"/>
        <w:spacing w:line="400" w:lineRule="exact"/>
        <w:ind w:firstLine="420" w:firstLineChars="200"/>
        <w:rPr>
          <w:rFonts w:hint="eastAsia" w:ascii="宋体" w:hAnsi="宋体"/>
          <w:bCs/>
          <w:szCs w:val="21"/>
          <w:highlight w:val="none"/>
        </w:rPr>
      </w:pPr>
      <w:bookmarkStart w:id="52" w:name="_Hlk170804672"/>
      <w:r>
        <w:rPr>
          <w:rFonts w:hint="eastAsia" w:ascii="宋体" w:hAnsi="宋体"/>
          <w:bCs/>
          <w:szCs w:val="21"/>
          <w:highlight w:val="none"/>
        </w:rPr>
        <w:t>6.1</w:t>
      </w:r>
      <w:bookmarkStart w:id="53" w:name="_Hlk170804693"/>
      <w:r>
        <w:rPr>
          <w:rFonts w:hint="eastAsia" w:ascii="宋体" w:hAnsi="宋体"/>
          <w:bCs/>
          <w:szCs w:val="21"/>
          <w:highlight w:val="none"/>
        </w:rPr>
        <w:t>凡有意参加投标者，请于</w:t>
      </w:r>
      <w:r>
        <w:rPr>
          <w:rFonts w:hint="eastAsia" w:ascii="黑体" w:hAnsi="黑体" w:eastAsia="黑体"/>
          <w:bCs/>
          <w:szCs w:val="21"/>
          <w:highlight w:val="none"/>
          <w:u w:val="single"/>
        </w:rPr>
        <w:t>20</w:t>
      </w:r>
      <w:r>
        <w:rPr>
          <w:rFonts w:ascii="黑体" w:hAnsi="黑体" w:eastAsia="黑体"/>
          <w:bCs/>
          <w:szCs w:val="21"/>
          <w:highlight w:val="none"/>
          <w:u w:val="single"/>
        </w:rPr>
        <w:t>2</w:t>
      </w:r>
      <w:r>
        <w:rPr>
          <w:rFonts w:hint="eastAsia" w:ascii="黑体" w:hAnsi="黑体" w:eastAsia="黑体"/>
          <w:bCs/>
          <w:szCs w:val="21"/>
          <w:highlight w:val="none"/>
          <w:u w:val="single"/>
        </w:rPr>
        <w:t>5年6月6日至2025年6月12日</w:t>
      </w:r>
      <w:r>
        <w:rPr>
          <w:rFonts w:hint="eastAsia" w:ascii="宋体" w:hAnsi="宋体"/>
          <w:bCs/>
          <w:szCs w:val="21"/>
          <w:highlight w:val="none"/>
        </w:rPr>
        <w:t>，登录吉林省公共资源交易一体化平台（https://www.ggzyyth.jl.cn/TPBidder）免费下载招标文件。</w:t>
      </w:r>
      <w:bookmarkEnd w:id="53"/>
      <w:bookmarkStart w:id="54" w:name="OLE_LINK24"/>
      <w:bookmarkStart w:id="55" w:name="_Hlk187310073"/>
      <w:r>
        <w:rPr>
          <w:rFonts w:hint="eastAsia" w:ascii="黑体" w:hAnsi="黑体" w:eastAsia="黑体"/>
          <w:bCs/>
          <w:szCs w:val="21"/>
          <w:highlight w:val="none"/>
        </w:rPr>
        <w:t>参加多个标段投标的投标人必须分别获取相应标段的招标文件，并按标段分别递交投标保证金</w:t>
      </w:r>
      <w:bookmarkEnd w:id="54"/>
      <w:r>
        <w:rPr>
          <w:rFonts w:hint="eastAsia" w:ascii="黑体" w:hAnsi="黑体" w:eastAsia="黑体"/>
          <w:bCs/>
          <w:szCs w:val="21"/>
          <w:highlight w:val="none"/>
        </w:rPr>
        <w:t>，按标段单独递交投标文件</w:t>
      </w:r>
      <w:r>
        <w:rPr>
          <w:rFonts w:hint="eastAsia" w:ascii="宋体" w:hAnsi="宋体"/>
          <w:bCs/>
          <w:szCs w:val="21"/>
          <w:highlight w:val="none"/>
        </w:rPr>
        <w:t>。</w:t>
      </w:r>
      <w:bookmarkEnd w:id="55"/>
    </w:p>
    <w:bookmarkEnd w:id="52"/>
    <w:p w14:paraId="0428F5C7">
      <w:pPr>
        <w:adjustRightInd w:val="0"/>
        <w:snapToGrid w:val="0"/>
        <w:spacing w:before="120" w:beforeLines="50" w:after="120" w:afterLines="50" w:line="400" w:lineRule="exact"/>
        <w:rPr>
          <w:rFonts w:hint="eastAsia" w:ascii="黑体" w:hAnsi="黑体" w:eastAsia="黑体"/>
          <w:bCs/>
          <w:sz w:val="24"/>
          <w:szCs w:val="24"/>
          <w:highlight w:val="none"/>
        </w:rPr>
      </w:pPr>
      <w:bookmarkStart w:id="56" w:name="_Toc184704558"/>
      <w:r>
        <w:rPr>
          <w:rFonts w:hint="eastAsia" w:ascii="黑体" w:hAnsi="黑体" w:eastAsia="黑体"/>
          <w:bCs/>
          <w:sz w:val="24"/>
          <w:szCs w:val="24"/>
          <w:highlight w:val="none"/>
        </w:rPr>
        <w:t>7．</w:t>
      </w:r>
      <w:bookmarkEnd w:id="56"/>
      <w:r>
        <w:rPr>
          <w:rFonts w:hint="eastAsia" w:ascii="黑体" w:hAnsi="黑体" w:eastAsia="黑体"/>
          <w:bCs/>
          <w:sz w:val="24"/>
          <w:szCs w:val="24"/>
          <w:highlight w:val="none"/>
        </w:rPr>
        <w:t>投标文件的递交及相关事宜</w:t>
      </w:r>
    </w:p>
    <w:p w14:paraId="3269984E">
      <w:pPr>
        <w:adjustRightInd w:val="0"/>
        <w:snapToGrid w:val="0"/>
        <w:spacing w:line="400" w:lineRule="exact"/>
        <w:ind w:firstLine="420" w:firstLineChars="200"/>
        <w:rPr>
          <w:rFonts w:hint="eastAsia" w:ascii="宋体" w:hAnsi="宋体"/>
          <w:bCs/>
          <w:szCs w:val="21"/>
          <w:highlight w:val="none"/>
        </w:rPr>
      </w:pPr>
      <w:bookmarkStart w:id="57" w:name="_Hlk186359074"/>
      <w:r>
        <w:rPr>
          <w:rFonts w:hint="eastAsia" w:ascii="宋体" w:hAnsi="宋体"/>
          <w:bCs/>
          <w:szCs w:val="21"/>
          <w:highlight w:val="none"/>
        </w:rPr>
        <w:t>7.1招标人不组织工程现场踏勘和投标预备会。</w:t>
      </w:r>
    </w:p>
    <w:p w14:paraId="1804BDF9">
      <w:pPr>
        <w:adjustRightInd w:val="0"/>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t>7.2投标文件递交的截止时间（投标截止时间，下同）为</w:t>
      </w:r>
      <w:bookmarkStart w:id="58" w:name="_Hlk199143416"/>
      <w:r>
        <w:rPr>
          <w:rFonts w:hint="eastAsia" w:ascii="黑体" w:hAnsi="黑体" w:eastAsia="黑体"/>
          <w:bCs/>
          <w:szCs w:val="21"/>
          <w:highlight w:val="none"/>
          <w:u w:val="single"/>
        </w:rPr>
        <w:t>2025年7月8日9时00分</w:t>
      </w:r>
      <w:bookmarkEnd w:id="58"/>
      <w:r>
        <w:rPr>
          <w:rFonts w:hint="eastAsia" w:ascii="宋体" w:hAnsi="宋体"/>
          <w:bCs/>
          <w:szCs w:val="21"/>
          <w:highlight w:val="none"/>
        </w:rPr>
        <w:t>，投标人应在投标截止时间前将加密的电子投标文件上传至“吉林省公共资源交易一体化平台”。逾期上传的电子投标文件，电子招标投标交易平台将予以拒收。</w:t>
      </w:r>
    </w:p>
    <w:p w14:paraId="08F8B54A">
      <w:pPr>
        <w:adjustRightInd w:val="0"/>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t>7.3投标文件第一个信封（商务及技术文件）开标时间：同投标截止时间，开标地点：吉林省公共资源交易中心四楼开标室；</w:t>
      </w:r>
      <w:r>
        <w:rPr>
          <w:rFonts w:ascii="黑体" w:hAnsi="黑体" w:eastAsia="黑体"/>
          <w:bCs/>
          <w:szCs w:val="21"/>
          <w:highlight w:val="none"/>
        </w:rPr>
        <w:t>投标文件第二个信封（</w:t>
      </w:r>
      <w:r>
        <w:rPr>
          <w:rFonts w:hint="eastAsia" w:ascii="黑体" w:hAnsi="黑体" w:eastAsia="黑体"/>
          <w:bCs/>
          <w:szCs w:val="21"/>
          <w:highlight w:val="none"/>
        </w:rPr>
        <w:t>报价文件</w:t>
      </w:r>
      <w:r>
        <w:rPr>
          <w:rFonts w:ascii="黑体" w:hAnsi="黑体" w:eastAsia="黑体"/>
          <w:bCs/>
          <w:szCs w:val="21"/>
          <w:highlight w:val="none"/>
        </w:rPr>
        <w:t>）开标时间：</w:t>
      </w:r>
      <w:bookmarkStart w:id="59" w:name="_Hlk199143434"/>
      <w:r>
        <w:rPr>
          <w:rFonts w:hint="eastAsia" w:ascii="黑体" w:hAnsi="黑体" w:eastAsia="黑体"/>
          <w:bCs/>
          <w:szCs w:val="21"/>
          <w:highlight w:val="none"/>
          <w:u w:val="single"/>
        </w:rPr>
        <w:t>2025年7月8日</w:t>
      </w:r>
      <w:r>
        <w:rPr>
          <w:rFonts w:ascii="黑体" w:hAnsi="黑体" w:eastAsia="黑体"/>
          <w:bCs/>
          <w:szCs w:val="21"/>
          <w:highlight w:val="none"/>
          <w:u w:val="single"/>
        </w:rPr>
        <w:t>1</w:t>
      </w:r>
      <w:r>
        <w:rPr>
          <w:rFonts w:hint="eastAsia" w:ascii="黑体" w:hAnsi="黑体" w:eastAsia="黑体"/>
          <w:bCs/>
          <w:szCs w:val="21"/>
          <w:highlight w:val="none"/>
          <w:u w:val="single"/>
        </w:rPr>
        <w:t>3</w:t>
      </w:r>
      <w:r>
        <w:rPr>
          <w:rFonts w:ascii="黑体" w:hAnsi="黑体" w:eastAsia="黑体"/>
          <w:bCs/>
          <w:szCs w:val="21"/>
          <w:highlight w:val="none"/>
          <w:u w:val="single"/>
        </w:rPr>
        <w:t>时00分</w:t>
      </w:r>
      <w:bookmarkEnd w:id="59"/>
      <w:r>
        <w:rPr>
          <w:rFonts w:hint="eastAsia" w:ascii="宋体" w:hAnsi="宋体"/>
          <w:bCs/>
          <w:szCs w:val="21"/>
          <w:highlight w:val="none"/>
        </w:rPr>
        <w:t>，开标地点：吉林省公共资源交易中心四楼开标室。</w:t>
      </w:r>
    </w:p>
    <w:bookmarkEnd w:id="57"/>
    <w:p w14:paraId="484FA013">
      <w:pPr>
        <w:adjustRightInd w:val="0"/>
        <w:snapToGrid w:val="0"/>
        <w:spacing w:before="120" w:beforeLines="50" w:after="120" w:afterLines="50" w:line="400" w:lineRule="exact"/>
        <w:rPr>
          <w:rFonts w:hint="eastAsia" w:ascii="黑体" w:hAnsi="黑体" w:eastAsia="黑体"/>
          <w:bCs/>
          <w:sz w:val="24"/>
          <w:szCs w:val="24"/>
          <w:highlight w:val="none"/>
        </w:rPr>
      </w:pPr>
      <w:bookmarkStart w:id="60" w:name="_Toc184704559"/>
      <w:r>
        <w:rPr>
          <w:rFonts w:hint="eastAsia" w:ascii="黑体" w:hAnsi="黑体" w:eastAsia="黑体"/>
          <w:bCs/>
          <w:sz w:val="24"/>
          <w:szCs w:val="24"/>
          <w:highlight w:val="none"/>
        </w:rPr>
        <w:t>8．发布公告的媒介</w:t>
      </w:r>
      <w:bookmarkEnd w:id="60"/>
    </w:p>
    <w:p w14:paraId="31BCE656">
      <w:pPr>
        <w:adjustRightInd w:val="0"/>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t>8.1本次招标公告同时在中国招标投标公共服务平台、吉林省公共资源交易中心网（同步推送到吉林省公共资源交易公共服务平台）、吉林省交通运输厅网站上发布。</w:t>
      </w:r>
    </w:p>
    <w:bookmarkEnd w:id="1"/>
    <w:bookmarkEnd w:id="2"/>
    <w:bookmarkEnd w:id="3"/>
    <w:bookmarkEnd w:id="4"/>
    <w:bookmarkEnd w:id="5"/>
    <w:bookmarkEnd w:id="6"/>
    <w:bookmarkEnd w:id="24"/>
    <w:p w14:paraId="2A3F0456">
      <w:pPr>
        <w:adjustRightInd w:val="0"/>
        <w:snapToGrid w:val="0"/>
        <w:spacing w:line="0" w:lineRule="atLeast"/>
        <w:ind w:firstLine="100" w:firstLineChars="100"/>
        <w:jc w:val="left"/>
        <w:rPr>
          <w:rFonts w:ascii="Times New Roman" w:hAnsi="Times New Roman" w:eastAsia="黑体"/>
          <w:bCs/>
          <w:sz w:val="10"/>
          <w:szCs w:val="10"/>
          <w:highlight w:val="none"/>
        </w:rPr>
      </w:pPr>
    </w:p>
    <w:bookmarkEnd w:id="7"/>
    <w:bookmarkEnd w:id="8"/>
    <w:bookmarkEnd w:id="9"/>
    <w:bookmarkEnd w:id="10"/>
    <w:bookmarkEnd w:id="11"/>
    <w:bookmarkEnd w:id="12"/>
    <w:bookmarkEnd w:id="13"/>
    <w:bookmarkEnd w:id="14"/>
    <w:bookmarkEnd w:id="15"/>
    <w:p w14:paraId="6DC6FF45">
      <w:pPr>
        <w:pStyle w:val="4"/>
        <w:adjustRightInd w:val="0"/>
        <w:snapToGrid w:val="0"/>
        <w:spacing w:before="0" w:after="0" w:line="240" w:lineRule="auto"/>
        <w:rPr>
          <w:rFonts w:hint="eastAsia" w:ascii="宋体" w:hAnsi="宋体"/>
          <w:b w:val="0"/>
          <w:highlight w:val="none"/>
        </w:rPr>
      </w:pPr>
      <w:bookmarkStart w:id="61" w:name="_Toc197950803"/>
      <w:bookmarkStart w:id="62" w:name="_Toc197951588"/>
      <w:bookmarkStart w:id="63" w:name="_Toc197960493"/>
      <w:bookmarkStart w:id="64" w:name="_Toc197960545"/>
      <w:bookmarkStart w:id="65" w:name="_Toc197965597"/>
      <w:bookmarkStart w:id="66" w:name="_Toc197967266"/>
      <w:bookmarkStart w:id="67" w:name="_Toc197967118"/>
      <w:bookmarkStart w:id="68" w:name="_Toc197950682"/>
      <w:bookmarkStart w:id="69" w:name="_Toc195174379"/>
      <w:bookmarkStart w:id="70" w:name="_Toc513907883"/>
      <w:bookmarkStart w:id="71" w:name="_Hlk189905285"/>
      <w:r>
        <w:rPr>
          <w:rFonts w:hint="eastAsia" w:ascii="黑体" w:hAnsi="黑体" w:eastAsia="黑体"/>
          <w:b w:val="0"/>
          <w:sz w:val="24"/>
          <w:szCs w:val="24"/>
          <w:highlight w:val="none"/>
          <w:lang w:val="en-US" w:eastAsia="zh-CN"/>
        </w:rPr>
        <w:t>9.</w:t>
      </w:r>
      <w:r>
        <w:rPr>
          <w:rFonts w:ascii="黑体" w:hAnsi="黑体" w:eastAsia="黑体"/>
          <w:b w:val="0"/>
          <w:sz w:val="24"/>
          <w:szCs w:val="24"/>
          <w:highlight w:val="none"/>
        </w:rPr>
        <w:t>投标人须知前附表</w:t>
      </w:r>
      <w:bookmarkEnd w:id="61"/>
      <w:bookmarkEnd w:id="62"/>
      <w:bookmarkEnd w:id="63"/>
      <w:bookmarkEnd w:id="64"/>
      <w:bookmarkEnd w:id="65"/>
      <w:bookmarkEnd w:id="66"/>
      <w:bookmarkEnd w:id="67"/>
      <w:bookmarkEnd w:id="68"/>
      <w:r>
        <w:rPr>
          <w:rStyle w:val="65"/>
          <w:rFonts w:ascii="宋体" w:hAnsi="宋体"/>
          <w:b w:val="0"/>
          <w:sz w:val="30"/>
          <w:szCs w:val="30"/>
          <w:highlight w:val="none"/>
        </w:rPr>
        <w:footnoteReference w:id="0"/>
      </w:r>
      <w:bookmarkEnd w:id="69"/>
      <w:bookmarkEnd w:id="70"/>
    </w:p>
    <w:tbl>
      <w:tblPr>
        <w:tblStyle w:val="55"/>
        <w:tblW w:w="50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71"/>
        <w:gridCol w:w="1611"/>
        <w:gridCol w:w="7227"/>
      </w:tblGrid>
      <w:tr w14:paraId="13D80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blHeader/>
          <w:jc w:val="center"/>
        </w:trPr>
        <w:tc>
          <w:tcPr>
            <w:tcW w:w="495" w:type="pct"/>
            <w:vAlign w:val="center"/>
          </w:tcPr>
          <w:p w14:paraId="063BF939">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条款号</w:t>
            </w:r>
          </w:p>
        </w:tc>
        <w:tc>
          <w:tcPr>
            <w:tcW w:w="821" w:type="pct"/>
            <w:vAlign w:val="center"/>
          </w:tcPr>
          <w:p w14:paraId="45D4BCA0">
            <w:pPr>
              <w:adjustRightInd w:val="0"/>
              <w:snapToGrid w:val="0"/>
              <w:spacing w:line="340" w:lineRule="exact"/>
              <w:jc w:val="center"/>
              <w:rPr>
                <w:rFonts w:ascii="Times New Roman" w:hAnsi="Times New Roman"/>
                <w:bCs/>
                <w:szCs w:val="21"/>
                <w:highlight w:val="none"/>
              </w:rPr>
            </w:pPr>
            <w:r>
              <w:rPr>
                <w:rFonts w:ascii="Times New Roman" w:hAnsi="宋体"/>
                <w:bCs/>
                <w:szCs w:val="21"/>
                <w:highlight w:val="none"/>
              </w:rPr>
              <w:t>条款名称</w:t>
            </w:r>
          </w:p>
        </w:tc>
        <w:tc>
          <w:tcPr>
            <w:tcW w:w="3684" w:type="pct"/>
            <w:vAlign w:val="center"/>
          </w:tcPr>
          <w:p w14:paraId="0D551374">
            <w:pPr>
              <w:adjustRightInd w:val="0"/>
              <w:snapToGrid w:val="0"/>
              <w:spacing w:line="340" w:lineRule="exact"/>
              <w:jc w:val="center"/>
              <w:rPr>
                <w:rFonts w:hint="eastAsia" w:ascii="宋体" w:hAnsi="宋体"/>
                <w:bCs/>
                <w:szCs w:val="21"/>
                <w:highlight w:val="none"/>
              </w:rPr>
            </w:pPr>
            <w:r>
              <w:rPr>
                <w:rFonts w:ascii="Times New Roman" w:hAnsi="宋体"/>
                <w:bCs/>
                <w:szCs w:val="21"/>
                <w:highlight w:val="none"/>
              </w:rPr>
              <w:t>编列内容</w:t>
            </w:r>
          </w:p>
        </w:tc>
      </w:tr>
      <w:tr w14:paraId="44D71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0" w:hRule="atLeast"/>
          <w:jc w:val="center"/>
        </w:trPr>
        <w:tc>
          <w:tcPr>
            <w:tcW w:w="495" w:type="pct"/>
            <w:vAlign w:val="center"/>
          </w:tcPr>
          <w:p w14:paraId="629DED11">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1.1.2</w:t>
            </w:r>
          </w:p>
        </w:tc>
        <w:tc>
          <w:tcPr>
            <w:tcW w:w="821" w:type="pct"/>
            <w:vAlign w:val="center"/>
          </w:tcPr>
          <w:p w14:paraId="5F9C8190">
            <w:pPr>
              <w:adjustRightInd w:val="0"/>
              <w:snapToGrid w:val="0"/>
              <w:spacing w:line="340" w:lineRule="exact"/>
              <w:jc w:val="center"/>
              <w:rPr>
                <w:rFonts w:ascii="Times New Roman" w:hAnsi="Times New Roman"/>
                <w:bCs/>
                <w:szCs w:val="21"/>
                <w:highlight w:val="none"/>
              </w:rPr>
            </w:pPr>
            <w:r>
              <w:rPr>
                <w:rFonts w:ascii="Times New Roman" w:hAnsi="宋体"/>
                <w:bCs/>
                <w:szCs w:val="21"/>
                <w:highlight w:val="none"/>
              </w:rPr>
              <w:t>招标人</w:t>
            </w:r>
          </w:p>
        </w:tc>
        <w:tc>
          <w:tcPr>
            <w:tcW w:w="3684" w:type="pct"/>
          </w:tcPr>
          <w:p w14:paraId="28AA08C2">
            <w:pPr>
              <w:spacing w:line="340" w:lineRule="exact"/>
              <w:rPr>
                <w:rFonts w:hint="eastAsia" w:ascii="黑体" w:hAnsi="黑体" w:eastAsia="黑体"/>
                <w:color w:val="000000"/>
                <w:szCs w:val="21"/>
                <w:highlight w:val="none"/>
              </w:rPr>
            </w:pPr>
            <w:r>
              <w:rPr>
                <w:rFonts w:hint="eastAsia" w:ascii="黑体" w:hAnsi="黑体" w:eastAsia="黑体"/>
                <w:color w:val="000000"/>
                <w:szCs w:val="21"/>
                <w:highlight w:val="none"/>
              </w:rPr>
              <w:t>名  称：</w:t>
            </w:r>
            <w:r>
              <w:rPr>
                <w:rFonts w:hint="eastAsia" w:ascii="黑体" w:hAnsi="黑体" w:eastAsia="黑体"/>
                <w:bCs/>
                <w:szCs w:val="21"/>
                <w:highlight w:val="none"/>
                <w:u w:val="single"/>
              </w:rPr>
              <w:t>延边州公路养护工程项目管理办公室</w:t>
            </w:r>
          </w:p>
          <w:p w14:paraId="1E1EC9FA">
            <w:pPr>
              <w:spacing w:line="340" w:lineRule="exact"/>
              <w:rPr>
                <w:rFonts w:hint="eastAsia" w:ascii="宋体" w:hAnsi="宋体"/>
                <w:color w:val="000000"/>
                <w:szCs w:val="21"/>
                <w:highlight w:val="none"/>
              </w:rPr>
            </w:pPr>
            <w:r>
              <w:rPr>
                <w:rFonts w:hint="eastAsia" w:ascii="宋体" w:hAnsi="宋体"/>
                <w:color w:val="000000"/>
                <w:szCs w:val="21"/>
                <w:highlight w:val="none"/>
              </w:rPr>
              <w:t>地  址：</w:t>
            </w:r>
            <w:r>
              <w:rPr>
                <w:rFonts w:hint="eastAsia" w:ascii="宋体" w:hAnsi="宋体"/>
                <w:bCs/>
                <w:color w:val="000000"/>
                <w:szCs w:val="21"/>
                <w:highlight w:val="none"/>
              </w:rPr>
              <w:t>延吉市公园路5568号</w:t>
            </w:r>
          </w:p>
          <w:p w14:paraId="1E374AF2">
            <w:pPr>
              <w:spacing w:line="340" w:lineRule="exact"/>
              <w:rPr>
                <w:rFonts w:hint="eastAsia" w:ascii="宋体" w:hAnsi="宋体"/>
                <w:color w:val="000000"/>
                <w:szCs w:val="21"/>
                <w:highlight w:val="none"/>
              </w:rPr>
            </w:pPr>
            <w:r>
              <w:rPr>
                <w:rFonts w:hint="eastAsia" w:ascii="宋体" w:hAnsi="宋体"/>
                <w:color w:val="000000"/>
                <w:szCs w:val="21"/>
                <w:highlight w:val="none"/>
              </w:rPr>
              <w:t>联系人：</w:t>
            </w:r>
            <w:r>
              <w:rPr>
                <w:rFonts w:hint="eastAsia" w:ascii="宋体" w:hAnsi="宋体"/>
                <w:bCs/>
                <w:color w:val="000000"/>
                <w:szCs w:val="21"/>
                <w:highlight w:val="none"/>
              </w:rPr>
              <w:t>程龙</w:t>
            </w:r>
          </w:p>
          <w:p w14:paraId="4A0F37A9">
            <w:pPr>
              <w:snapToGrid w:val="0"/>
              <w:spacing w:line="340" w:lineRule="exact"/>
              <w:rPr>
                <w:rFonts w:hint="eastAsia" w:ascii="宋体" w:hAnsi="宋体"/>
                <w:bCs/>
                <w:color w:val="000000"/>
                <w:szCs w:val="21"/>
                <w:highlight w:val="none"/>
              </w:rPr>
            </w:pPr>
            <w:r>
              <w:rPr>
                <w:rFonts w:hint="eastAsia" w:ascii="宋体" w:hAnsi="宋体"/>
                <w:color w:val="000000"/>
                <w:szCs w:val="21"/>
                <w:highlight w:val="none"/>
              </w:rPr>
              <w:t>电  话：</w:t>
            </w:r>
            <w:r>
              <w:rPr>
                <w:rFonts w:hint="eastAsia" w:ascii="宋体" w:hAnsi="宋体"/>
                <w:bCs/>
                <w:color w:val="000000"/>
                <w:szCs w:val="21"/>
                <w:highlight w:val="none"/>
              </w:rPr>
              <w:t>0433-2705321</w:t>
            </w:r>
          </w:p>
        </w:tc>
      </w:tr>
      <w:tr w14:paraId="5BE64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0BB108AC">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1.1.3</w:t>
            </w:r>
          </w:p>
        </w:tc>
        <w:tc>
          <w:tcPr>
            <w:tcW w:w="821" w:type="pct"/>
            <w:vAlign w:val="center"/>
          </w:tcPr>
          <w:p w14:paraId="21A66C87">
            <w:pPr>
              <w:adjustRightInd w:val="0"/>
              <w:snapToGrid w:val="0"/>
              <w:spacing w:line="340" w:lineRule="exact"/>
              <w:jc w:val="center"/>
              <w:rPr>
                <w:rFonts w:ascii="Times New Roman" w:hAnsi="Times New Roman"/>
                <w:bCs/>
                <w:szCs w:val="21"/>
                <w:highlight w:val="none"/>
              </w:rPr>
            </w:pPr>
            <w:r>
              <w:rPr>
                <w:rFonts w:ascii="Times New Roman" w:hAnsi="宋体"/>
                <w:bCs/>
                <w:szCs w:val="21"/>
                <w:highlight w:val="none"/>
              </w:rPr>
              <w:t>招标</w:t>
            </w:r>
          </w:p>
          <w:p w14:paraId="089E39CF">
            <w:pPr>
              <w:adjustRightInd w:val="0"/>
              <w:snapToGrid w:val="0"/>
              <w:spacing w:line="340" w:lineRule="exact"/>
              <w:jc w:val="center"/>
              <w:rPr>
                <w:rFonts w:ascii="Times New Roman" w:hAnsi="Times New Roman"/>
                <w:bCs/>
                <w:szCs w:val="21"/>
                <w:highlight w:val="none"/>
              </w:rPr>
            </w:pPr>
            <w:r>
              <w:rPr>
                <w:rFonts w:ascii="Times New Roman" w:hAnsi="宋体"/>
                <w:bCs/>
                <w:szCs w:val="21"/>
                <w:highlight w:val="none"/>
              </w:rPr>
              <w:t>代理机构</w:t>
            </w:r>
          </w:p>
        </w:tc>
        <w:tc>
          <w:tcPr>
            <w:tcW w:w="3684" w:type="pct"/>
          </w:tcPr>
          <w:p w14:paraId="19EA6196">
            <w:pPr>
              <w:spacing w:line="340" w:lineRule="exact"/>
              <w:rPr>
                <w:rFonts w:hint="eastAsia" w:ascii="黑体" w:hAnsi="黑体" w:eastAsia="黑体"/>
                <w:spacing w:val="-10"/>
                <w:szCs w:val="21"/>
                <w:highlight w:val="none"/>
              </w:rPr>
            </w:pPr>
            <w:r>
              <w:rPr>
                <w:rFonts w:hint="eastAsia" w:ascii="黑体" w:hAnsi="黑体" w:eastAsia="黑体"/>
                <w:szCs w:val="21"/>
                <w:highlight w:val="none"/>
              </w:rPr>
              <w:t>名  称：吉林省伟邦公路技术有限公司</w:t>
            </w:r>
          </w:p>
          <w:p w14:paraId="4FAE7D53">
            <w:pPr>
              <w:spacing w:line="340" w:lineRule="exact"/>
              <w:rPr>
                <w:rFonts w:hint="eastAsia" w:ascii="宋体" w:hAnsi="宋体"/>
                <w:szCs w:val="21"/>
                <w:highlight w:val="none"/>
              </w:rPr>
            </w:pPr>
            <w:r>
              <w:rPr>
                <w:rFonts w:hint="eastAsia" w:ascii="宋体" w:hAnsi="宋体"/>
                <w:szCs w:val="21"/>
                <w:highlight w:val="none"/>
              </w:rPr>
              <w:t>地  址：长春净月高新技术产业开发区擎天树街855号</w:t>
            </w:r>
          </w:p>
          <w:p w14:paraId="740ABE14">
            <w:pPr>
              <w:spacing w:line="340" w:lineRule="exact"/>
              <w:rPr>
                <w:rFonts w:hint="eastAsia" w:ascii="宋体" w:hAnsi="宋体"/>
                <w:szCs w:val="21"/>
                <w:highlight w:val="none"/>
              </w:rPr>
            </w:pPr>
            <w:r>
              <w:rPr>
                <w:rFonts w:hint="eastAsia" w:ascii="宋体" w:hAnsi="宋体"/>
                <w:color w:val="000000"/>
                <w:szCs w:val="21"/>
                <w:highlight w:val="none"/>
              </w:rPr>
              <w:t>联系人</w:t>
            </w:r>
            <w:r>
              <w:rPr>
                <w:rFonts w:ascii="宋体" w:hAnsi="宋体"/>
                <w:color w:val="000000"/>
                <w:szCs w:val="21"/>
                <w:highlight w:val="none"/>
              </w:rPr>
              <w:t>：</w:t>
            </w:r>
            <w:r>
              <w:rPr>
                <w:rFonts w:hint="eastAsia" w:ascii="宋体" w:hAnsi="宋体"/>
                <w:szCs w:val="21"/>
                <w:highlight w:val="none"/>
              </w:rPr>
              <w:t>赵鑫、刘世远</w:t>
            </w:r>
          </w:p>
          <w:p w14:paraId="1FDC278F">
            <w:pPr>
              <w:snapToGrid w:val="0"/>
              <w:spacing w:line="340" w:lineRule="exact"/>
              <w:rPr>
                <w:bCs/>
                <w:szCs w:val="21"/>
                <w:highlight w:val="none"/>
              </w:rPr>
            </w:pPr>
            <w:r>
              <w:rPr>
                <w:rFonts w:hint="eastAsia" w:ascii="宋体" w:hAnsi="宋体"/>
                <w:color w:val="000000"/>
                <w:szCs w:val="21"/>
                <w:highlight w:val="none"/>
              </w:rPr>
              <w:t>电  话：</w:t>
            </w:r>
            <w:r>
              <w:rPr>
                <w:rFonts w:ascii="宋体" w:hAnsi="宋体"/>
                <w:szCs w:val="21"/>
                <w:highlight w:val="none"/>
              </w:rPr>
              <w:t xml:space="preserve"> </w:t>
            </w:r>
            <w:r>
              <w:rPr>
                <w:rFonts w:hint="eastAsia" w:ascii="宋体" w:hAnsi="宋体"/>
                <w:szCs w:val="21"/>
                <w:highlight w:val="none"/>
              </w:rPr>
              <w:t>0431－88655555</w:t>
            </w:r>
          </w:p>
        </w:tc>
      </w:tr>
      <w:tr w14:paraId="3AD6D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2D763E9D">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1.1.4</w:t>
            </w:r>
          </w:p>
        </w:tc>
        <w:tc>
          <w:tcPr>
            <w:tcW w:w="821" w:type="pct"/>
            <w:vAlign w:val="center"/>
          </w:tcPr>
          <w:p w14:paraId="2C4CEB85">
            <w:pPr>
              <w:adjustRightInd w:val="0"/>
              <w:snapToGrid w:val="0"/>
              <w:spacing w:line="340" w:lineRule="exact"/>
              <w:jc w:val="center"/>
              <w:rPr>
                <w:rFonts w:ascii="Times New Roman" w:hAnsi="Times New Roman"/>
                <w:bCs/>
                <w:szCs w:val="21"/>
                <w:highlight w:val="none"/>
              </w:rPr>
            </w:pPr>
            <w:r>
              <w:rPr>
                <w:rFonts w:hint="eastAsia" w:ascii="宋体" w:hAnsi="宋体"/>
                <w:bCs/>
                <w:szCs w:val="21"/>
                <w:highlight w:val="none"/>
              </w:rPr>
              <w:t>招标</w:t>
            </w:r>
            <w:r>
              <w:rPr>
                <w:rFonts w:ascii="宋体" w:hAnsi="宋体"/>
                <w:bCs/>
                <w:szCs w:val="21"/>
                <w:highlight w:val="none"/>
              </w:rPr>
              <w:t>项目名称</w:t>
            </w:r>
          </w:p>
        </w:tc>
        <w:tc>
          <w:tcPr>
            <w:tcW w:w="3684" w:type="pct"/>
            <w:vAlign w:val="center"/>
          </w:tcPr>
          <w:p w14:paraId="1DF42908">
            <w:pPr>
              <w:adjustRightInd w:val="0"/>
              <w:snapToGrid w:val="0"/>
              <w:spacing w:line="340" w:lineRule="exact"/>
              <w:rPr>
                <w:rFonts w:hint="eastAsia" w:ascii="黑体" w:hAnsi="黑体" w:eastAsia="黑体"/>
                <w:bCs/>
                <w:kern w:val="0"/>
                <w:szCs w:val="21"/>
                <w:highlight w:val="none"/>
                <w:lang w:val="zh-CN"/>
              </w:rPr>
            </w:pPr>
            <w:r>
              <w:rPr>
                <w:rFonts w:hint="eastAsia" w:ascii="黑体" w:hAnsi="黑体" w:eastAsia="黑体"/>
                <w:bCs/>
                <w:szCs w:val="21"/>
                <w:highlight w:val="none"/>
              </w:rPr>
              <w:t>延边州普通国省干线公路水毁恢复重建工程及灾害防治工程</w:t>
            </w:r>
          </w:p>
        </w:tc>
      </w:tr>
      <w:tr w14:paraId="3C521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5F282A8C">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1.1.5</w:t>
            </w:r>
          </w:p>
        </w:tc>
        <w:tc>
          <w:tcPr>
            <w:tcW w:w="821" w:type="pct"/>
            <w:vAlign w:val="center"/>
          </w:tcPr>
          <w:p w14:paraId="22F51474">
            <w:pPr>
              <w:adjustRightInd w:val="0"/>
              <w:snapToGrid w:val="0"/>
              <w:spacing w:line="340" w:lineRule="exact"/>
              <w:jc w:val="center"/>
              <w:rPr>
                <w:rFonts w:ascii="Times New Roman" w:hAnsi="Times New Roman"/>
                <w:bCs/>
                <w:szCs w:val="21"/>
                <w:highlight w:val="none"/>
              </w:rPr>
            </w:pPr>
            <w:r>
              <w:rPr>
                <w:rFonts w:hint="eastAsia" w:ascii="宋体" w:hAnsi="宋体"/>
                <w:bCs/>
                <w:szCs w:val="21"/>
                <w:highlight w:val="none"/>
              </w:rPr>
              <w:t>标段</w:t>
            </w:r>
            <w:r>
              <w:rPr>
                <w:rFonts w:ascii="宋体" w:hAnsi="宋体"/>
                <w:bCs/>
                <w:szCs w:val="21"/>
                <w:highlight w:val="none"/>
              </w:rPr>
              <w:t>建设地点</w:t>
            </w:r>
          </w:p>
        </w:tc>
        <w:tc>
          <w:tcPr>
            <w:tcW w:w="3684" w:type="pct"/>
            <w:vAlign w:val="center"/>
          </w:tcPr>
          <w:p w14:paraId="2F1E6695">
            <w:pPr>
              <w:autoSpaceDE w:val="0"/>
              <w:autoSpaceDN w:val="0"/>
              <w:adjustRightInd w:val="0"/>
              <w:snapToGrid w:val="0"/>
              <w:spacing w:line="340" w:lineRule="exact"/>
              <w:rPr>
                <w:rFonts w:hint="eastAsia" w:ascii="宋体" w:hAnsi="宋体"/>
                <w:bCs/>
                <w:kern w:val="0"/>
                <w:szCs w:val="21"/>
                <w:highlight w:val="none"/>
              </w:rPr>
            </w:pPr>
            <w:r>
              <w:rPr>
                <w:rFonts w:hint="eastAsia" w:ascii="宋体" w:hAnsi="宋体"/>
                <w:bCs/>
                <w:szCs w:val="21"/>
                <w:highlight w:val="none"/>
              </w:rPr>
              <w:t>见招标文件第一章“招标公告”</w:t>
            </w:r>
          </w:p>
        </w:tc>
      </w:tr>
      <w:tr w14:paraId="12B6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495" w:type="pct"/>
            <w:vAlign w:val="center"/>
          </w:tcPr>
          <w:p w14:paraId="354A1F04">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1.2.1</w:t>
            </w:r>
          </w:p>
        </w:tc>
        <w:tc>
          <w:tcPr>
            <w:tcW w:w="821" w:type="pct"/>
            <w:vAlign w:val="center"/>
          </w:tcPr>
          <w:p w14:paraId="77949EC3">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资金来源</w:t>
            </w:r>
          </w:p>
          <w:p w14:paraId="1B9B9587">
            <w:pPr>
              <w:adjustRightInd w:val="0"/>
              <w:snapToGrid w:val="0"/>
              <w:spacing w:line="340" w:lineRule="exact"/>
              <w:jc w:val="center"/>
              <w:rPr>
                <w:rFonts w:ascii="Times New Roman" w:hAnsi="Times New Roman"/>
                <w:bCs/>
                <w:szCs w:val="21"/>
                <w:highlight w:val="none"/>
              </w:rPr>
            </w:pPr>
            <w:r>
              <w:rPr>
                <w:rFonts w:hint="eastAsia" w:ascii="宋体" w:hAnsi="宋体"/>
                <w:bCs/>
                <w:szCs w:val="21"/>
                <w:highlight w:val="none"/>
              </w:rPr>
              <w:t>及比例</w:t>
            </w:r>
          </w:p>
        </w:tc>
        <w:tc>
          <w:tcPr>
            <w:tcW w:w="3684" w:type="pct"/>
            <w:vAlign w:val="center"/>
          </w:tcPr>
          <w:p w14:paraId="3AC42B18">
            <w:pPr>
              <w:autoSpaceDE w:val="0"/>
              <w:autoSpaceDN w:val="0"/>
              <w:adjustRightInd w:val="0"/>
              <w:snapToGrid w:val="0"/>
              <w:spacing w:line="340" w:lineRule="exact"/>
              <w:rPr>
                <w:rFonts w:hint="eastAsia" w:ascii="宋体" w:hAnsi="宋体"/>
                <w:bCs/>
                <w:szCs w:val="21"/>
                <w:highlight w:val="none"/>
              </w:rPr>
            </w:pPr>
            <w:bookmarkStart w:id="72" w:name="OLE_LINK50"/>
            <w:r>
              <w:rPr>
                <w:rFonts w:hint="eastAsia" w:ascii="宋体" w:hAnsi="宋体"/>
                <w:bCs/>
                <w:szCs w:val="21"/>
                <w:highlight w:val="none"/>
              </w:rPr>
              <w:t>见招标文件第一章“招标公告”</w:t>
            </w:r>
            <w:bookmarkEnd w:id="72"/>
          </w:p>
        </w:tc>
      </w:tr>
      <w:tr w14:paraId="2F84B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495" w:type="pct"/>
            <w:vAlign w:val="center"/>
          </w:tcPr>
          <w:p w14:paraId="6BAD2510">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1.2.</w:t>
            </w:r>
            <w:r>
              <w:rPr>
                <w:rFonts w:hint="eastAsia" w:ascii="宋体" w:hAnsi="宋体"/>
                <w:bCs/>
                <w:szCs w:val="21"/>
                <w:highlight w:val="none"/>
              </w:rPr>
              <w:t>2</w:t>
            </w:r>
          </w:p>
        </w:tc>
        <w:tc>
          <w:tcPr>
            <w:tcW w:w="821" w:type="pct"/>
            <w:vAlign w:val="center"/>
          </w:tcPr>
          <w:p w14:paraId="6C73BBD0">
            <w:pPr>
              <w:adjustRightInd w:val="0"/>
              <w:snapToGrid w:val="0"/>
              <w:spacing w:line="340" w:lineRule="exact"/>
              <w:jc w:val="center"/>
              <w:rPr>
                <w:rFonts w:ascii="Times New Roman" w:hAnsi="Times New Roman"/>
                <w:bCs/>
                <w:szCs w:val="21"/>
                <w:highlight w:val="none"/>
              </w:rPr>
            </w:pPr>
            <w:r>
              <w:rPr>
                <w:rFonts w:ascii="Times New Roman" w:hAnsi="宋体"/>
                <w:bCs/>
                <w:szCs w:val="21"/>
                <w:highlight w:val="none"/>
              </w:rPr>
              <w:t>资金</w:t>
            </w:r>
          </w:p>
          <w:p w14:paraId="2EF91512">
            <w:pPr>
              <w:adjustRightInd w:val="0"/>
              <w:snapToGrid w:val="0"/>
              <w:spacing w:line="340" w:lineRule="exact"/>
              <w:jc w:val="center"/>
              <w:rPr>
                <w:rFonts w:ascii="Times New Roman" w:hAnsi="Times New Roman"/>
                <w:bCs/>
                <w:szCs w:val="21"/>
                <w:highlight w:val="none"/>
              </w:rPr>
            </w:pPr>
            <w:r>
              <w:rPr>
                <w:rFonts w:ascii="Times New Roman" w:hAnsi="宋体"/>
                <w:bCs/>
                <w:szCs w:val="21"/>
                <w:highlight w:val="none"/>
              </w:rPr>
              <w:t>落实情况</w:t>
            </w:r>
          </w:p>
        </w:tc>
        <w:tc>
          <w:tcPr>
            <w:tcW w:w="3684" w:type="pct"/>
            <w:vAlign w:val="center"/>
          </w:tcPr>
          <w:p w14:paraId="24AA2CC8">
            <w:pPr>
              <w:pStyle w:val="34"/>
              <w:pBdr>
                <w:bottom w:val="none" w:color="auto" w:sz="0" w:space="0"/>
              </w:pBdr>
              <w:tabs>
                <w:tab w:val="clear" w:pos="4153"/>
                <w:tab w:val="clear" w:pos="8306"/>
              </w:tabs>
              <w:autoSpaceDE w:val="0"/>
              <w:autoSpaceDN w:val="0"/>
              <w:adjustRightInd w:val="0"/>
              <w:spacing w:line="340" w:lineRule="exact"/>
              <w:jc w:val="both"/>
              <w:rPr>
                <w:rFonts w:hint="eastAsia" w:ascii="宋体" w:hAnsi="宋体"/>
                <w:bCs/>
                <w:kern w:val="2"/>
                <w:sz w:val="21"/>
                <w:szCs w:val="21"/>
                <w:highlight w:val="none"/>
              </w:rPr>
            </w:pPr>
            <w:r>
              <w:rPr>
                <w:rFonts w:ascii="宋体" w:hAnsi="宋体"/>
                <w:bCs/>
                <w:kern w:val="2"/>
                <w:sz w:val="21"/>
                <w:szCs w:val="21"/>
                <w:highlight w:val="none"/>
              </w:rPr>
              <w:t>已落实</w:t>
            </w:r>
          </w:p>
        </w:tc>
      </w:tr>
      <w:tr w14:paraId="7DF71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111E7BE9">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1.3.1</w:t>
            </w:r>
          </w:p>
        </w:tc>
        <w:tc>
          <w:tcPr>
            <w:tcW w:w="821" w:type="pct"/>
            <w:vAlign w:val="center"/>
          </w:tcPr>
          <w:p w14:paraId="598464DF">
            <w:pPr>
              <w:adjustRightInd w:val="0"/>
              <w:snapToGrid w:val="0"/>
              <w:spacing w:line="340" w:lineRule="exact"/>
              <w:jc w:val="center"/>
              <w:rPr>
                <w:rFonts w:ascii="Times New Roman" w:hAnsi="Times New Roman"/>
                <w:bCs/>
                <w:szCs w:val="21"/>
                <w:highlight w:val="none"/>
              </w:rPr>
            </w:pPr>
            <w:r>
              <w:rPr>
                <w:rFonts w:ascii="Times New Roman" w:hAnsi="宋体"/>
                <w:bCs/>
                <w:szCs w:val="21"/>
                <w:highlight w:val="none"/>
              </w:rPr>
              <w:t>招标范围</w:t>
            </w:r>
          </w:p>
        </w:tc>
        <w:tc>
          <w:tcPr>
            <w:tcW w:w="3684" w:type="pct"/>
            <w:vAlign w:val="center"/>
          </w:tcPr>
          <w:p w14:paraId="471EA6F0">
            <w:pPr>
              <w:pStyle w:val="34"/>
              <w:pBdr>
                <w:bottom w:val="none" w:color="auto" w:sz="0" w:space="0"/>
              </w:pBdr>
              <w:tabs>
                <w:tab w:val="clear" w:pos="4153"/>
                <w:tab w:val="clear" w:pos="8306"/>
              </w:tabs>
              <w:autoSpaceDE w:val="0"/>
              <w:autoSpaceDN w:val="0"/>
              <w:adjustRightInd w:val="0"/>
              <w:spacing w:line="340" w:lineRule="exact"/>
              <w:jc w:val="both"/>
              <w:rPr>
                <w:rFonts w:hint="eastAsia" w:ascii="黑体" w:hAnsi="黑体" w:eastAsia="黑体"/>
                <w:bCs/>
                <w:sz w:val="21"/>
                <w:szCs w:val="21"/>
                <w:highlight w:val="none"/>
              </w:rPr>
            </w:pPr>
            <w:r>
              <w:rPr>
                <w:rFonts w:hint="eastAsia" w:ascii="宋体" w:hAnsi="宋体"/>
                <w:bCs/>
                <w:kern w:val="2"/>
                <w:sz w:val="21"/>
                <w:szCs w:val="21"/>
                <w:highlight w:val="none"/>
              </w:rPr>
              <w:t>见招标文件第一章“招标公告”</w:t>
            </w:r>
          </w:p>
        </w:tc>
      </w:tr>
      <w:tr w14:paraId="1DC1D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0C0F457C">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1.3.2</w:t>
            </w:r>
          </w:p>
        </w:tc>
        <w:tc>
          <w:tcPr>
            <w:tcW w:w="821" w:type="pct"/>
            <w:vAlign w:val="center"/>
          </w:tcPr>
          <w:p w14:paraId="40E96E0E">
            <w:pPr>
              <w:adjustRightInd w:val="0"/>
              <w:snapToGrid w:val="0"/>
              <w:spacing w:line="340" w:lineRule="exact"/>
              <w:jc w:val="center"/>
              <w:rPr>
                <w:rFonts w:ascii="Times New Roman" w:hAnsi="Times New Roman"/>
                <w:bCs/>
                <w:szCs w:val="21"/>
                <w:highlight w:val="none"/>
              </w:rPr>
            </w:pPr>
            <w:r>
              <w:rPr>
                <w:rFonts w:ascii="Times New Roman" w:hAnsi="宋体"/>
                <w:bCs/>
                <w:szCs w:val="21"/>
                <w:highlight w:val="none"/>
              </w:rPr>
              <w:t>计划工期</w:t>
            </w:r>
          </w:p>
        </w:tc>
        <w:tc>
          <w:tcPr>
            <w:tcW w:w="3684" w:type="pct"/>
            <w:vAlign w:val="center"/>
          </w:tcPr>
          <w:p w14:paraId="78A44247">
            <w:pPr>
              <w:spacing w:line="340" w:lineRule="exact"/>
              <w:rPr>
                <w:rFonts w:hint="eastAsia" w:ascii="黑体" w:hAnsi="黑体" w:eastAsia="黑体"/>
                <w:color w:val="000000"/>
                <w:kern w:val="0"/>
                <w:szCs w:val="21"/>
                <w:highlight w:val="none"/>
              </w:rPr>
            </w:pPr>
            <w:r>
              <w:rPr>
                <w:rFonts w:hint="eastAsia" w:ascii="宋体" w:hAnsi="宋体"/>
                <w:color w:val="000000"/>
                <w:kern w:val="0"/>
                <w:szCs w:val="21"/>
                <w:highlight w:val="none"/>
              </w:rPr>
              <w:t>计划工期：</w:t>
            </w:r>
            <w:r>
              <w:rPr>
                <w:rFonts w:hint="eastAsia" w:ascii="黑体" w:hAnsi="黑体" w:eastAsia="黑体"/>
                <w:bCs/>
                <w:szCs w:val="21"/>
                <w:highlight w:val="none"/>
              </w:rPr>
              <w:t>371</w:t>
            </w:r>
            <w:r>
              <w:rPr>
                <w:rFonts w:hint="eastAsia" w:ascii="黑体" w:hAnsi="黑体" w:eastAsia="黑体"/>
                <w:color w:val="000000"/>
                <w:kern w:val="0"/>
                <w:szCs w:val="21"/>
                <w:highlight w:val="none"/>
              </w:rPr>
              <w:t>日历天</w:t>
            </w:r>
          </w:p>
          <w:p w14:paraId="7E5E33A2">
            <w:pPr>
              <w:adjustRightInd w:val="0"/>
              <w:snapToGrid w:val="0"/>
              <w:spacing w:line="340" w:lineRule="exact"/>
              <w:rPr>
                <w:rFonts w:hint="eastAsia" w:ascii="黑体" w:hAnsi="黑体" w:eastAsia="黑体"/>
                <w:bCs/>
                <w:szCs w:val="21"/>
                <w:highlight w:val="none"/>
              </w:rPr>
            </w:pPr>
            <w:r>
              <w:rPr>
                <w:rFonts w:hint="eastAsia" w:ascii="宋体" w:hAnsi="宋体"/>
                <w:color w:val="000000"/>
                <w:kern w:val="0"/>
                <w:szCs w:val="21"/>
                <w:highlight w:val="none"/>
              </w:rPr>
              <w:t>计划开工日期：</w:t>
            </w:r>
            <w:r>
              <w:rPr>
                <w:rFonts w:hint="eastAsia" w:ascii="黑体" w:hAnsi="黑体" w:eastAsia="黑体"/>
                <w:bCs/>
                <w:szCs w:val="21"/>
                <w:highlight w:val="none"/>
              </w:rPr>
              <w:t>2025-7-25</w:t>
            </w:r>
          </w:p>
          <w:p w14:paraId="669F1073">
            <w:pPr>
              <w:adjustRightInd w:val="0"/>
              <w:snapToGrid w:val="0"/>
              <w:spacing w:line="340" w:lineRule="exact"/>
              <w:rPr>
                <w:rFonts w:hint="eastAsia" w:ascii="黑体" w:hAnsi="黑体" w:eastAsia="黑体"/>
                <w:color w:val="000000"/>
                <w:kern w:val="0"/>
                <w:szCs w:val="21"/>
                <w:highlight w:val="none"/>
              </w:rPr>
            </w:pPr>
            <w:r>
              <w:rPr>
                <w:rFonts w:hint="eastAsia" w:ascii="宋体" w:hAnsi="宋体"/>
                <w:color w:val="000000"/>
                <w:kern w:val="0"/>
                <w:szCs w:val="21"/>
                <w:highlight w:val="none"/>
              </w:rPr>
              <w:t>计划交工日期：</w:t>
            </w:r>
            <w:r>
              <w:rPr>
                <w:rFonts w:hint="eastAsia" w:ascii="黑体" w:hAnsi="黑体" w:eastAsia="黑体"/>
                <w:color w:val="000000"/>
                <w:kern w:val="0"/>
                <w:szCs w:val="21"/>
                <w:highlight w:val="none"/>
              </w:rPr>
              <w:t xml:space="preserve">2026-7-31 </w:t>
            </w:r>
          </w:p>
          <w:p w14:paraId="01CC82C8">
            <w:pPr>
              <w:adjustRightInd w:val="0"/>
              <w:snapToGrid w:val="0"/>
              <w:spacing w:line="340" w:lineRule="exact"/>
              <w:rPr>
                <w:rFonts w:hint="eastAsia" w:ascii="宋体" w:hAnsi="宋体"/>
                <w:bCs/>
                <w:szCs w:val="21"/>
                <w:highlight w:val="none"/>
              </w:rPr>
            </w:pPr>
            <w:r>
              <w:rPr>
                <w:rFonts w:hint="eastAsia" w:ascii="黑体" w:hAnsi="黑体" w:eastAsia="黑体"/>
                <w:bCs/>
                <w:szCs w:val="21"/>
                <w:highlight w:val="none"/>
              </w:rPr>
              <w:t>阶段工期：除棚洞外其余水毁工程2025年9月30日竣工</w:t>
            </w:r>
          </w:p>
        </w:tc>
      </w:tr>
      <w:tr w14:paraId="163DA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2FA9DA6E">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1.3.3</w:t>
            </w:r>
          </w:p>
        </w:tc>
        <w:tc>
          <w:tcPr>
            <w:tcW w:w="821" w:type="pct"/>
            <w:vAlign w:val="center"/>
          </w:tcPr>
          <w:p w14:paraId="222D67A8">
            <w:pPr>
              <w:adjustRightInd w:val="0"/>
              <w:snapToGrid w:val="0"/>
              <w:spacing w:line="340" w:lineRule="exact"/>
              <w:jc w:val="center"/>
              <w:rPr>
                <w:rFonts w:ascii="Times New Roman" w:hAnsi="Times New Roman"/>
                <w:bCs/>
                <w:szCs w:val="21"/>
                <w:highlight w:val="none"/>
              </w:rPr>
            </w:pPr>
            <w:r>
              <w:rPr>
                <w:rFonts w:ascii="Times New Roman" w:hAnsi="宋体"/>
                <w:bCs/>
                <w:szCs w:val="21"/>
                <w:highlight w:val="none"/>
              </w:rPr>
              <w:t>质量要求</w:t>
            </w:r>
          </w:p>
        </w:tc>
        <w:tc>
          <w:tcPr>
            <w:tcW w:w="3684" w:type="pct"/>
            <w:vAlign w:val="center"/>
          </w:tcPr>
          <w:p w14:paraId="4FCA12BC">
            <w:pPr>
              <w:autoSpaceDE w:val="0"/>
              <w:autoSpaceDN w:val="0"/>
              <w:adjustRightInd w:val="0"/>
              <w:snapToGrid w:val="0"/>
              <w:spacing w:line="340" w:lineRule="exact"/>
              <w:rPr>
                <w:rFonts w:hint="eastAsia" w:ascii="宋体" w:hAnsi="宋体"/>
                <w:bCs/>
                <w:kern w:val="0"/>
                <w:szCs w:val="21"/>
                <w:highlight w:val="none"/>
                <w:lang w:val="zh-CN"/>
              </w:rPr>
            </w:pPr>
            <w:r>
              <w:rPr>
                <w:rFonts w:ascii="宋体" w:hAnsi="宋体"/>
                <w:bCs/>
                <w:szCs w:val="21"/>
                <w:highlight w:val="none"/>
              </w:rPr>
              <w:t>竣工验收的质量评定</w:t>
            </w:r>
            <w:r>
              <w:rPr>
                <w:rFonts w:hint="eastAsia" w:ascii="宋体" w:hAnsi="宋体"/>
                <w:bCs/>
                <w:szCs w:val="21"/>
                <w:highlight w:val="none"/>
              </w:rPr>
              <w:t>：优良</w:t>
            </w:r>
          </w:p>
        </w:tc>
      </w:tr>
      <w:tr w14:paraId="26CFC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55BABEC3">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1.3.</w:t>
            </w:r>
            <w:r>
              <w:rPr>
                <w:rFonts w:hint="eastAsia" w:ascii="宋体" w:hAnsi="宋体"/>
                <w:bCs/>
                <w:szCs w:val="21"/>
                <w:highlight w:val="none"/>
              </w:rPr>
              <w:t>4</w:t>
            </w:r>
          </w:p>
        </w:tc>
        <w:tc>
          <w:tcPr>
            <w:tcW w:w="821" w:type="pct"/>
            <w:vAlign w:val="center"/>
          </w:tcPr>
          <w:p w14:paraId="78351AEC">
            <w:pPr>
              <w:adjustRightInd w:val="0"/>
              <w:snapToGrid w:val="0"/>
              <w:spacing w:line="340" w:lineRule="exact"/>
              <w:jc w:val="center"/>
              <w:rPr>
                <w:rFonts w:ascii="Times New Roman" w:hAnsi="Times New Roman"/>
                <w:bCs/>
                <w:szCs w:val="21"/>
                <w:highlight w:val="none"/>
              </w:rPr>
            </w:pPr>
            <w:r>
              <w:rPr>
                <w:rFonts w:hint="eastAsia" w:ascii="Times New Roman" w:hAnsi="宋体"/>
                <w:bCs/>
                <w:szCs w:val="21"/>
                <w:highlight w:val="none"/>
              </w:rPr>
              <w:t>安全目标</w:t>
            </w:r>
          </w:p>
        </w:tc>
        <w:tc>
          <w:tcPr>
            <w:tcW w:w="3684" w:type="pct"/>
            <w:vAlign w:val="center"/>
          </w:tcPr>
          <w:p w14:paraId="2856D901">
            <w:pPr>
              <w:autoSpaceDE w:val="0"/>
              <w:autoSpaceDN w:val="0"/>
              <w:adjustRightInd w:val="0"/>
              <w:snapToGrid w:val="0"/>
              <w:spacing w:line="340" w:lineRule="exact"/>
              <w:rPr>
                <w:rFonts w:hint="eastAsia" w:ascii="宋体" w:hAnsi="宋体"/>
                <w:bCs/>
                <w:kern w:val="0"/>
                <w:szCs w:val="21"/>
                <w:highlight w:val="none"/>
                <w:lang w:val="zh-CN"/>
              </w:rPr>
            </w:pPr>
            <w:r>
              <w:rPr>
                <w:rFonts w:hint="eastAsia" w:ascii="宋体" w:hAnsi="宋体"/>
                <w:bCs/>
                <w:szCs w:val="21"/>
                <w:highlight w:val="none"/>
              </w:rPr>
              <w:t>施工期间不发生一般及以上等级生产安全事故</w:t>
            </w:r>
          </w:p>
        </w:tc>
      </w:tr>
      <w:tr w14:paraId="63FD1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0CDA0D16">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1.4.1</w:t>
            </w:r>
          </w:p>
        </w:tc>
        <w:tc>
          <w:tcPr>
            <w:tcW w:w="821" w:type="pct"/>
            <w:vAlign w:val="center"/>
          </w:tcPr>
          <w:p w14:paraId="2434B3D3">
            <w:pPr>
              <w:adjustRightInd w:val="0"/>
              <w:snapToGrid w:val="0"/>
              <w:spacing w:line="340" w:lineRule="exact"/>
              <w:jc w:val="center"/>
              <w:rPr>
                <w:rFonts w:ascii="Times New Roman" w:hAnsi="Times New Roman"/>
                <w:bCs/>
                <w:szCs w:val="21"/>
                <w:highlight w:val="none"/>
              </w:rPr>
            </w:pPr>
            <w:r>
              <w:rPr>
                <w:rFonts w:ascii="Times New Roman" w:hAnsi="宋体"/>
                <w:bCs/>
                <w:szCs w:val="21"/>
                <w:highlight w:val="none"/>
              </w:rPr>
              <w:t>投标人资质条件、能力和信誉</w:t>
            </w:r>
          </w:p>
        </w:tc>
        <w:tc>
          <w:tcPr>
            <w:tcW w:w="3684" w:type="pct"/>
            <w:vAlign w:val="center"/>
          </w:tcPr>
          <w:p w14:paraId="791CA7E2">
            <w:pPr>
              <w:pStyle w:val="316"/>
              <w:shd w:val="clear" w:color="auto" w:fill="auto"/>
              <w:spacing w:before="0" w:after="0" w:line="340" w:lineRule="exact"/>
              <w:jc w:val="both"/>
              <w:rPr>
                <w:rFonts w:hint="eastAsia" w:ascii="宋体" w:hAnsi="宋体" w:eastAsia="宋体"/>
                <w:kern w:val="2"/>
                <w:sz w:val="21"/>
                <w:szCs w:val="21"/>
                <w:highlight w:val="none"/>
              </w:rPr>
            </w:pPr>
            <w:r>
              <w:rPr>
                <w:rStyle w:val="314"/>
                <w:rFonts w:hint="eastAsia" w:ascii="宋体" w:hAnsi="宋体" w:eastAsia="宋体"/>
                <w:color w:val="auto"/>
                <w:kern w:val="2"/>
                <w:sz w:val="21"/>
                <w:szCs w:val="21"/>
                <w:highlight w:val="none"/>
              </w:rPr>
              <w:t>资质要求：见第三章“评标办法”</w:t>
            </w:r>
          </w:p>
          <w:p w14:paraId="5B6178BE">
            <w:pPr>
              <w:pStyle w:val="316"/>
              <w:shd w:val="clear" w:color="auto" w:fill="auto"/>
              <w:spacing w:before="0" w:after="0" w:line="340" w:lineRule="exact"/>
              <w:jc w:val="both"/>
              <w:rPr>
                <w:rFonts w:hint="eastAsia" w:ascii="宋体" w:hAnsi="宋体" w:eastAsia="宋体"/>
                <w:kern w:val="2"/>
                <w:sz w:val="21"/>
                <w:szCs w:val="21"/>
                <w:highlight w:val="none"/>
              </w:rPr>
            </w:pPr>
            <w:r>
              <w:rPr>
                <w:rStyle w:val="314"/>
                <w:rFonts w:hint="eastAsia" w:ascii="宋体" w:hAnsi="宋体" w:eastAsia="宋体"/>
                <w:color w:val="auto"/>
                <w:kern w:val="2"/>
                <w:sz w:val="21"/>
                <w:szCs w:val="21"/>
                <w:highlight w:val="none"/>
              </w:rPr>
              <w:t>财务要求：见第三章“评标办法”</w:t>
            </w:r>
          </w:p>
          <w:p w14:paraId="456203BD">
            <w:pPr>
              <w:pStyle w:val="316"/>
              <w:shd w:val="clear" w:color="auto" w:fill="auto"/>
              <w:spacing w:before="0" w:after="0" w:line="340" w:lineRule="exact"/>
              <w:jc w:val="both"/>
              <w:rPr>
                <w:rStyle w:val="314"/>
                <w:rFonts w:hint="eastAsia" w:ascii="宋体" w:hAnsi="宋体" w:eastAsia="宋体"/>
                <w:color w:val="auto"/>
                <w:kern w:val="2"/>
                <w:sz w:val="21"/>
                <w:szCs w:val="21"/>
                <w:highlight w:val="none"/>
              </w:rPr>
            </w:pPr>
            <w:r>
              <w:rPr>
                <w:rStyle w:val="314"/>
                <w:rFonts w:hint="eastAsia" w:ascii="宋体" w:hAnsi="宋体" w:eastAsia="宋体"/>
                <w:color w:val="auto"/>
                <w:kern w:val="2"/>
                <w:sz w:val="21"/>
                <w:szCs w:val="21"/>
                <w:highlight w:val="none"/>
              </w:rPr>
              <w:t>业绩要求：见第三章“评标办法”</w:t>
            </w:r>
          </w:p>
          <w:p w14:paraId="5C364705">
            <w:pPr>
              <w:pStyle w:val="316"/>
              <w:shd w:val="clear" w:color="auto" w:fill="auto"/>
              <w:spacing w:before="0" w:after="0" w:line="340" w:lineRule="exact"/>
              <w:jc w:val="both"/>
              <w:rPr>
                <w:rStyle w:val="314"/>
                <w:rFonts w:hint="eastAsia" w:ascii="宋体" w:hAnsi="宋体" w:eastAsia="宋体"/>
                <w:color w:val="auto"/>
                <w:sz w:val="21"/>
                <w:szCs w:val="21"/>
                <w:highlight w:val="none"/>
              </w:rPr>
            </w:pPr>
            <w:r>
              <w:rPr>
                <w:rStyle w:val="314"/>
                <w:rFonts w:hint="eastAsia" w:ascii="宋体" w:hAnsi="宋体" w:eastAsia="宋体"/>
                <w:color w:val="auto"/>
                <w:kern w:val="2"/>
                <w:sz w:val="21"/>
                <w:szCs w:val="21"/>
                <w:highlight w:val="none"/>
              </w:rPr>
              <w:t>信誉要求：见第三章“评标办法”</w:t>
            </w:r>
          </w:p>
          <w:p w14:paraId="294F7118">
            <w:pPr>
              <w:pStyle w:val="316"/>
              <w:shd w:val="clear" w:color="auto" w:fill="auto"/>
              <w:spacing w:before="0" w:after="0" w:line="340" w:lineRule="exact"/>
              <w:jc w:val="both"/>
              <w:rPr>
                <w:rStyle w:val="314"/>
                <w:rFonts w:hint="eastAsia" w:ascii="宋体" w:hAnsi="宋体" w:eastAsia="宋体"/>
                <w:color w:val="auto"/>
                <w:kern w:val="2"/>
                <w:sz w:val="21"/>
                <w:szCs w:val="21"/>
                <w:highlight w:val="none"/>
              </w:rPr>
            </w:pPr>
            <w:r>
              <w:rPr>
                <w:rStyle w:val="314"/>
                <w:rFonts w:hint="eastAsia" w:ascii="宋体" w:hAnsi="宋体" w:eastAsia="宋体"/>
                <w:color w:val="auto"/>
                <w:kern w:val="2"/>
                <w:sz w:val="21"/>
                <w:szCs w:val="21"/>
                <w:highlight w:val="none"/>
              </w:rPr>
              <w:t>项目经理和项目总工资格：见第三章“评标办法”</w:t>
            </w:r>
          </w:p>
          <w:p w14:paraId="0EB8D62C">
            <w:pPr>
              <w:pStyle w:val="316"/>
              <w:shd w:val="clear" w:color="auto" w:fill="auto"/>
              <w:spacing w:before="0" w:after="0" w:line="340" w:lineRule="exact"/>
              <w:jc w:val="both"/>
              <w:rPr>
                <w:rFonts w:hint="eastAsia" w:ascii="宋体" w:hAnsi="宋体"/>
                <w:bCs/>
                <w:sz w:val="21"/>
                <w:szCs w:val="21"/>
                <w:highlight w:val="none"/>
                <w:lang w:val="zh-CN"/>
              </w:rPr>
            </w:pPr>
            <w:r>
              <w:rPr>
                <w:rStyle w:val="314"/>
                <w:rFonts w:ascii="宋体" w:hAnsi="宋体" w:eastAsia="宋体"/>
                <w:color w:val="auto"/>
                <w:sz w:val="21"/>
                <w:szCs w:val="21"/>
                <w:highlight w:val="none"/>
              </w:rPr>
              <w:t>其他要求：</w:t>
            </w:r>
            <w:r>
              <w:rPr>
                <w:rStyle w:val="314"/>
                <w:rFonts w:hint="eastAsia" w:ascii="宋体" w:hAnsi="宋体" w:eastAsia="宋体"/>
                <w:color w:val="auto"/>
                <w:kern w:val="2"/>
                <w:sz w:val="21"/>
                <w:szCs w:val="21"/>
                <w:highlight w:val="none"/>
              </w:rPr>
              <w:t>见合同附件格式。</w:t>
            </w:r>
          </w:p>
        </w:tc>
      </w:tr>
      <w:tr w14:paraId="052EC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7F520F2A">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1.4.2</w:t>
            </w:r>
          </w:p>
        </w:tc>
        <w:tc>
          <w:tcPr>
            <w:tcW w:w="821" w:type="pct"/>
            <w:vAlign w:val="center"/>
          </w:tcPr>
          <w:p w14:paraId="0A1CA79C">
            <w:pPr>
              <w:adjustRightInd w:val="0"/>
              <w:snapToGrid w:val="0"/>
              <w:spacing w:line="340" w:lineRule="exact"/>
              <w:jc w:val="center"/>
              <w:rPr>
                <w:rFonts w:ascii="Times New Roman" w:hAnsi="Times New Roman"/>
                <w:bCs/>
                <w:szCs w:val="21"/>
                <w:highlight w:val="none"/>
              </w:rPr>
            </w:pPr>
            <w:r>
              <w:rPr>
                <w:rFonts w:ascii="Times New Roman" w:hAnsi="宋体"/>
                <w:bCs/>
                <w:szCs w:val="21"/>
                <w:highlight w:val="none"/>
              </w:rPr>
              <w:t>是否接受</w:t>
            </w:r>
            <w:r>
              <w:rPr>
                <w:rFonts w:hint="eastAsia" w:ascii="Times New Roman" w:hAnsi="宋体"/>
                <w:bCs/>
                <w:szCs w:val="21"/>
                <w:highlight w:val="none"/>
              </w:rPr>
              <w:br w:type="textWrapping"/>
            </w:r>
            <w:r>
              <w:rPr>
                <w:rFonts w:ascii="Times New Roman" w:hAnsi="宋体"/>
                <w:bCs/>
                <w:szCs w:val="21"/>
                <w:highlight w:val="none"/>
              </w:rPr>
              <w:t>联合体投标</w:t>
            </w:r>
          </w:p>
        </w:tc>
        <w:tc>
          <w:tcPr>
            <w:tcW w:w="3684" w:type="pct"/>
            <w:vAlign w:val="center"/>
          </w:tcPr>
          <w:p w14:paraId="65FF60F0">
            <w:pPr>
              <w:adjustRightInd w:val="0"/>
              <w:snapToGrid w:val="0"/>
              <w:spacing w:line="340" w:lineRule="exact"/>
              <w:ind w:firstLine="420" w:firstLineChars="200"/>
              <w:rPr>
                <w:rFonts w:hint="eastAsia" w:ascii="宋体" w:hAnsi="宋体"/>
                <w:bCs/>
                <w:szCs w:val="21"/>
                <w:highlight w:val="none"/>
              </w:rPr>
            </w:pPr>
            <w:r>
              <w:rPr>
                <w:rFonts w:hint="eastAsia" w:ascii="黑体" w:hAnsi="黑体" w:eastAsia="黑体"/>
                <w:bCs/>
                <w:szCs w:val="21"/>
                <w:highlight w:val="none"/>
              </w:rPr>
              <w:t>水毁重建YB25SH01标段：</w:t>
            </w:r>
            <w:r>
              <w:rPr>
                <w:rFonts w:hint="eastAsia" w:ascii="黑体" w:hAnsi="黑体" w:eastAsia="黑体"/>
                <w:bCs/>
                <w:szCs w:val="21"/>
                <w:highlight w:val="none"/>
                <w:u w:val="single"/>
              </w:rPr>
              <w:t xml:space="preserve">接受 </w:t>
            </w:r>
            <w:r>
              <w:rPr>
                <w:rFonts w:hint="eastAsia" w:ascii="宋体" w:hAnsi="宋体"/>
                <w:bCs/>
                <w:szCs w:val="21"/>
                <w:highlight w:val="none"/>
              </w:rPr>
              <w:t>联合体投标</w:t>
            </w:r>
            <w:r>
              <w:rPr>
                <w:rFonts w:hint="eastAsia" w:ascii="Segoe UI Symbol" w:hAnsi="Segoe UI Symbol" w:cs="Segoe UI Symbol"/>
                <w:bCs/>
                <w:szCs w:val="21"/>
                <w:highlight w:val="none"/>
              </w:rPr>
              <w:t>，</w:t>
            </w:r>
            <w:r>
              <w:rPr>
                <w:rFonts w:hint="eastAsia" w:ascii="宋体" w:hAnsi="宋体"/>
                <w:bCs/>
                <w:szCs w:val="21"/>
                <w:highlight w:val="none"/>
              </w:rPr>
              <w:t>联合体投标的应满足以下联合体要求：</w:t>
            </w:r>
          </w:p>
          <w:p w14:paraId="2D4A672D">
            <w:pPr>
              <w:adjustRightInd w:val="0"/>
              <w:snapToGrid w:val="0"/>
              <w:spacing w:line="340" w:lineRule="exact"/>
              <w:ind w:firstLine="420" w:firstLineChars="200"/>
              <w:rPr>
                <w:rFonts w:hint="eastAsia" w:ascii="宋体" w:hAnsi="宋体"/>
                <w:bCs/>
                <w:szCs w:val="21"/>
                <w:highlight w:val="none"/>
              </w:rPr>
            </w:pPr>
            <w:r>
              <w:rPr>
                <w:rFonts w:hint="eastAsia" w:ascii="宋体" w:hAnsi="宋体"/>
                <w:bCs/>
                <w:szCs w:val="21"/>
                <w:highlight w:val="none"/>
              </w:rPr>
              <w:t>（1）联合体所有成员数量不得超过4家；</w:t>
            </w:r>
          </w:p>
          <w:p w14:paraId="1A64FF71">
            <w:pPr>
              <w:adjustRightInd w:val="0"/>
              <w:snapToGrid w:val="0"/>
              <w:spacing w:line="340" w:lineRule="exact"/>
              <w:ind w:firstLine="420" w:firstLineChars="200"/>
              <w:rPr>
                <w:rFonts w:hint="eastAsia" w:ascii="宋体" w:hAnsi="宋体" w:cs="宋体"/>
                <w:bCs/>
                <w:szCs w:val="21"/>
                <w:highlight w:val="none"/>
              </w:rPr>
            </w:pPr>
            <w:r>
              <w:rPr>
                <w:rFonts w:hint="eastAsia" w:ascii="宋体" w:hAnsi="宋体"/>
                <w:bCs/>
                <w:szCs w:val="21"/>
                <w:highlight w:val="none"/>
              </w:rPr>
              <w:t>（2）</w:t>
            </w:r>
            <w:r>
              <w:rPr>
                <w:rFonts w:hint="eastAsia" w:ascii="宋体" w:hAnsi="宋体"/>
                <w:szCs w:val="21"/>
                <w:highlight w:val="none"/>
              </w:rPr>
              <w:t>联合体牵头人应具有交通运输主管部门核发的路基路面养护乙级（或甲级）资质，并至少承担路基路面养护施工</w:t>
            </w:r>
            <w:r>
              <w:rPr>
                <w:rFonts w:hint="eastAsia" w:ascii="宋体" w:hAnsi="宋体" w:cs="宋体"/>
                <w:bCs/>
                <w:szCs w:val="21"/>
                <w:highlight w:val="none"/>
              </w:rPr>
              <w:t>；</w:t>
            </w:r>
          </w:p>
          <w:p w14:paraId="2FA86094">
            <w:pPr>
              <w:adjustRightInd w:val="0"/>
              <w:snapToGrid w:val="0"/>
              <w:spacing w:line="340" w:lineRule="exact"/>
              <w:ind w:firstLine="420" w:firstLineChars="200"/>
              <w:rPr>
                <w:rFonts w:hint="eastAsia" w:ascii="宋体" w:hAnsi="宋体"/>
                <w:szCs w:val="21"/>
                <w:highlight w:val="none"/>
              </w:rPr>
            </w:pPr>
            <w:r>
              <w:rPr>
                <w:rFonts w:hint="eastAsia" w:ascii="宋体" w:hAnsi="宋体"/>
                <w:szCs w:val="21"/>
                <w:highlight w:val="none"/>
              </w:rPr>
              <w:t>（3）符合招标文件对联合体的其他要求。</w:t>
            </w:r>
          </w:p>
          <w:p w14:paraId="0856CE23">
            <w:pPr>
              <w:adjustRightInd w:val="0"/>
              <w:snapToGrid w:val="0"/>
              <w:spacing w:line="340" w:lineRule="exact"/>
              <w:ind w:firstLine="420" w:firstLineChars="200"/>
              <w:rPr>
                <w:rFonts w:hint="eastAsia" w:ascii="宋体" w:hAnsi="宋体"/>
                <w:bCs/>
                <w:kern w:val="0"/>
                <w:szCs w:val="21"/>
                <w:highlight w:val="none"/>
              </w:rPr>
            </w:pPr>
            <w:r>
              <w:rPr>
                <w:rFonts w:hint="eastAsia" w:ascii="黑体" w:hAnsi="黑体" w:eastAsia="黑体"/>
                <w:bCs/>
                <w:szCs w:val="21"/>
                <w:highlight w:val="none"/>
              </w:rPr>
              <w:t>灾害防治YB25ZH01标段不接受联合体投标</w:t>
            </w:r>
            <w:r>
              <w:rPr>
                <w:rFonts w:hint="eastAsia" w:ascii="宋体" w:hAnsi="宋体"/>
                <w:bCs/>
                <w:szCs w:val="21"/>
                <w:highlight w:val="none"/>
              </w:rPr>
              <w:t>。</w:t>
            </w:r>
          </w:p>
        </w:tc>
      </w:tr>
      <w:tr w14:paraId="1B49A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6F6C69D7">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1.4.3</w:t>
            </w:r>
          </w:p>
        </w:tc>
        <w:tc>
          <w:tcPr>
            <w:tcW w:w="821" w:type="pct"/>
            <w:vAlign w:val="center"/>
          </w:tcPr>
          <w:p w14:paraId="2D254FE6">
            <w:pPr>
              <w:adjustRightInd w:val="0"/>
              <w:snapToGrid w:val="0"/>
              <w:spacing w:line="340" w:lineRule="exact"/>
              <w:jc w:val="center"/>
              <w:rPr>
                <w:rFonts w:hint="eastAsia" w:ascii="Times New Roman" w:hAnsi="宋体"/>
                <w:bCs/>
                <w:kern w:val="0"/>
                <w:szCs w:val="21"/>
                <w:highlight w:val="none"/>
                <w:lang w:val="zh-CN"/>
              </w:rPr>
            </w:pPr>
            <w:r>
              <w:rPr>
                <w:rFonts w:ascii="Times New Roman" w:hAnsi="宋体"/>
                <w:bCs/>
                <w:kern w:val="0"/>
                <w:szCs w:val="21"/>
                <w:highlight w:val="none"/>
                <w:lang w:val="zh-CN"/>
              </w:rPr>
              <w:t>投标人不得</w:t>
            </w:r>
          </w:p>
          <w:p w14:paraId="0B76E886">
            <w:pPr>
              <w:adjustRightInd w:val="0"/>
              <w:snapToGrid w:val="0"/>
              <w:spacing w:line="340" w:lineRule="exact"/>
              <w:jc w:val="center"/>
              <w:rPr>
                <w:rFonts w:hint="eastAsia" w:ascii="Times New Roman" w:hAnsi="宋体"/>
                <w:bCs/>
                <w:kern w:val="0"/>
                <w:szCs w:val="21"/>
                <w:highlight w:val="none"/>
                <w:lang w:val="zh-CN"/>
              </w:rPr>
            </w:pPr>
            <w:r>
              <w:rPr>
                <w:rFonts w:ascii="Times New Roman" w:hAnsi="宋体"/>
                <w:bCs/>
                <w:kern w:val="0"/>
                <w:szCs w:val="21"/>
                <w:highlight w:val="none"/>
                <w:lang w:val="zh-CN"/>
              </w:rPr>
              <w:t>存在的</w:t>
            </w:r>
            <w:r>
              <w:rPr>
                <w:rFonts w:hint="eastAsia" w:ascii="Times New Roman" w:hAnsi="宋体"/>
                <w:bCs/>
                <w:kern w:val="0"/>
                <w:szCs w:val="21"/>
                <w:highlight w:val="none"/>
                <w:lang w:val="zh-CN"/>
              </w:rPr>
              <w:t>其他</w:t>
            </w:r>
          </w:p>
          <w:p w14:paraId="6BC31878">
            <w:pPr>
              <w:adjustRightInd w:val="0"/>
              <w:snapToGrid w:val="0"/>
              <w:spacing w:line="340" w:lineRule="exact"/>
              <w:jc w:val="center"/>
              <w:rPr>
                <w:rFonts w:ascii="Times New Roman" w:hAnsi="Times New Roman"/>
                <w:bCs/>
                <w:szCs w:val="21"/>
                <w:highlight w:val="none"/>
              </w:rPr>
            </w:pPr>
            <w:r>
              <w:rPr>
                <w:rFonts w:hint="eastAsia" w:ascii="Times New Roman" w:hAnsi="宋体"/>
                <w:bCs/>
                <w:kern w:val="0"/>
                <w:szCs w:val="21"/>
                <w:highlight w:val="none"/>
                <w:lang w:val="zh-CN"/>
              </w:rPr>
              <w:t>关联情况</w:t>
            </w:r>
          </w:p>
        </w:tc>
        <w:tc>
          <w:tcPr>
            <w:tcW w:w="3684" w:type="pct"/>
            <w:vAlign w:val="center"/>
          </w:tcPr>
          <w:p w14:paraId="368EB1D9">
            <w:pPr>
              <w:adjustRightInd w:val="0"/>
              <w:snapToGrid w:val="0"/>
              <w:spacing w:line="340" w:lineRule="exact"/>
              <w:ind w:firstLine="210" w:firstLineChars="100"/>
              <w:rPr>
                <w:rFonts w:hint="eastAsia" w:ascii="宋体" w:hAnsi="宋体"/>
                <w:bCs/>
                <w:kern w:val="0"/>
                <w:szCs w:val="21"/>
                <w:highlight w:val="none"/>
                <w:lang w:val="zh-CN"/>
              </w:rPr>
            </w:pPr>
            <w:r>
              <w:rPr>
                <w:rFonts w:hint="eastAsia" w:ascii="宋体" w:hAnsi="宋体"/>
                <w:bCs/>
                <w:kern w:val="0"/>
                <w:szCs w:val="21"/>
                <w:highlight w:val="none"/>
                <w:lang w:val="zh-CN"/>
              </w:rPr>
              <w:t>/</w:t>
            </w:r>
          </w:p>
        </w:tc>
      </w:tr>
      <w:tr w14:paraId="586B2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74AD72C2">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1.4.4</w:t>
            </w:r>
          </w:p>
        </w:tc>
        <w:tc>
          <w:tcPr>
            <w:tcW w:w="821" w:type="pct"/>
            <w:vAlign w:val="center"/>
          </w:tcPr>
          <w:p w14:paraId="3D186334">
            <w:pPr>
              <w:adjustRightInd w:val="0"/>
              <w:snapToGrid w:val="0"/>
              <w:spacing w:line="340" w:lineRule="exact"/>
              <w:jc w:val="center"/>
              <w:rPr>
                <w:bCs/>
                <w:szCs w:val="21"/>
                <w:highlight w:val="none"/>
              </w:rPr>
            </w:pPr>
            <w:r>
              <w:rPr>
                <w:rFonts w:hint="eastAsia"/>
                <w:bCs/>
                <w:szCs w:val="21"/>
                <w:highlight w:val="none"/>
              </w:rPr>
              <w:t>投标人不得存在的其他不良状况或不良信用</w:t>
            </w:r>
          </w:p>
        </w:tc>
        <w:tc>
          <w:tcPr>
            <w:tcW w:w="3684" w:type="pct"/>
            <w:vAlign w:val="center"/>
          </w:tcPr>
          <w:p w14:paraId="6BA29CED">
            <w:pPr>
              <w:adjustRightInd w:val="0"/>
              <w:snapToGrid w:val="0"/>
              <w:spacing w:line="340" w:lineRule="exact"/>
              <w:ind w:firstLine="210" w:firstLineChars="100"/>
              <w:rPr>
                <w:rFonts w:hint="eastAsia" w:ascii="宋体" w:hAnsi="宋体"/>
                <w:bCs/>
                <w:kern w:val="0"/>
                <w:szCs w:val="21"/>
                <w:highlight w:val="none"/>
              </w:rPr>
            </w:pPr>
            <w:r>
              <w:rPr>
                <w:rFonts w:hint="eastAsia" w:ascii="宋体" w:hAnsi="宋体"/>
                <w:bCs/>
                <w:kern w:val="0"/>
                <w:szCs w:val="21"/>
                <w:highlight w:val="none"/>
                <w:lang w:val="zh-CN"/>
              </w:rPr>
              <w:t>/</w:t>
            </w:r>
          </w:p>
        </w:tc>
      </w:tr>
      <w:tr w14:paraId="602BB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4CB5F375">
            <w:pPr>
              <w:adjustRightInd w:val="0"/>
              <w:snapToGrid w:val="0"/>
              <w:spacing w:line="340" w:lineRule="exact"/>
              <w:jc w:val="center"/>
              <w:rPr>
                <w:rFonts w:hint="eastAsia" w:ascii="宋体" w:hAnsi="宋体"/>
                <w:bCs/>
                <w:szCs w:val="21"/>
                <w:highlight w:val="none"/>
              </w:rPr>
            </w:pPr>
            <w:r>
              <w:rPr>
                <w:rFonts w:hint="eastAsia" w:ascii="宋体" w:hAnsi="宋体" w:cs="宋体"/>
                <w:bCs/>
                <w:szCs w:val="21"/>
                <w:highlight w:val="none"/>
              </w:rPr>
              <w:t>1.4.4（6）</w:t>
            </w:r>
          </w:p>
        </w:tc>
        <w:tc>
          <w:tcPr>
            <w:tcW w:w="821" w:type="pct"/>
            <w:vAlign w:val="center"/>
          </w:tcPr>
          <w:p w14:paraId="7B49A990">
            <w:pPr>
              <w:adjustRightInd w:val="0"/>
              <w:snapToGrid w:val="0"/>
              <w:spacing w:line="340" w:lineRule="exact"/>
              <w:jc w:val="center"/>
              <w:rPr>
                <w:rFonts w:hint="eastAsia" w:ascii="宋体" w:hAnsi="宋体"/>
                <w:bCs/>
                <w:szCs w:val="21"/>
                <w:highlight w:val="none"/>
              </w:rPr>
            </w:pPr>
            <w:r>
              <w:rPr>
                <w:rFonts w:hint="eastAsia" w:ascii="宋体" w:hAnsi="宋体"/>
                <w:bCs/>
                <w:color w:val="000000"/>
                <w:szCs w:val="21"/>
                <w:highlight w:val="none"/>
              </w:rPr>
              <w:t>行贿犯罪行为</w:t>
            </w:r>
          </w:p>
        </w:tc>
        <w:tc>
          <w:tcPr>
            <w:tcW w:w="3684" w:type="pct"/>
            <w:vAlign w:val="center"/>
          </w:tcPr>
          <w:p w14:paraId="53FB0640">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color w:val="000000"/>
                <w:szCs w:val="21"/>
                <w:highlight w:val="none"/>
              </w:rPr>
              <w:t>本目细化为：投标人或其法定代表人、拟委任的项目经理在近三年内有行贿犯罪行为的；</w:t>
            </w:r>
          </w:p>
        </w:tc>
      </w:tr>
      <w:tr w14:paraId="22332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085A1ACD">
            <w:pPr>
              <w:adjustRightInd w:val="0"/>
              <w:snapToGrid w:val="0"/>
              <w:spacing w:line="340" w:lineRule="exact"/>
              <w:jc w:val="center"/>
              <w:rPr>
                <w:rFonts w:hint="eastAsia" w:ascii="宋体" w:hAnsi="宋体"/>
                <w:bCs/>
                <w:szCs w:val="21"/>
                <w:highlight w:val="none"/>
              </w:rPr>
            </w:pPr>
            <w:r>
              <w:rPr>
                <w:rFonts w:hint="eastAsia" w:ascii="宋体" w:hAnsi="宋体" w:cs="宋体"/>
                <w:bCs/>
                <w:szCs w:val="21"/>
                <w:highlight w:val="none"/>
              </w:rPr>
              <w:t>1</w:t>
            </w:r>
            <w:r>
              <w:rPr>
                <w:rFonts w:ascii="宋体" w:hAnsi="宋体" w:cs="宋体"/>
                <w:bCs/>
                <w:szCs w:val="21"/>
                <w:highlight w:val="none"/>
              </w:rPr>
              <w:t>.4.5</w:t>
            </w:r>
          </w:p>
        </w:tc>
        <w:tc>
          <w:tcPr>
            <w:tcW w:w="821" w:type="pct"/>
            <w:vAlign w:val="center"/>
          </w:tcPr>
          <w:p w14:paraId="03C2E78B">
            <w:pPr>
              <w:adjustRightInd w:val="0"/>
              <w:snapToGrid w:val="0"/>
              <w:spacing w:line="340" w:lineRule="exact"/>
              <w:jc w:val="center"/>
              <w:rPr>
                <w:rFonts w:hint="eastAsia" w:ascii="宋体" w:hAnsi="宋体"/>
                <w:bCs/>
                <w:szCs w:val="21"/>
                <w:highlight w:val="none"/>
              </w:rPr>
            </w:pPr>
            <w:r>
              <w:rPr>
                <w:rFonts w:ascii="宋体" w:hAnsi="宋体"/>
                <w:bCs/>
                <w:color w:val="000000"/>
                <w:szCs w:val="21"/>
                <w:highlight w:val="none"/>
              </w:rPr>
              <w:t>公路工程施工资质企业名录</w:t>
            </w:r>
          </w:p>
        </w:tc>
        <w:tc>
          <w:tcPr>
            <w:tcW w:w="3684" w:type="pct"/>
            <w:vAlign w:val="center"/>
          </w:tcPr>
          <w:p w14:paraId="67397465">
            <w:pPr>
              <w:adjustRightInd w:val="0"/>
              <w:snapToGrid w:val="0"/>
              <w:spacing w:line="340" w:lineRule="exact"/>
              <w:ind w:firstLine="210" w:firstLineChars="100"/>
              <w:rPr>
                <w:rFonts w:hint="eastAsia" w:ascii="宋体" w:hAnsi="宋体"/>
                <w:bCs/>
                <w:szCs w:val="21"/>
                <w:highlight w:val="none"/>
              </w:rPr>
            </w:pPr>
            <w:r>
              <w:rPr>
                <w:rFonts w:hint="eastAsia" w:ascii="楷体" w:hAnsi="楷体" w:eastAsia="楷体"/>
                <w:color w:val="000000"/>
                <w:szCs w:val="21"/>
                <w:highlight w:val="none"/>
              </w:rPr>
              <w:t>本项目不适用</w:t>
            </w:r>
          </w:p>
        </w:tc>
      </w:tr>
      <w:tr w14:paraId="4E5A4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Merge w:val="restart"/>
            <w:vAlign w:val="center"/>
          </w:tcPr>
          <w:p w14:paraId="2165801A">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1.10.2</w:t>
            </w:r>
          </w:p>
        </w:tc>
        <w:tc>
          <w:tcPr>
            <w:tcW w:w="821" w:type="pct"/>
            <w:vMerge w:val="restart"/>
            <w:vAlign w:val="center"/>
          </w:tcPr>
          <w:p w14:paraId="4DF0213D">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投标人</w:t>
            </w:r>
            <w:r>
              <w:rPr>
                <w:rFonts w:hint="eastAsia" w:ascii="宋体" w:hAnsi="宋体"/>
                <w:bCs/>
                <w:szCs w:val="21"/>
                <w:highlight w:val="none"/>
              </w:rPr>
              <w:t>在投标预备会提出问题</w:t>
            </w:r>
          </w:p>
        </w:tc>
        <w:tc>
          <w:tcPr>
            <w:tcW w:w="3684" w:type="pct"/>
            <w:vAlign w:val="center"/>
          </w:tcPr>
          <w:p w14:paraId="1037F90E">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时间：/</w:t>
            </w:r>
          </w:p>
        </w:tc>
      </w:tr>
      <w:tr w14:paraId="3D26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Merge w:val="continue"/>
            <w:vAlign w:val="center"/>
          </w:tcPr>
          <w:p w14:paraId="77F0DEB7">
            <w:pPr>
              <w:adjustRightInd w:val="0"/>
              <w:snapToGrid w:val="0"/>
              <w:spacing w:line="340" w:lineRule="exact"/>
              <w:jc w:val="center"/>
              <w:rPr>
                <w:rFonts w:hint="eastAsia" w:ascii="宋体" w:hAnsi="宋体"/>
                <w:bCs/>
                <w:szCs w:val="21"/>
                <w:highlight w:val="none"/>
              </w:rPr>
            </w:pPr>
          </w:p>
        </w:tc>
        <w:tc>
          <w:tcPr>
            <w:tcW w:w="821" w:type="pct"/>
            <w:vMerge w:val="continue"/>
            <w:vAlign w:val="center"/>
          </w:tcPr>
          <w:p w14:paraId="6E9CFD53">
            <w:pPr>
              <w:adjustRightInd w:val="0"/>
              <w:snapToGrid w:val="0"/>
              <w:spacing w:line="340" w:lineRule="exact"/>
              <w:jc w:val="center"/>
              <w:rPr>
                <w:rFonts w:hint="eastAsia" w:ascii="宋体" w:hAnsi="宋体"/>
                <w:bCs/>
                <w:szCs w:val="21"/>
                <w:highlight w:val="none"/>
              </w:rPr>
            </w:pPr>
          </w:p>
        </w:tc>
        <w:tc>
          <w:tcPr>
            <w:tcW w:w="3684" w:type="pct"/>
            <w:vAlign w:val="center"/>
          </w:tcPr>
          <w:p w14:paraId="17AF5A42">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形式：/</w:t>
            </w:r>
          </w:p>
        </w:tc>
      </w:tr>
      <w:tr w14:paraId="52968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00AEBAE3">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1</w:t>
            </w:r>
            <w:r>
              <w:rPr>
                <w:rFonts w:hint="eastAsia" w:ascii="宋体" w:hAnsi="宋体"/>
                <w:bCs/>
                <w:szCs w:val="21"/>
                <w:highlight w:val="none"/>
              </w:rPr>
              <w:t>.</w:t>
            </w:r>
            <w:r>
              <w:rPr>
                <w:rFonts w:ascii="宋体" w:hAnsi="宋体"/>
                <w:bCs/>
                <w:szCs w:val="21"/>
                <w:highlight w:val="none"/>
              </w:rPr>
              <w:t>11</w:t>
            </w:r>
            <w:r>
              <w:rPr>
                <w:rFonts w:hint="eastAsia" w:ascii="宋体" w:hAnsi="宋体"/>
                <w:bCs/>
                <w:szCs w:val="21"/>
                <w:highlight w:val="none"/>
              </w:rPr>
              <w:t>.1</w:t>
            </w:r>
          </w:p>
        </w:tc>
        <w:tc>
          <w:tcPr>
            <w:tcW w:w="821" w:type="pct"/>
            <w:vAlign w:val="center"/>
          </w:tcPr>
          <w:p w14:paraId="4A443EB3">
            <w:pPr>
              <w:adjustRightInd w:val="0"/>
              <w:snapToGrid w:val="0"/>
              <w:spacing w:line="340" w:lineRule="exact"/>
              <w:jc w:val="center"/>
              <w:rPr>
                <w:rFonts w:hint="eastAsia" w:ascii="宋体" w:hAnsi="宋体"/>
                <w:bCs/>
                <w:szCs w:val="21"/>
                <w:highlight w:val="none"/>
              </w:rPr>
            </w:pPr>
            <w:r>
              <w:rPr>
                <w:rFonts w:hint="eastAsia" w:ascii="宋体" w:hAnsi="宋体" w:cs="宋体"/>
                <w:bCs/>
                <w:szCs w:val="21"/>
                <w:highlight w:val="none"/>
              </w:rPr>
              <w:t>分包</w:t>
            </w:r>
          </w:p>
        </w:tc>
        <w:tc>
          <w:tcPr>
            <w:tcW w:w="3684" w:type="pct"/>
            <w:vAlign w:val="center"/>
          </w:tcPr>
          <w:p w14:paraId="0620D325">
            <w:pPr>
              <w:autoSpaceDE w:val="0"/>
              <w:autoSpaceDN w:val="0"/>
              <w:adjustRightInd w:val="0"/>
              <w:spacing w:line="360" w:lineRule="exact"/>
              <w:rPr>
                <w:rFonts w:hint="eastAsia" w:ascii="宋体" w:hAnsi="宋体"/>
                <w:bCs/>
                <w:kern w:val="0"/>
                <w:szCs w:val="21"/>
                <w:highlight w:val="none"/>
              </w:rPr>
            </w:pPr>
            <w:r>
              <w:rPr>
                <w:rFonts w:hint="eastAsia" w:ascii="宋体" w:hAnsi="宋体"/>
                <w:bCs/>
                <w:kern w:val="0"/>
                <w:szCs w:val="21"/>
                <w:highlight w:val="none"/>
                <w:lang w:val="zh-CN"/>
              </w:rPr>
              <w:t>允许</w:t>
            </w:r>
          </w:p>
          <w:p w14:paraId="372647A0">
            <w:pPr>
              <w:autoSpaceDE w:val="0"/>
              <w:autoSpaceDN w:val="0"/>
              <w:adjustRightInd w:val="0"/>
              <w:snapToGrid w:val="0"/>
              <w:spacing w:line="340" w:lineRule="exact"/>
              <w:ind w:firstLine="420" w:firstLineChars="200"/>
              <w:rPr>
                <w:rFonts w:hint="eastAsia" w:ascii="宋体" w:hAnsi="宋体"/>
                <w:bCs/>
                <w:kern w:val="0"/>
                <w:szCs w:val="21"/>
                <w:highlight w:val="none"/>
              </w:rPr>
            </w:pPr>
            <w:r>
              <w:rPr>
                <w:rFonts w:ascii="宋体" w:hAnsi="宋体" w:cs="楷体"/>
                <w:szCs w:val="21"/>
                <w:highlight w:val="none"/>
                <w:shd w:val="clear" w:fill="FFFFFF" w:themeFill="background1"/>
              </w:rPr>
              <w:t>依照《公路工程施工分包管理办法》（交公路规〔2024〕2 号）、《公路工程施工分包负面清单（2024 年版）》（交办公路〔2024〕6 号）等现行有关法律、行政法规规章及地方性法规的规定执行。</w:t>
            </w:r>
          </w:p>
        </w:tc>
      </w:tr>
      <w:tr w14:paraId="36C4F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78" w:hRule="atLeast"/>
          <w:jc w:val="center"/>
        </w:trPr>
        <w:tc>
          <w:tcPr>
            <w:tcW w:w="495" w:type="pct"/>
            <w:vAlign w:val="center"/>
          </w:tcPr>
          <w:p w14:paraId="73EAC31A">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2.1</w:t>
            </w:r>
          </w:p>
        </w:tc>
        <w:tc>
          <w:tcPr>
            <w:tcW w:w="821" w:type="pct"/>
            <w:vAlign w:val="center"/>
          </w:tcPr>
          <w:p w14:paraId="104BBB61">
            <w:pPr>
              <w:adjustRightInd w:val="0"/>
              <w:snapToGrid w:val="0"/>
              <w:spacing w:line="340" w:lineRule="exact"/>
              <w:jc w:val="center"/>
              <w:rPr>
                <w:rFonts w:ascii="Times New Roman" w:hAnsi="Times New Roman"/>
                <w:bCs/>
                <w:szCs w:val="21"/>
                <w:highlight w:val="none"/>
              </w:rPr>
            </w:pPr>
            <w:r>
              <w:rPr>
                <w:rFonts w:ascii="Times New Roman" w:hAnsi="宋体"/>
                <w:bCs/>
                <w:szCs w:val="21"/>
                <w:highlight w:val="none"/>
              </w:rPr>
              <w:t>构成招标文件的其他材料</w:t>
            </w:r>
          </w:p>
        </w:tc>
        <w:tc>
          <w:tcPr>
            <w:tcW w:w="3684" w:type="pct"/>
            <w:vAlign w:val="center"/>
          </w:tcPr>
          <w:p w14:paraId="59C0CC79">
            <w:pPr>
              <w:spacing w:line="340" w:lineRule="exact"/>
              <w:ind w:firstLine="420" w:firstLineChars="200"/>
              <w:rPr>
                <w:rFonts w:hint="eastAsia" w:ascii="宋体" w:hAnsi="宋体"/>
                <w:bCs/>
                <w:szCs w:val="21"/>
                <w:highlight w:val="none"/>
              </w:rPr>
            </w:pPr>
            <w:r>
              <w:rPr>
                <w:rFonts w:hint="eastAsia" w:ascii="宋体" w:hAnsi="宋体"/>
                <w:bCs/>
                <w:szCs w:val="21"/>
                <w:highlight w:val="none"/>
              </w:rPr>
              <w:t>施工图设计图纸（PDF 版）列在网盘（请注意区分大小写）中，请投标人自行下载。</w:t>
            </w:r>
          </w:p>
          <w:p w14:paraId="27751805">
            <w:pPr>
              <w:kinsoku w:val="0"/>
              <w:spacing w:line="340" w:lineRule="exact"/>
              <w:ind w:firstLine="420" w:firstLineChars="200"/>
              <w:rPr>
                <w:rFonts w:hint="eastAsia" w:ascii="宋体" w:hAnsi="宋体"/>
                <w:bCs/>
                <w:szCs w:val="21"/>
                <w:highlight w:val="none"/>
              </w:rPr>
            </w:pPr>
            <w:r>
              <w:rPr>
                <w:rFonts w:hint="eastAsia" w:ascii="黑体" w:hAnsi="黑体" w:eastAsia="黑体"/>
                <w:bCs/>
                <w:szCs w:val="21"/>
                <w:highlight w:val="none"/>
              </w:rPr>
              <w:t>延边州普通国省干线公路水毁恢复重建工程及灾害防治工程</w:t>
            </w:r>
          </w:p>
          <w:p w14:paraId="346C1F4A">
            <w:pPr>
              <w:autoSpaceDE w:val="0"/>
              <w:autoSpaceDN w:val="0"/>
              <w:adjustRightInd w:val="0"/>
              <w:snapToGrid w:val="0"/>
              <w:spacing w:line="340" w:lineRule="exact"/>
              <w:ind w:firstLine="420" w:firstLineChars="200"/>
              <w:jc w:val="left"/>
              <w:rPr>
                <w:rFonts w:hint="eastAsia" w:ascii="黑体" w:hAnsi="黑体" w:eastAsia="黑体"/>
                <w:bCs/>
                <w:iCs/>
                <w:szCs w:val="21"/>
                <w:highlight w:val="none"/>
              </w:rPr>
            </w:pPr>
            <w:r>
              <w:rPr>
                <w:rFonts w:hint="eastAsia" w:ascii="黑体" w:hAnsi="黑体" w:eastAsia="黑体"/>
                <w:bCs/>
                <w:iCs/>
                <w:szCs w:val="21"/>
                <w:highlight w:val="none"/>
              </w:rPr>
              <w:t xml:space="preserve">https://pan.baidu.com/s/14R1v_hMkeiqyjNHZiFZGQg </w:t>
            </w:r>
          </w:p>
          <w:p w14:paraId="220D6F78">
            <w:pPr>
              <w:autoSpaceDE w:val="0"/>
              <w:autoSpaceDN w:val="0"/>
              <w:adjustRightInd w:val="0"/>
              <w:snapToGrid w:val="0"/>
              <w:spacing w:line="340" w:lineRule="exact"/>
              <w:ind w:firstLine="420" w:firstLineChars="200"/>
              <w:jc w:val="left"/>
              <w:rPr>
                <w:rFonts w:hint="eastAsia" w:ascii="宋体" w:hAnsi="宋体"/>
                <w:szCs w:val="21"/>
                <w:highlight w:val="none"/>
              </w:rPr>
            </w:pPr>
            <w:r>
              <w:rPr>
                <w:rFonts w:hint="eastAsia" w:ascii="黑体" w:hAnsi="黑体" w:eastAsia="黑体"/>
                <w:bCs/>
                <w:iCs/>
                <w:szCs w:val="21"/>
                <w:highlight w:val="none"/>
              </w:rPr>
              <w:t>提取码: jlwb</w:t>
            </w:r>
          </w:p>
          <w:p w14:paraId="44602053">
            <w:pPr>
              <w:adjustRightInd w:val="0"/>
              <w:snapToGrid w:val="0"/>
              <w:spacing w:line="340" w:lineRule="exact"/>
              <w:rPr>
                <w:rFonts w:hint="eastAsia" w:ascii="宋体" w:hAnsi="宋体"/>
                <w:bCs/>
                <w:szCs w:val="21"/>
                <w:highlight w:val="none"/>
              </w:rPr>
            </w:pPr>
            <w:r>
              <w:rPr>
                <w:rFonts w:ascii="宋体" w:hAnsi="宋体"/>
                <w:bCs/>
                <w:szCs w:val="21"/>
                <w:highlight w:val="none"/>
              </w:rPr>
              <w:drawing>
                <wp:anchor distT="0" distB="0" distL="114300" distR="114300" simplePos="0" relativeHeight="251659264" behindDoc="0" locked="0" layoutInCell="1" allowOverlap="1">
                  <wp:simplePos x="0" y="0"/>
                  <wp:positionH relativeFrom="column">
                    <wp:posOffset>1901825</wp:posOffset>
                  </wp:positionH>
                  <wp:positionV relativeFrom="paragraph">
                    <wp:posOffset>300990</wp:posOffset>
                  </wp:positionV>
                  <wp:extent cx="731520" cy="731520"/>
                  <wp:effectExtent l="0" t="0" r="0" b="0"/>
                  <wp:wrapSquare wrapText="bothSides"/>
                  <wp:docPr id="19685919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591954"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31520" cy="731520"/>
                          </a:xfrm>
                          <a:prstGeom prst="rect">
                            <a:avLst/>
                          </a:prstGeom>
                          <a:noFill/>
                          <a:ln>
                            <a:noFill/>
                          </a:ln>
                        </pic:spPr>
                      </pic:pic>
                    </a:graphicData>
                  </a:graphic>
                </wp:anchor>
              </w:drawing>
            </w:r>
          </w:p>
        </w:tc>
      </w:tr>
      <w:tr w14:paraId="7B291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Merge w:val="restart"/>
            <w:vAlign w:val="center"/>
          </w:tcPr>
          <w:p w14:paraId="3C571B2D">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2.2.1</w:t>
            </w:r>
          </w:p>
        </w:tc>
        <w:tc>
          <w:tcPr>
            <w:tcW w:w="821" w:type="pct"/>
            <w:vMerge w:val="restart"/>
            <w:vAlign w:val="center"/>
          </w:tcPr>
          <w:p w14:paraId="74BA6F5A">
            <w:pPr>
              <w:adjustRightInd w:val="0"/>
              <w:snapToGrid w:val="0"/>
              <w:spacing w:line="340" w:lineRule="exact"/>
              <w:jc w:val="center"/>
              <w:rPr>
                <w:rFonts w:ascii="Times New Roman" w:hAnsi="Times New Roman"/>
                <w:bCs/>
                <w:szCs w:val="21"/>
                <w:highlight w:val="none"/>
              </w:rPr>
            </w:pPr>
            <w:r>
              <w:rPr>
                <w:rFonts w:ascii="Times New Roman" w:hAnsi="宋体"/>
                <w:bCs/>
                <w:szCs w:val="21"/>
                <w:highlight w:val="none"/>
              </w:rPr>
              <w:t>投标人要求澄清招标文件</w:t>
            </w:r>
          </w:p>
        </w:tc>
        <w:tc>
          <w:tcPr>
            <w:tcW w:w="3684" w:type="pct"/>
            <w:vAlign w:val="center"/>
          </w:tcPr>
          <w:p w14:paraId="2F4EC004">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时间：递交投标文件截止之日10天前</w:t>
            </w:r>
          </w:p>
        </w:tc>
      </w:tr>
      <w:tr w14:paraId="2CD47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Merge w:val="continue"/>
            <w:vAlign w:val="center"/>
          </w:tcPr>
          <w:p w14:paraId="727FC582">
            <w:pPr>
              <w:adjustRightInd w:val="0"/>
              <w:snapToGrid w:val="0"/>
              <w:spacing w:line="340" w:lineRule="exact"/>
              <w:jc w:val="center"/>
              <w:rPr>
                <w:rFonts w:hint="eastAsia" w:ascii="宋体" w:hAnsi="宋体"/>
                <w:bCs/>
                <w:szCs w:val="21"/>
                <w:highlight w:val="none"/>
              </w:rPr>
            </w:pPr>
          </w:p>
        </w:tc>
        <w:tc>
          <w:tcPr>
            <w:tcW w:w="821" w:type="pct"/>
            <w:vMerge w:val="continue"/>
            <w:vAlign w:val="center"/>
          </w:tcPr>
          <w:p w14:paraId="2AC8FA26">
            <w:pPr>
              <w:adjustRightInd w:val="0"/>
              <w:snapToGrid w:val="0"/>
              <w:spacing w:line="340" w:lineRule="exact"/>
              <w:jc w:val="center"/>
              <w:rPr>
                <w:rFonts w:hint="eastAsia" w:ascii="Times New Roman" w:hAnsi="宋体"/>
                <w:bCs/>
                <w:szCs w:val="21"/>
                <w:highlight w:val="none"/>
              </w:rPr>
            </w:pPr>
          </w:p>
        </w:tc>
        <w:tc>
          <w:tcPr>
            <w:tcW w:w="3684" w:type="pct"/>
            <w:vAlign w:val="center"/>
          </w:tcPr>
          <w:p w14:paraId="7B314943">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形式：</w:t>
            </w:r>
            <w:r>
              <w:rPr>
                <w:rFonts w:hint="eastAsia"/>
                <w:bCs/>
                <w:szCs w:val="21"/>
                <w:highlight w:val="none"/>
              </w:rPr>
              <w:t>使用 CA 数字证书登录“电子交易平台”，在“投标答疑”菜单以书面形式要求招标人对招标文件予以澄清</w:t>
            </w:r>
          </w:p>
        </w:tc>
      </w:tr>
      <w:tr w14:paraId="4FF2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6E046250">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2.2.2</w:t>
            </w:r>
          </w:p>
        </w:tc>
        <w:tc>
          <w:tcPr>
            <w:tcW w:w="821" w:type="pct"/>
            <w:vAlign w:val="center"/>
          </w:tcPr>
          <w:p w14:paraId="393C806A">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招标文件澄清发出的形式</w:t>
            </w:r>
          </w:p>
        </w:tc>
        <w:tc>
          <w:tcPr>
            <w:tcW w:w="3684" w:type="pct"/>
            <w:vAlign w:val="center"/>
          </w:tcPr>
          <w:p w14:paraId="611724F8">
            <w:pPr>
              <w:adjustRightInd w:val="0"/>
              <w:snapToGrid w:val="0"/>
              <w:spacing w:line="340" w:lineRule="exact"/>
              <w:ind w:firstLine="210" w:firstLineChars="100"/>
              <w:jc w:val="left"/>
              <w:rPr>
                <w:rFonts w:hint="eastAsia" w:ascii="宋体" w:hAnsi="宋体" w:cs="Consolas"/>
                <w:bCs/>
                <w:iCs/>
                <w:szCs w:val="21"/>
                <w:highlight w:val="none"/>
              </w:rPr>
            </w:pPr>
            <w:r>
              <w:rPr>
                <w:rFonts w:hint="eastAsia" w:ascii="宋体" w:hAnsi="宋体"/>
                <w:bCs/>
                <w:iCs/>
                <w:szCs w:val="21"/>
                <w:highlight w:val="none"/>
              </w:rPr>
              <w:t>通过“电子交易平台”发出招标文件澄清</w:t>
            </w:r>
          </w:p>
        </w:tc>
      </w:tr>
      <w:tr w14:paraId="310CA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163695DE">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2.3.</w:t>
            </w:r>
            <w:r>
              <w:rPr>
                <w:rFonts w:hint="eastAsia" w:ascii="宋体" w:hAnsi="宋体"/>
                <w:bCs/>
                <w:szCs w:val="21"/>
                <w:highlight w:val="none"/>
              </w:rPr>
              <w:t>1</w:t>
            </w:r>
          </w:p>
        </w:tc>
        <w:tc>
          <w:tcPr>
            <w:tcW w:w="821" w:type="pct"/>
            <w:vAlign w:val="center"/>
          </w:tcPr>
          <w:p w14:paraId="47203213">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招标文件修改发出的形式</w:t>
            </w:r>
          </w:p>
        </w:tc>
        <w:tc>
          <w:tcPr>
            <w:tcW w:w="3684" w:type="pct"/>
            <w:vAlign w:val="center"/>
          </w:tcPr>
          <w:p w14:paraId="392DE73B">
            <w:pPr>
              <w:adjustRightInd w:val="0"/>
              <w:snapToGrid w:val="0"/>
              <w:spacing w:line="340" w:lineRule="exact"/>
              <w:ind w:firstLine="210" w:firstLineChars="100"/>
              <w:rPr>
                <w:rFonts w:ascii="Consolas" w:hAnsi="Consolas" w:cs="Consolas"/>
                <w:bCs/>
                <w:i/>
                <w:szCs w:val="21"/>
                <w:highlight w:val="none"/>
              </w:rPr>
            </w:pPr>
            <w:r>
              <w:rPr>
                <w:rFonts w:hint="eastAsia" w:ascii="宋体" w:hAnsi="宋体"/>
                <w:bCs/>
                <w:iCs/>
                <w:szCs w:val="21"/>
                <w:highlight w:val="none"/>
              </w:rPr>
              <w:t>通过“电子交易平台”发出招标文件修改</w:t>
            </w:r>
          </w:p>
        </w:tc>
      </w:tr>
      <w:tr w14:paraId="59FD6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Merge w:val="restart"/>
            <w:vAlign w:val="center"/>
          </w:tcPr>
          <w:p w14:paraId="4D130CBF">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2.3.2</w:t>
            </w:r>
          </w:p>
        </w:tc>
        <w:tc>
          <w:tcPr>
            <w:tcW w:w="821" w:type="pct"/>
            <w:vMerge w:val="restart"/>
            <w:vAlign w:val="center"/>
          </w:tcPr>
          <w:p w14:paraId="6EDCD7B2">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投标人确认收到招标文件</w:t>
            </w:r>
            <w:r>
              <w:rPr>
                <w:rFonts w:hint="eastAsia" w:ascii="宋体" w:hAnsi="宋体"/>
                <w:bCs/>
                <w:szCs w:val="21"/>
                <w:highlight w:val="none"/>
              </w:rPr>
              <w:t>修改</w:t>
            </w:r>
          </w:p>
        </w:tc>
        <w:tc>
          <w:tcPr>
            <w:tcW w:w="3684" w:type="pct"/>
            <w:vAlign w:val="center"/>
          </w:tcPr>
          <w:p w14:paraId="294BBF7A">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时间：收到修改后24小时内（以发出时间为准）</w:t>
            </w:r>
          </w:p>
        </w:tc>
      </w:tr>
      <w:tr w14:paraId="50129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Merge w:val="continue"/>
            <w:vAlign w:val="center"/>
          </w:tcPr>
          <w:p w14:paraId="6AB9EC4B">
            <w:pPr>
              <w:adjustRightInd w:val="0"/>
              <w:snapToGrid w:val="0"/>
              <w:spacing w:line="340" w:lineRule="exact"/>
              <w:jc w:val="center"/>
              <w:rPr>
                <w:rFonts w:hint="eastAsia" w:ascii="宋体" w:hAnsi="宋体"/>
                <w:bCs/>
                <w:szCs w:val="21"/>
                <w:highlight w:val="none"/>
              </w:rPr>
            </w:pPr>
          </w:p>
        </w:tc>
        <w:tc>
          <w:tcPr>
            <w:tcW w:w="821" w:type="pct"/>
            <w:vMerge w:val="continue"/>
            <w:vAlign w:val="center"/>
          </w:tcPr>
          <w:p w14:paraId="79AAE61D">
            <w:pPr>
              <w:adjustRightInd w:val="0"/>
              <w:snapToGrid w:val="0"/>
              <w:spacing w:line="340" w:lineRule="exact"/>
              <w:jc w:val="center"/>
              <w:rPr>
                <w:rFonts w:hint="eastAsia" w:ascii="宋体" w:hAnsi="宋体"/>
                <w:bCs/>
                <w:szCs w:val="21"/>
                <w:highlight w:val="none"/>
              </w:rPr>
            </w:pPr>
          </w:p>
        </w:tc>
        <w:tc>
          <w:tcPr>
            <w:tcW w:w="3684" w:type="pct"/>
            <w:vAlign w:val="center"/>
          </w:tcPr>
          <w:p w14:paraId="2C4AE3D1">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形式：通过“电子交易平台”确认</w:t>
            </w:r>
          </w:p>
        </w:tc>
      </w:tr>
      <w:tr w14:paraId="2A0B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74461E88">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3.1</w:t>
            </w:r>
            <w:r>
              <w:rPr>
                <w:rFonts w:hint="eastAsia" w:ascii="宋体" w:hAnsi="宋体"/>
                <w:bCs/>
                <w:szCs w:val="21"/>
                <w:highlight w:val="none"/>
              </w:rPr>
              <w:t>.1</w:t>
            </w:r>
          </w:p>
        </w:tc>
        <w:tc>
          <w:tcPr>
            <w:tcW w:w="821" w:type="pct"/>
            <w:vAlign w:val="center"/>
          </w:tcPr>
          <w:p w14:paraId="410E2D62">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投标文件</w:t>
            </w:r>
            <w:r>
              <w:rPr>
                <w:rFonts w:ascii="宋体" w:hAnsi="宋体"/>
                <w:bCs/>
                <w:szCs w:val="21"/>
                <w:highlight w:val="none"/>
              </w:rPr>
              <w:br w:type="textWrapping"/>
            </w:r>
            <w:r>
              <w:rPr>
                <w:rFonts w:hint="eastAsia" w:ascii="宋体" w:hAnsi="宋体"/>
                <w:bCs/>
                <w:szCs w:val="21"/>
                <w:highlight w:val="none"/>
              </w:rPr>
              <w:t>密封形式</w:t>
            </w:r>
          </w:p>
        </w:tc>
        <w:tc>
          <w:tcPr>
            <w:tcW w:w="3684" w:type="pct"/>
            <w:vAlign w:val="center"/>
          </w:tcPr>
          <w:p w14:paraId="57EFEAAE">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双信封</w:t>
            </w:r>
          </w:p>
        </w:tc>
      </w:tr>
      <w:tr w14:paraId="267A5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04EB4493">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3.1.1</w:t>
            </w:r>
          </w:p>
        </w:tc>
        <w:tc>
          <w:tcPr>
            <w:tcW w:w="821" w:type="pct"/>
            <w:vAlign w:val="center"/>
          </w:tcPr>
          <w:p w14:paraId="50B2661C">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构成投标文件的其他</w:t>
            </w:r>
            <w:r>
              <w:rPr>
                <w:rFonts w:hint="eastAsia" w:ascii="宋体" w:hAnsi="宋体"/>
                <w:bCs/>
                <w:szCs w:val="21"/>
                <w:highlight w:val="none"/>
              </w:rPr>
              <w:t>资料</w:t>
            </w:r>
          </w:p>
        </w:tc>
        <w:tc>
          <w:tcPr>
            <w:tcW w:w="3684" w:type="pct"/>
            <w:vAlign w:val="center"/>
          </w:tcPr>
          <w:p w14:paraId="67042E8A">
            <w:pPr>
              <w:adjustRightInd w:val="0"/>
              <w:snapToGrid w:val="0"/>
              <w:spacing w:line="340" w:lineRule="exact"/>
              <w:ind w:firstLine="210" w:firstLineChars="100"/>
              <w:rPr>
                <w:rFonts w:hint="eastAsia" w:ascii="宋体" w:hAnsi="宋体"/>
                <w:bCs/>
                <w:szCs w:val="21"/>
                <w:highlight w:val="none"/>
              </w:rPr>
            </w:pPr>
            <w:r>
              <w:rPr>
                <w:rFonts w:hint="eastAsia" w:ascii="宋体" w:hAnsi="宋体"/>
                <w:szCs w:val="21"/>
                <w:highlight w:val="none"/>
                <w:lang w:val="zh-CN"/>
              </w:rPr>
              <w:t>详见第九章“投标文件格式”</w:t>
            </w:r>
          </w:p>
        </w:tc>
      </w:tr>
      <w:tr w14:paraId="3420A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3DDB8645">
            <w:pPr>
              <w:adjustRightInd w:val="0"/>
              <w:snapToGrid w:val="0"/>
              <w:spacing w:line="340" w:lineRule="exact"/>
              <w:jc w:val="center"/>
              <w:rPr>
                <w:rFonts w:hint="eastAsia" w:ascii="宋体" w:hAnsi="宋体"/>
                <w:bCs/>
                <w:szCs w:val="21"/>
                <w:highlight w:val="none"/>
              </w:rPr>
            </w:pPr>
            <w:bookmarkStart w:id="73" w:name="OLE_LINK134"/>
            <w:r>
              <w:rPr>
                <w:rFonts w:hint="eastAsia" w:ascii="宋体" w:hAnsi="宋体"/>
                <w:bCs/>
                <w:szCs w:val="21"/>
                <w:highlight w:val="none"/>
              </w:rPr>
              <w:t>3.2.1</w:t>
            </w:r>
            <w:bookmarkEnd w:id="73"/>
          </w:p>
        </w:tc>
        <w:tc>
          <w:tcPr>
            <w:tcW w:w="821" w:type="pct"/>
            <w:vAlign w:val="center"/>
          </w:tcPr>
          <w:p w14:paraId="29BAED38">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增值税税金</w:t>
            </w:r>
          </w:p>
          <w:p w14:paraId="032B4342">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的计算方法</w:t>
            </w:r>
          </w:p>
        </w:tc>
        <w:tc>
          <w:tcPr>
            <w:tcW w:w="3684" w:type="pct"/>
            <w:vAlign w:val="center"/>
          </w:tcPr>
          <w:p w14:paraId="2DBFDA26">
            <w:pPr>
              <w:adjustRightInd w:val="0"/>
              <w:snapToGrid w:val="0"/>
              <w:spacing w:line="340" w:lineRule="exact"/>
              <w:ind w:firstLine="210" w:firstLineChars="100"/>
              <w:rPr>
                <w:rFonts w:hint="eastAsia" w:ascii="宋体" w:hAnsi="宋体"/>
                <w:bCs/>
                <w:szCs w:val="21"/>
                <w:highlight w:val="none"/>
                <w:lang w:val="zh-CN"/>
              </w:rPr>
            </w:pPr>
            <w:r>
              <w:rPr>
                <w:rFonts w:hint="eastAsia" w:ascii="宋体" w:hAnsi="宋体"/>
                <w:bCs/>
                <w:szCs w:val="21"/>
                <w:highlight w:val="none"/>
                <w:lang w:val="zh-CN"/>
              </w:rPr>
              <w:t>/</w:t>
            </w:r>
          </w:p>
        </w:tc>
      </w:tr>
      <w:tr w14:paraId="02444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64946895">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3.2.1</w:t>
            </w:r>
          </w:p>
        </w:tc>
        <w:tc>
          <w:tcPr>
            <w:tcW w:w="821" w:type="pct"/>
            <w:vAlign w:val="center"/>
          </w:tcPr>
          <w:p w14:paraId="2C7D1537">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工程量清单</w:t>
            </w:r>
            <w:r>
              <w:rPr>
                <w:rFonts w:ascii="宋体" w:hAnsi="宋体"/>
                <w:bCs/>
                <w:szCs w:val="21"/>
                <w:highlight w:val="none"/>
              </w:rPr>
              <w:br w:type="textWrapping"/>
            </w:r>
            <w:r>
              <w:rPr>
                <w:rFonts w:hint="eastAsia" w:ascii="宋体" w:hAnsi="宋体"/>
                <w:bCs/>
                <w:szCs w:val="21"/>
                <w:highlight w:val="none"/>
              </w:rPr>
              <w:t>的填写方式</w:t>
            </w:r>
          </w:p>
        </w:tc>
        <w:tc>
          <w:tcPr>
            <w:tcW w:w="3684" w:type="pct"/>
            <w:vAlign w:val="center"/>
          </w:tcPr>
          <w:p w14:paraId="55A3A6D6">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投标人按照招标人提供的工程量固化清单电子文件填写工程量清单</w:t>
            </w:r>
          </w:p>
        </w:tc>
      </w:tr>
      <w:tr w14:paraId="75F80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0F7E6E00">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3.2.3</w:t>
            </w:r>
          </w:p>
        </w:tc>
        <w:tc>
          <w:tcPr>
            <w:tcW w:w="821" w:type="pct"/>
            <w:vAlign w:val="center"/>
          </w:tcPr>
          <w:p w14:paraId="004EB70B">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报价方式</w:t>
            </w:r>
          </w:p>
        </w:tc>
        <w:tc>
          <w:tcPr>
            <w:tcW w:w="3684" w:type="pct"/>
            <w:vAlign w:val="center"/>
          </w:tcPr>
          <w:p w14:paraId="66D0DE96">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单价</w:t>
            </w:r>
          </w:p>
        </w:tc>
      </w:tr>
      <w:tr w14:paraId="1249F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47119A81">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3.2.6</w:t>
            </w:r>
          </w:p>
        </w:tc>
        <w:tc>
          <w:tcPr>
            <w:tcW w:w="821" w:type="pct"/>
            <w:vAlign w:val="center"/>
          </w:tcPr>
          <w:p w14:paraId="09611C83">
            <w:pPr>
              <w:adjustRightInd w:val="0"/>
              <w:snapToGrid w:val="0"/>
              <w:spacing w:line="340" w:lineRule="exact"/>
              <w:jc w:val="center"/>
              <w:rPr>
                <w:rFonts w:ascii="Times New Roman" w:hAnsi="Times New Roman"/>
                <w:bCs/>
                <w:szCs w:val="21"/>
                <w:highlight w:val="none"/>
              </w:rPr>
            </w:pPr>
            <w:r>
              <w:rPr>
                <w:rFonts w:ascii="Times New Roman" w:hAnsi="宋体"/>
                <w:bCs/>
                <w:szCs w:val="21"/>
                <w:highlight w:val="none"/>
              </w:rPr>
              <w:t>是否接受</w:t>
            </w:r>
          </w:p>
          <w:p w14:paraId="6D8F724D">
            <w:pPr>
              <w:adjustRightInd w:val="0"/>
              <w:snapToGrid w:val="0"/>
              <w:spacing w:line="340" w:lineRule="exact"/>
              <w:jc w:val="center"/>
              <w:rPr>
                <w:rFonts w:ascii="Times New Roman" w:hAnsi="Times New Roman"/>
                <w:bCs/>
                <w:szCs w:val="21"/>
                <w:highlight w:val="none"/>
              </w:rPr>
            </w:pPr>
            <w:r>
              <w:rPr>
                <w:rFonts w:ascii="Times New Roman" w:hAnsi="宋体"/>
                <w:bCs/>
                <w:szCs w:val="21"/>
                <w:highlight w:val="none"/>
              </w:rPr>
              <w:t>调价函</w:t>
            </w:r>
          </w:p>
        </w:tc>
        <w:tc>
          <w:tcPr>
            <w:tcW w:w="3684" w:type="pct"/>
            <w:tcBorders>
              <w:bottom w:val="single" w:color="auto" w:sz="4" w:space="0"/>
            </w:tcBorders>
            <w:vAlign w:val="center"/>
          </w:tcPr>
          <w:p w14:paraId="3320F453">
            <w:pPr>
              <w:pStyle w:val="34"/>
              <w:pBdr>
                <w:bottom w:val="none" w:color="auto" w:sz="0" w:space="0"/>
              </w:pBdr>
              <w:tabs>
                <w:tab w:val="clear" w:pos="4153"/>
                <w:tab w:val="clear" w:pos="8306"/>
              </w:tabs>
              <w:adjustRightInd w:val="0"/>
              <w:spacing w:line="340" w:lineRule="exact"/>
              <w:ind w:firstLine="210" w:firstLineChars="100"/>
              <w:jc w:val="both"/>
              <w:rPr>
                <w:rFonts w:hint="eastAsia" w:ascii="宋体" w:hAnsi="宋体"/>
                <w:bCs/>
                <w:kern w:val="2"/>
                <w:sz w:val="21"/>
                <w:szCs w:val="21"/>
                <w:highlight w:val="none"/>
              </w:rPr>
            </w:pPr>
            <w:r>
              <w:rPr>
                <w:rFonts w:ascii="宋体" w:hAnsi="宋体"/>
                <w:bCs/>
                <w:kern w:val="2"/>
                <w:sz w:val="21"/>
                <w:szCs w:val="21"/>
                <w:highlight w:val="none"/>
              </w:rPr>
              <w:t>否</w:t>
            </w:r>
          </w:p>
        </w:tc>
      </w:tr>
      <w:tr w14:paraId="61326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3A1C30DC">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3.2.8</w:t>
            </w:r>
          </w:p>
        </w:tc>
        <w:tc>
          <w:tcPr>
            <w:tcW w:w="821" w:type="pct"/>
            <w:vAlign w:val="center"/>
          </w:tcPr>
          <w:p w14:paraId="668B32C6">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最高投标限价</w:t>
            </w:r>
          </w:p>
        </w:tc>
        <w:tc>
          <w:tcPr>
            <w:tcW w:w="3684" w:type="pct"/>
            <w:shd w:val="clear" w:color="auto" w:fill="auto"/>
            <w:vAlign w:val="center"/>
          </w:tcPr>
          <w:p w14:paraId="0C1AD2F0">
            <w:pPr>
              <w:widowControl/>
              <w:spacing w:line="340" w:lineRule="exact"/>
              <w:jc w:val="left"/>
              <w:rPr>
                <w:rFonts w:hint="eastAsia" w:ascii="黑体" w:hAnsi="黑体" w:eastAsia="黑体"/>
                <w:szCs w:val="21"/>
                <w:highlight w:val="none"/>
              </w:rPr>
            </w:pPr>
            <w:bookmarkStart w:id="74" w:name="OLE_LINK33"/>
            <w:r>
              <w:rPr>
                <w:rFonts w:hint="eastAsia" w:ascii="黑体" w:hAnsi="黑体" w:eastAsia="黑体"/>
                <w:bCs/>
                <w:szCs w:val="21"/>
                <w:highlight w:val="none"/>
              </w:rPr>
              <w:t>水毁重建YB25SH01标段：最高投标限价17,089,346</w:t>
            </w:r>
            <w:r>
              <w:rPr>
                <w:rFonts w:hint="eastAsia" w:ascii="黑体" w:hAnsi="黑体" w:eastAsia="黑体"/>
                <w:szCs w:val="21"/>
                <w:highlight w:val="none"/>
              </w:rPr>
              <w:t>元（其中含暂列金额0元）</w:t>
            </w:r>
          </w:p>
          <w:p w14:paraId="0527C161">
            <w:pPr>
              <w:widowControl/>
              <w:spacing w:line="340" w:lineRule="exact"/>
              <w:jc w:val="left"/>
              <w:rPr>
                <w:rFonts w:hint="eastAsia" w:ascii="黑体" w:hAnsi="黑体" w:eastAsia="黑体"/>
                <w:bCs/>
                <w:szCs w:val="21"/>
                <w:highlight w:val="none"/>
              </w:rPr>
            </w:pPr>
            <w:bookmarkStart w:id="75" w:name="OLE_LINK57"/>
            <w:r>
              <w:rPr>
                <w:rFonts w:hint="eastAsia" w:ascii="黑体" w:hAnsi="黑体" w:eastAsia="黑体"/>
                <w:bCs/>
                <w:szCs w:val="21"/>
                <w:highlight w:val="none"/>
              </w:rPr>
              <w:t>灾害防治YB25ZH01标段</w:t>
            </w:r>
            <w:bookmarkEnd w:id="75"/>
            <w:r>
              <w:rPr>
                <w:rFonts w:hint="eastAsia" w:ascii="黑体" w:hAnsi="黑体" w:eastAsia="黑体"/>
                <w:bCs/>
                <w:szCs w:val="21"/>
                <w:highlight w:val="none"/>
              </w:rPr>
              <w:t>：最高投标限价</w:t>
            </w:r>
            <w:r>
              <w:rPr>
                <w:rFonts w:hint="eastAsia" w:ascii="黑体" w:hAnsi="黑体" w:eastAsia="黑体"/>
                <w:szCs w:val="21"/>
                <w:highlight w:val="none"/>
              </w:rPr>
              <w:t>6,111,111</w:t>
            </w:r>
            <w:r>
              <w:rPr>
                <w:rFonts w:hint="eastAsia" w:ascii="黑体" w:hAnsi="黑体" w:eastAsia="黑体"/>
                <w:bCs/>
                <w:szCs w:val="21"/>
                <w:highlight w:val="none"/>
              </w:rPr>
              <w:t>元</w:t>
            </w:r>
            <w:r>
              <w:rPr>
                <w:rFonts w:hint="eastAsia" w:ascii="黑体" w:hAnsi="黑体" w:eastAsia="黑体"/>
                <w:szCs w:val="21"/>
                <w:highlight w:val="none"/>
              </w:rPr>
              <w:t>（其中含暂列金额0元）</w:t>
            </w:r>
            <w:bookmarkStart w:id="76" w:name="OLE_LINK36"/>
            <w:r>
              <w:rPr>
                <w:rFonts w:hint="eastAsia" w:ascii="黑体" w:hAnsi="黑体" w:eastAsia="黑体"/>
                <w:szCs w:val="21"/>
                <w:highlight w:val="none"/>
              </w:rPr>
              <w:t xml:space="preserve"> </w:t>
            </w:r>
            <w:bookmarkEnd w:id="74"/>
            <w:bookmarkEnd w:id="76"/>
          </w:p>
        </w:tc>
      </w:tr>
      <w:tr w14:paraId="3AF3C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666033DA">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3.2.9</w:t>
            </w:r>
          </w:p>
        </w:tc>
        <w:tc>
          <w:tcPr>
            <w:tcW w:w="821" w:type="pct"/>
            <w:vAlign w:val="center"/>
          </w:tcPr>
          <w:p w14:paraId="13B2321A">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投标报价的</w:t>
            </w:r>
            <w:r>
              <w:rPr>
                <w:rFonts w:ascii="宋体" w:hAnsi="宋体"/>
                <w:bCs/>
                <w:szCs w:val="21"/>
                <w:highlight w:val="none"/>
              </w:rPr>
              <w:br w:type="textWrapping"/>
            </w:r>
            <w:r>
              <w:rPr>
                <w:rFonts w:hint="eastAsia" w:ascii="宋体" w:hAnsi="宋体"/>
                <w:bCs/>
                <w:szCs w:val="21"/>
                <w:highlight w:val="none"/>
              </w:rPr>
              <w:t>其他要求</w:t>
            </w:r>
          </w:p>
        </w:tc>
        <w:tc>
          <w:tcPr>
            <w:tcW w:w="3684" w:type="pct"/>
            <w:vAlign w:val="center"/>
          </w:tcPr>
          <w:p w14:paraId="124947C0">
            <w:pPr>
              <w:widowControl/>
              <w:spacing w:line="340" w:lineRule="exact"/>
              <w:jc w:val="left"/>
              <w:rPr>
                <w:rFonts w:hint="eastAsia" w:ascii="黑体" w:hAnsi="黑体" w:eastAsia="黑体"/>
                <w:szCs w:val="21"/>
                <w:highlight w:val="none"/>
              </w:rPr>
            </w:pPr>
            <w:bookmarkStart w:id="77" w:name="OLE_LINK38"/>
            <w:r>
              <w:rPr>
                <w:rFonts w:hint="eastAsia" w:ascii="黑体" w:hAnsi="黑体" w:eastAsia="黑体"/>
                <w:bCs/>
                <w:szCs w:val="21"/>
                <w:highlight w:val="none"/>
              </w:rPr>
              <w:t>水毁重建YB25SH01标段：最高投标限价17,089,346</w:t>
            </w:r>
            <w:r>
              <w:rPr>
                <w:rFonts w:hint="eastAsia" w:ascii="黑体" w:hAnsi="黑体" w:eastAsia="黑体"/>
                <w:szCs w:val="21"/>
                <w:highlight w:val="none"/>
              </w:rPr>
              <w:t>元，其中：</w:t>
            </w:r>
          </w:p>
          <w:p w14:paraId="3AF3A3C0">
            <w:pPr>
              <w:adjustRightInd w:val="0"/>
              <w:snapToGrid w:val="0"/>
              <w:spacing w:line="340" w:lineRule="exact"/>
              <w:rPr>
                <w:rFonts w:hint="eastAsia" w:ascii="宋体" w:hAnsi="宋体"/>
                <w:bCs/>
                <w:szCs w:val="21"/>
                <w:highlight w:val="none"/>
              </w:rPr>
            </w:pPr>
            <w:r>
              <w:rPr>
                <w:rFonts w:hint="eastAsia" w:ascii="宋体" w:hAnsi="宋体"/>
                <w:bCs/>
                <w:szCs w:val="21"/>
                <w:highlight w:val="none"/>
              </w:rPr>
              <w:fldChar w:fldCharType="begin"/>
            </w:r>
            <w:r>
              <w:rPr>
                <w:rFonts w:hint="eastAsia" w:ascii="宋体" w:hAnsi="宋体"/>
                <w:bCs/>
                <w:szCs w:val="21"/>
                <w:highlight w:val="none"/>
              </w:rPr>
              <w:instrText xml:space="preserve"> = 1 \* GB3 </w:instrText>
            </w:r>
            <w:r>
              <w:rPr>
                <w:rFonts w:hint="eastAsia" w:ascii="宋体" w:hAnsi="宋体"/>
                <w:bCs/>
                <w:szCs w:val="21"/>
                <w:highlight w:val="none"/>
              </w:rPr>
              <w:fldChar w:fldCharType="separate"/>
            </w:r>
            <w:r>
              <w:rPr>
                <w:rFonts w:hint="eastAsia" w:ascii="宋体" w:hAnsi="宋体"/>
                <w:bCs/>
                <w:szCs w:val="21"/>
                <w:highlight w:val="none"/>
              </w:rPr>
              <w:t>①</w:t>
            </w:r>
            <w:r>
              <w:rPr>
                <w:rFonts w:hint="eastAsia" w:ascii="宋体" w:hAnsi="宋体"/>
                <w:bCs/>
                <w:szCs w:val="21"/>
                <w:highlight w:val="none"/>
              </w:rPr>
              <w:fldChar w:fldCharType="end"/>
            </w:r>
            <w:r>
              <w:rPr>
                <w:rFonts w:hint="eastAsia" w:ascii="宋体" w:hAnsi="宋体"/>
                <w:bCs/>
                <w:szCs w:val="21"/>
                <w:highlight w:val="none"/>
              </w:rPr>
              <w:t>延边州普通国省干线公路2023年水毁恢复重建工程：最高投标限价13,810,642元；</w:t>
            </w:r>
          </w:p>
          <w:p w14:paraId="41236C71">
            <w:pPr>
              <w:widowControl/>
              <w:spacing w:line="340" w:lineRule="exact"/>
              <w:jc w:val="left"/>
              <w:rPr>
                <w:rFonts w:hint="eastAsia" w:ascii="宋体" w:hAnsi="宋体"/>
                <w:szCs w:val="21"/>
                <w:highlight w:val="none"/>
              </w:rPr>
            </w:pPr>
            <w:r>
              <w:rPr>
                <w:rFonts w:hint="eastAsia" w:ascii="宋体" w:hAnsi="宋体" w:cs="微软雅黑"/>
                <w:szCs w:val="21"/>
                <w:highlight w:val="none"/>
              </w:rPr>
              <w:fldChar w:fldCharType="begin"/>
            </w:r>
            <w:r>
              <w:rPr>
                <w:rFonts w:hint="eastAsia" w:ascii="宋体" w:hAnsi="宋体" w:cs="微软雅黑"/>
                <w:szCs w:val="21"/>
                <w:highlight w:val="none"/>
              </w:rPr>
              <w:instrText xml:space="preserve"> = 2 \* GB3 </w:instrText>
            </w:r>
            <w:r>
              <w:rPr>
                <w:rFonts w:hint="eastAsia" w:ascii="宋体" w:hAnsi="宋体" w:cs="微软雅黑"/>
                <w:szCs w:val="21"/>
                <w:highlight w:val="none"/>
              </w:rPr>
              <w:fldChar w:fldCharType="separate"/>
            </w:r>
            <w:r>
              <w:rPr>
                <w:rFonts w:hint="eastAsia" w:ascii="宋体" w:hAnsi="宋体" w:cs="微软雅黑"/>
                <w:szCs w:val="21"/>
                <w:highlight w:val="none"/>
              </w:rPr>
              <w:t>②</w:t>
            </w:r>
            <w:r>
              <w:rPr>
                <w:rFonts w:hint="eastAsia" w:ascii="宋体" w:hAnsi="宋体" w:cs="微软雅黑"/>
                <w:szCs w:val="21"/>
                <w:highlight w:val="none"/>
              </w:rPr>
              <w:fldChar w:fldCharType="end"/>
            </w:r>
            <w:r>
              <w:rPr>
                <w:rFonts w:ascii="宋体" w:hAnsi="宋体" w:cs="微软雅黑"/>
                <w:szCs w:val="21"/>
                <w:highlight w:val="none"/>
              </w:rPr>
              <w:t>延边州普通国省干线公路</w:t>
            </w:r>
            <w:r>
              <w:rPr>
                <w:rFonts w:ascii="宋体" w:hAnsi="宋体"/>
                <w:bCs/>
                <w:szCs w:val="21"/>
                <w:highlight w:val="none"/>
              </w:rPr>
              <w:t>2024年水毁</w:t>
            </w:r>
            <w:r>
              <w:rPr>
                <w:rFonts w:ascii="宋体" w:hAnsi="宋体" w:cs="微软雅黑"/>
                <w:szCs w:val="21"/>
                <w:highlight w:val="none"/>
              </w:rPr>
              <w:t>恢复重建工程</w:t>
            </w:r>
            <w:r>
              <w:rPr>
                <w:rFonts w:hint="eastAsia" w:ascii="宋体" w:hAnsi="宋体" w:cs="微软雅黑"/>
                <w:szCs w:val="21"/>
                <w:highlight w:val="none"/>
              </w:rPr>
              <w:t>：</w:t>
            </w:r>
            <w:r>
              <w:rPr>
                <w:rFonts w:hint="eastAsia" w:ascii="宋体" w:hAnsi="宋体"/>
                <w:bCs/>
                <w:szCs w:val="21"/>
                <w:highlight w:val="none"/>
              </w:rPr>
              <w:t>最高投标限价</w:t>
            </w:r>
            <w:r>
              <w:rPr>
                <w:rFonts w:hint="eastAsia" w:ascii="宋体" w:hAnsi="宋体"/>
                <w:szCs w:val="21"/>
                <w:highlight w:val="none"/>
              </w:rPr>
              <w:t>3,278,704元。</w:t>
            </w:r>
          </w:p>
          <w:p w14:paraId="37C9ED68">
            <w:pPr>
              <w:adjustRightInd w:val="0"/>
              <w:snapToGrid w:val="0"/>
              <w:spacing w:line="340" w:lineRule="exact"/>
              <w:rPr>
                <w:rFonts w:hint="eastAsia" w:ascii="宋体" w:hAnsi="宋体"/>
                <w:szCs w:val="21"/>
                <w:highlight w:val="none"/>
              </w:rPr>
            </w:pPr>
            <w:r>
              <w:rPr>
                <w:rFonts w:hint="eastAsia" w:ascii="黑体" w:hAnsi="黑体" w:eastAsia="黑体"/>
                <w:bCs/>
                <w:szCs w:val="21"/>
                <w:highlight w:val="none"/>
              </w:rPr>
              <w:t>灾害防治YB25ZH01标段：最高投标限价</w:t>
            </w:r>
            <w:r>
              <w:rPr>
                <w:rFonts w:hint="eastAsia" w:ascii="黑体" w:hAnsi="黑体" w:eastAsia="黑体"/>
                <w:szCs w:val="21"/>
                <w:highlight w:val="none"/>
              </w:rPr>
              <w:t>6,111,111</w:t>
            </w:r>
            <w:r>
              <w:rPr>
                <w:rFonts w:hint="eastAsia" w:ascii="黑体" w:hAnsi="黑体" w:eastAsia="黑体"/>
                <w:bCs/>
                <w:szCs w:val="21"/>
                <w:highlight w:val="none"/>
              </w:rPr>
              <w:t>元，其中：</w:t>
            </w:r>
          </w:p>
          <w:p w14:paraId="1CF83B8D">
            <w:pPr>
              <w:adjustRightInd w:val="0"/>
              <w:snapToGrid w:val="0"/>
              <w:spacing w:line="340" w:lineRule="exact"/>
              <w:rPr>
                <w:rFonts w:hint="eastAsia" w:ascii="宋体" w:hAnsi="宋体"/>
                <w:szCs w:val="21"/>
                <w:highlight w:val="none"/>
              </w:rPr>
            </w:pPr>
            <w:r>
              <w:rPr>
                <w:rFonts w:hint="eastAsia" w:ascii="宋体" w:hAnsi="宋体"/>
                <w:bCs/>
                <w:szCs w:val="21"/>
                <w:highlight w:val="none"/>
              </w:rPr>
              <w:fldChar w:fldCharType="begin"/>
            </w:r>
            <w:r>
              <w:rPr>
                <w:rFonts w:hint="eastAsia" w:ascii="宋体" w:hAnsi="宋体"/>
                <w:bCs/>
                <w:szCs w:val="21"/>
                <w:highlight w:val="none"/>
              </w:rPr>
              <w:instrText xml:space="preserve"> = 1 \* GB3 </w:instrText>
            </w:r>
            <w:r>
              <w:rPr>
                <w:rFonts w:hint="eastAsia" w:ascii="宋体" w:hAnsi="宋体"/>
                <w:bCs/>
                <w:szCs w:val="21"/>
                <w:highlight w:val="none"/>
              </w:rPr>
              <w:fldChar w:fldCharType="separate"/>
            </w:r>
            <w:r>
              <w:rPr>
                <w:rFonts w:hint="eastAsia" w:ascii="宋体" w:hAnsi="宋体"/>
                <w:bCs/>
                <w:szCs w:val="21"/>
                <w:highlight w:val="none"/>
              </w:rPr>
              <w:t>①</w:t>
            </w:r>
            <w:r>
              <w:rPr>
                <w:rFonts w:hint="eastAsia" w:ascii="宋体" w:hAnsi="宋体"/>
                <w:bCs/>
                <w:szCs w:val="21"/>
                <w:highlight w:val="none"/>
              </w:rPr>
              <w:fldChar w:fldCharType="end"/>
            </w:r>
            <w:r>
              <w:rPr>
                <w:rFonts w:ascii="宋体" w:hAnsi="宋体" w:cs="仿宋"/>
                <w:spacing w:val="1"/>
                <w:szCs w:val="21"/>
                <w:highlight w:val="none"/>
              </w:rPr>
              <w:t>延边州2024年普通国省干线公路灾害防治工程</w:t>
            </w:r>
            <w:r>
              <w:rPr>
                <w:rFonts w:hint="eastAsia" w:ascii="宋体" w:hAnsi="宋体"/>
                <w:bCs/>
                <w:szCs w:val="21"/>
                <w:highlight w:val="none"/>
              </w:rPr>
              <w:t>：最高投标限价</w:t>
            </w:r>
            <w:r>
              <w:rPr>
                <w:rFonts w:hint="eastAsia" w:ascii="宋体" w:hAnsi="宋体"/>
                <w:szCs w:val="21"/>
                <w:highlight w:val="none"/>
              </w:rPr>
              <w:t>2,661,173</w:t>
            </w:r>
            <w:r>
              <w:rPr>
                <w:rFonts w:hint="eastAsia" w:ascii="宋体" w:hAnsi="宋体"/>
                <w:bCs/>
                <w:szCs w:val="21"/>
                <w:highlight w:val="none"/>
              </w:rPr>
              <w:t>元（</w:t>
            </w:r>
            <w:r>
              <w:rPr>
                <w:rFonts w:hint="eastAsia" w:ascii="宋体" w:hAnsi="宋体" w:cs="宋体"/>
                <w:kern w:val="0"/>
                <w:szCs w:val="21"/>
                <w:highlight w:val="none"/>
              </w:rPr>
              <w:t>鹤大线</w:t>
            </w:r>
            <w:r>
              <w:rPr>
                <w:rFonts w:hint="eastAsia" w:ascii="宋体" w:hAnsi="宋体"/>
                <w:szCs w:val="21"/>
                <w:highlight w:val="none"/>
              </w:rPr>
              <w:t>951,490元，</w:t>
            </w:r>
            <w:r>
              <w:rPr>
                <w:rFonts w:hint="eastAsia" w:ascii="宋体" w:hAnsi="宋体" w:cs="宋体"/>
                <w:kern w:val="0"/>
                <w:szCs w:val="21"/>
                <w:highlight w:val="none"/>
              </w:rPr>
              <w:t>珲阿线</w:t>
            </w:r>
            <w:r>
              <w:rPr>
                <w:rFonts w:hint="eastAsia" w:ascii="宋体" w:hAnsi="宋体"/>
                <w:szCs w:val="21"/>
                <w:highlight w:val="none"/>
              </w:rPr>
              <w:t>178,217元，</w:t>
            </w:r>
            <w:r>
              <w:rPr>
                <w:rFonts w:hint="eastAsia" w:ascii="宋体" w:hAnsi="宋体" w:cs="宋体"/>
                <w:kern w:val="0"/>
                <w:szCs w:val="21"/>
                <w:highlight w:val="none"/>
              </w:rPr>
              <w:t>三莫线</w:t>
            </w:r>
            <w:r>
              <w:rPr>
                <w:rFonts w:hint="eastAsia" w:ascii="宋体" w:hAnsi="宋体"/>
                <w:szCs w:val="21"/>
                <w:highlight w:val="none"/>
              </w:rPr>
              <w:t>1,476,140元，</w:t>
            </w:r>
            <w:r>
              <w:rPr>
                <w:rFonts w:hint="eastAsia" w:ascii="宋体" w:hAnsi="宋体" w:cs="宋体"/>
                <w:kern w:val="0"/>
                <w:szCs w:val="21"/>
                <w:highlight w:val="none"/>
              </w:rPr>
              <w:t>绥东线</w:t>
            </w:r>
            <w:r>
              <w:rPr>
                <w:rFonts w:hint="eastAsia" w:ascii="宋体" w:hAnsi="宋体"/>
                <w:szCs w:val="21"/>
                <w:highlight w:val="none"/>
              </w:rPr>
              <w:t>55,326元）。</w:t>
            </w:r>
            <w:bookmarkStart w:id="78" w:name="OLE_LINK46"/>
          </w:p>
          <w:p w14:paraId="7A114BA3">
            <w:pPr>
              <w:adjustRightInd w:val="0"/>
              <w:snapToGrid w:val="0"/>
              <w:spacing w:line="340" w:lineRule="exact"/>
              <w:rPr>
                <w:rFonts w:hint="eastAsia" w:ascii="宋体" w:hAnsi="宋体"/>
                <w:szCs w:val="21"/>
                <w:highlight w:val="none"/>
              </w:rPr>
            </w:pPr>
            <w:r>
              <w:rPr>
                <w:rFonts w:hint="eastAsia" w:ascii="宋体" w:hAnsi="宋体" w:cs="微软雅黑"/>
                <w:szCs w:val="21"/>
                <w:highlight w:val="none"/>
              </w:rPr>
              <w:fldChar w:fldCharType="begin"/>
            </w:r>
            <w:r>
              <w:rPr>
                <w:rFonts w:hint="eastAsia" w:ascii="宋体" w:hAnsi="宋体" w:cs="微软雅黑"/>
                <w:szCs w:val="21"/>
                <w:highlight w:val="none"/>
              </w:rPr>
              <w:instrText xml:space="preserve"> = 2 \* GB3 </w:instrText>
            </w:r>
            <w:r>
              <w:rPr>
                <w:rFonts w:hint="eastAsia" w:ascii="宋体" w:hAnsi="宋体" w:cs="微软雅黑"/>
                <w:szCs w:val="21"/>
                <w:highlight w:val="none"/>
              </w:rPr>
              <w:fldChar w:fldCharType="separate"/>
            </w:r>
            <w:r>
              <w:rPr>
                <w:rFonts w:hint="eastAsia" w:ascii="宋体" w:hAnsi="宋体" w:cs="微软雅黑"/>
                <w:szCs w:val="21"/>
                <w:highlight w:val="none"/>
              </w:rPr>
              <w:t>②</w:t>
            </w:r>
            <w:r>
              <w:rPr>
                <w:rFonts w:hint="eastAsia" w:ascii="宋体" w:hAnsi="宋体" w:cs="微软雅黑"/>
                <w:szCs w:val="21"/>
                <w:highlight w:val="none"/>
              </w:rPr>
              <w:fldChar w:fldCharType="end"/>
            </w:r>
            <w:r>
              <w:rPr>
                <w:rFonts w:ascii="宋体" w:hAnsi="宋体"/>
                <w:bCs/>
                <w:szCs w:val="21"/>
                <w:highlight w:val="none"/>
              </w:rPr>
              <w:t>延边州2024年国道珲阿、鹤大、丹阿及龙东公路共四段灾害防治工程</w:t>
            </w:r>
            <w:r>
              <w:rPr>
                <w:rFonts w:hint="eastAsia" w:ascii="宋体" w:hAnsi="宋体"/>
                <w:bCs/>
                <w:szCs w:val="21"/>
                <w:highlight w:val="none"/>
              </w:rPr>
              <w:t>：最高投标限价</w:t>
            </w:r>
            <w:r>
              <w:rPr>
                <w:rFonts w:hint="eastAsia" w:ascii="宋体" w:hAnsi="宋体"/>
                <w:szCs w:val="21"/>
                <w:highlight w:val="none"/>
              </w:rPr>
              <w:t>3,449,938</w:t>
            </w:r>
            <w:r>
              <w:rPr>
                <w:rFonts w:hint="eastAsia" w:ascii="宋体" w:hAnsi="宋体"/>
                <w:bCs/>
                <w:szCs w:val="21"/>
                <w:highlight w:val="none"/>
              </w:rPr>
              <w:t>元（</w:t>
            </w:r>
            <w:r>
              <w:rPr>
                <w:rFonts w:hint="eastAsia" w:ascii="宋体" w:hAnsi="宋体" w:cs="宋体"/>
                <w:kern w:val="0"/>
                <w:szCs w:val="21"/>
                <w:highlight w:val="none"/>
              </w:rPr>
              <w:t>鹤大线462,020</w:t>
            </w:r>
            <w:r>
              <w:rPr>
                <w:rFonts w:hint="eastAsia" w:ascii="宋体" w:hAnsi="宋体"/>
                <w:szCs w:val="21"/>
                <w:highlight w:val="none"/>
              </w:rPr>
              <w:t>元，</w:t>
            </w:r>
            <w:r>
              <w:rPr>
                <w:rFonts w:hint="eastAsia" w:ascii="宋体" w:hAnsi="宋体" w:cs="宋体"/>
                <w:kern w:val="0"/>
                <w:szCs w:val="21"/>
                <w:highlight w:val="none"/>
              </w:rPr>
              <w:t>珲阿线1,488,294</w:t>
            </w:r>
            <w:r>
              <w:rPr>
                <w:rFonts w:hint="eastAsia" w:ascii="宋体" w:hAnsi="宋体"/>
                <w:szCs w:val="21"/>
                <w:highlight w:val="none"/>
              </w:rPr>
              <w:t>元，</w:t>
            </w:r>
            <w:r>
              <w:rPr>
                <w:rFonts w:hint="eastAsia" w:ascii="宋体" w:hAnsi="宋体" w:cs="宋体"/>
                <w:kern w:val="0"/>
                <w:szCs w:val="21"/>
                <w:highlight w:val="none"/>
              </w:rPr>
              <w:t>丹阿线1,397,321</w:t>
            </w:r>
            <w:r>
              <w:rPr>
                <w:rFonts w:hint="eastAsia" w:ascii="宋体" w:hAnsi="宋体"/>
                <w:szCs w:val="21"/>
                <w:highlight w:val="none"/>
              </w:rPr>
              <w:t>元，</w:t>
            </w:r>
            <w:r>
              <w:rPr>
                <w:rFonts w:hint="eastAsia" w:ascii="宋体" w:hAnsi="宋体" w:cs="宋体"/>
                <w:kern w:val="0"/>
                <w:szCs w:val="21"/>
                <w:highlight w:val="none"/>
              </w:rPr>
              <w:t>龙东线102,303</w:t>
            </w:r>
            <w:r>
              <w:rPr>
                <w:rFonts w:hint="eastAsia" w:ascii="宋体" w:hAnsi="宋体"/>
                <w:szCs w:val="21"/>
                <w:highlight w:val="none"/>
              </w:rPr>
              <w:t>元）。</w:t>
            </w:r>
          </w:p>
          <w:p w14:paraId="3638C53F">
            <w:pPr>
              <w:adjustRightInd w:val="0"/>
              <w:snapToGrid w:val="0"/>
              <w:spacing w:line="340" w:lineRule="exact"/>
              <w:rPr>
                <w:rFonts w:hint="eastAsia" w:ascii="黑体" w:hAnsi="黑体" w:eastAsia="黑体"/>
                <w:bCs/>
                <w:szCs w:val="21"/>
                <w:highlight w:val="none"/>
              </w:rPr>
            </w:pPr>
            <w:r>
              <w:rPr>
                <w:rFonts w:hint="eastAsia" w:ascii="黑体" w:hAnsi="黑体" w:eastAsia="黑体"/>
                <w:bCs/>
                <w:szCs w:val="21"/>
                <w:highlight w:val="none"/>
              </w:rPr>
              <w:t>各分项、各段落工程量清单报价不得超过相应的最高投标限价。</w:t>
            </w:r>
            <w:bookmarkEnd w:id="77"/>
            <w:bookmarkEnd w:id="78"/>
          </w:p>
        </w:tc>
      </w:tr>
      <w:tr w14:paraId="14439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34E8A6C8">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3.4.</w:t>
            </w:r>
            <w:r>
              <w:rPr>
                <w:rFonts w:hint="eastAsia" w:ascii="宋体" w:hAnsi="宋体"/>
                <w:bCs/>
                <w:szCs w:val="21"/>
                <w:highlight w:val="none"/>
              </w:rPr>
              <w:t>1</w:t>
            </w:r>
          </w:p>
        </w:tc>
        <w:tc>
          <w:tcPr>
            <w:tcW w:w="821" w:type="pct"/>
            <w:vAlign w:val="center"/>
          </w:tcPr>
          <w:p w14:paraId="5C53207E">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投标保证金</w:t>
            </w:r>
          </w:p>
          <w:p w14:paraId="7C1279CE">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的递交</w:t>
            </w:r>
          </w:p>
        </w:tc>
        <w:tc>
          <w:tcPr>
            <w:tcW w:w="3684" w:type="pct"/>
            <w:vAlign w:val="center"/>
          </w:tcPr>
          <w:p w14:paraId="47B8BA98">
            <w:pPr>
              <w:snapToGrid w:val="0"/>
              <w:spacing w:line="340" w:lineRule="exact"/>
              <w:ind w:firstLine="210" w:firstLineChars="100"/>
              <w:rPr>
                <w:rFonts w:hint="eastAsia" w:ascii="宋体" w:hAnsi="宋体"/>
                <w:bCs/>
                <w:szCs w:val="21"/>
                <w:highlight w:val="none"/>
              </w:rPr>
            </w:pPr>
            <w:r>
              <w:rPr>
                <w:rFonts w:hint="eastAsia" w:ascii="宋体" w:hAnsi="宋体"/>
                <w:bCs/>
                <w:kern w:val="0"/>
                <w:szCs w:val="21"/>
                <w:highlight w:val="none"/>
                <w:lang w:val="zh-CN"/>
              </w:rPr>
              <w:t>投标保证金的金额</w:t>
            </w:r>
            <w:r>
              <w:rPr>
                <w:rFonts w:hint="eastAsia" w:ascii="宋体" w:hAnsi="宋体"/>
                <w:bCs/>
                <w:szCs w:val="21"/>
                <w:highlight w:val="none"/>
              </w:rPr>
              <w:t>：</w:t>
            </w:r>
          </w:p>
          <w:p w14:paraId="31362AA9">
            <w:pPr>
              <w:snapToGrid w:val="0"/>
              <w:spacing w:line="340" w:lineRule="exact"/>
              <w:rPr>
                <w:rFonts w:hint="eastAsia" w:ascii="黑体" w:hAnsi="黑体" w:eastAsia="黑体"/>
                <w:bCs/>
                <w:szCs w:val="21"/>
                <w:highlight w:val="none"/>
              </w:rPr>
            </w:pPr>
            <w:r>
              <w:rPr>
                <w:rFonts w:hint="eastAsia" w:ascii="黑体" w:hAnsi="黑体" w:eastAsia="黑体"/>
                <w:bCs/>
                <w:szCs w:val="21"/>
                <w:highlight w:val="none"/>
              </w:rPr>
              <w:t>YB25SH01标段：15万元</w:t>
            </w:r>
          </w:p>
          <w:p w14:paraId="3F1F794B">
            <w:pPr>
              <w:widowControl/>
              <w:spacing w:line="340" w:lineRule="exact"/>
              <w:jc w:val="left"/>
              <w:rPr>
                <w:rFonts w:hint="eastAsia" w:ascii="宋体" w:hAnsi="宋体"/>
                <w:bCs/>
                <w:szCs w:val="21"/>
                <w:highlight w:val="none"/>
              </w:rPr>
            </w:pPr>
            <w:r>
              <w:rPr>
                <w:rFonts w:hint="eastAsia" w:ascii="黑体" w:hAnsi="黑体" w:eastAsia="黑体"/>
                <w:bCs/>
                <w:szCs w:val="21"/>
                <w:highlight w:val="none"/>
              </w:rPr>
              <w:t>YB25ZH01标段：5万元</w:t>
            </w:r>
          </w:p>
          <w:p w14:paraId="7C7AF622">
            <w:pPr>
              <w:adjustRightInd w:val="0"/>
              <w:snapToGrid w:val="0"/>
              <w:spacing w:line="340" w:lineRule="exact"/>
              <w:ind w:left="21" w:leftChars="10" w:firstLine="420" w:firstLineChars="200"/>
              <w:jc w:val="left"/>
              <w:rPr>
                <w:rFonts w:hint="eastAsia" w:ascii="宋体" w:hAnsi="宋体"/>
                <w:bCs/>
                <w:szCs w:val="21"/>
                <w:highlight w:val="none"/>
              </w:rPr>
            </w:pPr>
            <w:r>
              <w:rPr>
                <w:rFonts w:hint="eastAsia" w:ascii="宋体" w:hAnsi="宋体"/>
                <w:bCs/>
                <w:szCs w:val="21"/>
                <w:highlight w:val="none"/>
              </w:rPr>
              <w:t>投标保证金的形式：现金、支票或在吉林省公共资源交易一体化平台开展电子保函担保业务的第三方服务机构提供的电子保函。</w:t>
            </w:r>
          </w:p>
          <w:p w14:paraId="14417CDA">
            <w:pPr>
              <w:adjustRightInd w:val="0"/>
              <w:snapToGrid w:val="0"/>
              <w:spacing w:line="340" w:lineRule="exact"/>
              <w:ind w:left="21" w:leftChars="10" w:firstLine="420" w:firstLineChars="200"/>
              <w:jc w:val="left"/>
              <w:rPr>
                <w:rFonts w:hint="eastAsia" w:ascii="宋体" w:hAnsi="宋体"/>
                <w:bCs/>
                <w:szCs w:val="21"/>
                <w:highlight w:val="none"/>
              </w:rPr>
            </w:pPr>
            <w:r>
              <w:rPr>
                <w:rFonts w:hint="eastAsia" w:ascii="宋体" w:hAnsi="宋体"/>
                <w:bCs/>
                <w:szCs w:val="21"/>
                <w:highlight w:val="none"/>
              </w:rPr>
              <w:fldChar w:fldCharType="begin"/>
            </w:r>
            <w:r>
              <w:rPr>
                <w:rFonts w:hint="eastAsia" w:ascii="宋体" w:hAnsi="宋体"/>
                <w:bCs/>
                <w:szCs w:val="21"/>
                <w:highlight w:val="none"/>
              </w:rPr>
              <w:instrText xml:space="preserve"> = 1 \* GB3 </w:instrText>
            </w:r>
            <w:r>
              <w:rPr>
                <w:rFonts w:hint="eastAsia" w:ascii="宋体" w:hAnsi="宋体"/>
                <w:bCs/>
                <w:szCs w:val="21"/>
                <w:highlight w:val="none"/>
              </w:rPr>
              <w:fldChar w:fldCharType="separate"/>
            </w:r>
            <w:r>
              <w:rPr>
                <w:rFonts w:hint="eastAsia" w:ascii="宋体" w:hAnsi="宋体"/>
                <w:bCs/>
                <w:szCs w:val="21"/>
                <w:highlight w:val="none"/>
              </w:rPr>
              <w:t>①</w:t>
            </w:r>
            <w:r>
              <w:rPr>
                <w:rFonts w:hint="eastAsia" w:ascii="宋体" w:hAnsi="宋体"/>
                <w:bCs/>
                <w:szCs w:val="21"/>
                <w:highlight w:val="none"/>
              </w:rPr>
              <w:fldChar w:fldCharType="end"/>
            </w:r>
            <w:r>
              <w:rPr>
                <w:rFonts w:hint="eastAsia" w:ascii="宋体" w:hAnsi="宋体"/>
                <w:bCs/>
                <w:szCs w:val="21"/>
                <w:highlight w:val="none"/>
              </w:rPr>
              <w:t>采用现金或支票形式的：应由投标人的基本账户一次性汇入招标人指定账户。投标人应保证上述款项在投标截止时间前到达招标人指定账户，否则视为投标保证金无效。</w:t>
            </w:r>
          </w:p>
          <w:p w14:paraId="2F5F6C78">
            <w:pPr>
              <w:adjustRightInd w:val="0"/>
              <w:snapToGrid w:val="0"/>
              <w:spacing w:line="340" w:lineRule="exact"/>
              <w:ind w:left="21" w:leftChars="10" w:firstLine="420" w:firstLineChars="200"/>
              <w:jc w:val="left"/>
              <w:rPr>
                <w:rFonts w:hint="eastAsia" w:ascii="宋体" w:hAnsi="宋体"/>
                <w:bCs/>
                <w:szCs w:val="21"/>
                <w:highlight w:val="none"/>
              </w:rPr>
            </w:pPr>
            <w:r>
              <w:rPr>
                <w:rFonts w:hint="eastAsia" w:ascii="宋体" w:hAnsi="宋体"/>
                <w:bCs/>
                <w:szCs w:val="21"/>
                <w:highlight w:val="none"/>
              </w:rPr>
              <w:t>招标人指定的银行及账号如下：</w:t>
            </w:r>
          </w:p>
          <w:p w14:paraId="7AD1170D">
            <w:pPr>
              <w:adjustRightInd w:val="0"/>
              <w:snapToGrid w:val="0"/>
              <w:spacing w:line="340" w:lineRule="exact"/>
              <w:ind w:left="21" w:leftChars="10" w:firstLine="420" w:firstLineChars="200"/>
              <w:jc w:val="left"/>
              <w:rPr>
                <w:rFonts w:hint="eastAsia" w:ascii="黑体" w:hAnsi="黑体" w:eastAsia="黑体"/>
                <w:bCs/>
                <w:szCs w:val="21"/>
                <w:highlight w:val="none"/>
              </w:rPr>
            </w:pPr>
            <w:r>
              <w:rPr>
                <w:rFonts w:hint="eastAsia" w:ascii="黑体" w:hAnsi="黑体" w:eastAsia="黑体"/>
                <w:bCs/>
                <w:szCs w:val="21"/>
                <w:highlight w:val="none"/>
              </w:rPr>
              <w:t xml:space="preserve">开户名称：吉林省伟邦公路技术有限公司 </w:t>
            </w:r>
          </w:p>
          <w:p w14:paraId="426E374C">
            <w:pPr>
              <w:adjustRightInd w:val="0"/>
              <w:snapToGrid w:val="0"/>
              <w:spacing w:line="340" w:lineRule="exact"/>
              <w:ind w:left="21" w:leftChars="10" w:firstLine="420" w:firstLineChars="200"/>
              <w:jc w:val="left"/>
              <w:rPr>
                <w:rFonts w:hint="eastAsia" w:ascii="黑体" w:hAnsi="黑体" w:eastAsia="黑体"/>
                <w:bCs/>
                <w:szCs w:val="21"/>
                <w:highlight w:val="none"/>
              </w:rPr>
            </w:pPr>
            <w:r>
              <w:rPr>
                <w:rFonts w:hint="eastAsia" w:ascii="黑体" w:hAnsi="黑体" w:eastAsia="黑体"/>
                <w:bCs/>
                <w:szCs w:val="21"/>
                <w:highlight w:val="none"/>
              </w:rPr>
              <w:t xml:space="preserve">开户银行：建设银行九台支行 </w:t>
            </w:r>
          </w:p>
          <w:p w14:paraId="194C35E7">
            <w:pPr>
              <w:adjustRightInd w:val="0"/>
              <w:snapToGrid w:val="0"/>
              <w:spacing w:line="340" w:lineRule="exact"/>
              <w:ind w:left="21" w:leftChars="10" w:firstLine="420" w:firstLineChars="200"/>
              <w:jc w:val="left"/>
              <w:rPr>
                <w:rFonts w:hint="eastAsia" w:ascii="黑体" w:hAnsi="黑体" w:eastAsia="黑体"/>
                <w:bCs/>
                <w:szCs w:val="21"/>
                <w:highlight w:val="none"/>
              </w:rPr>
            </w:pPr>
            <w:r>
              <w:rPr>
                <w:rFonts w:hint="eastAsia" w:ascii="黑体" w:hAnsi="黑体" w:eastAsia="黑体"/>
                <w:bCs/>
                <w:szCs w:val="21"/>
                <w:highlight w:val="none"/>
              </w:rPr>
              <w:t>银行账号：22001390100055001391</w:t>
            </w:r>
          </w:p>
          <w:p w14:paraId="1BBCA9D9">
            <w:pPr>
              <w:adjustRightInd w:val="0"/>
              <w:snapToGrid w:val="0"/>
              <w:spacing w:line="340" w:lineRule="exact"/>
              <w:ind w:left="21" w:leftChars="10" w:firstLine="420" w:firstLineChars="200"/>
              <w:jc w:val="left"/>
              <w:rPr>
                <w:rFonts w:hint="eastAsia" w:ascii="宋体" w:hAnsi="宋体"/>
                <w:bCs/>
                <w:szCs w:val="21"/>
                <w:highlight w:val="none"/>
              </w:rPr>
            </w:pPr>
            <w:r>
              <w:rPr>
                <w:rFonts w:hint="eastAsia" w:ascii="宋体" w:hAnsi="宋体"/>
                <w:bCs/>
                <w:szCs w:val="21"/>
                <w:highlight w:val="none"/>
              </w:rPr>
              <w:t>银行转账业务备注栏填写：“</w:t>
            </w:r>
            <w:r>
              <w:rPr>
                <w:rFonts w:hint="eastAsia" w:ascii="黑体" w:hAnsi="黑体" w:eastAsia="黑体"/>
                <w:bCs/>
                <w:szCs w:val="21"/>
                <w:highlight w:val="none"/>
              </w:rPr>
              <w:t>延边水毁及灾害防治施工招标</w:t>
            </w:r>
            <w:r>
              <w:rPr>
                <w:rFonts w:hint="eastAsia" w:ascii="黑体" w:hAnsi="黑体" w:eastAsia="黑体"/>
                <w:bCs/>
                <w:szCs w:val="21"/>
                <w:highlight w:val="none"/>
                <w:u w:val="single"/>
              </w:rPr>
              <w:t xml:space="preserve">  </w:t>
            </w:r>
            <w:r>
              <w:rPr>
                <w:rFonts w:hint="eastAsia" w:ascii="黑体" w:hAnsi="黑体" w:eastAsia="黑体"/>
                <w:bCs/>
                <w:szCs w:val="21"/>
                <w:highlight w:val="none"/>
              </w:rPr>
              <w:t>标段投标保证金”</w:t>
            </w:r>
            <w:r>
              <w:rPr>
                <w:rFonts w:hint="eastAsia" w:ascii="宋体" w:hAnsi="宋体"/>
                <w:bCs/>
                <w:szCs w:val="21"/>
                <w:highlight w:val="none"/>
              </w:rPr>
              <w:t>。</w:t>
            </w:r>
          </w:p>
          <w:p w14:paraId="2FCCB5E3">
            <w:pPr>
              <w:adjustRightInd w:val="0"/>
              <w:snapToGrid w:val="0"/>
              <w:spacing w:line="340" w:lineRule="exact"/>
              <w:ind w:left="21" w:leftChars="10" w:firstLine="420" w:firstLineChars="200"/>
              <w:jc w:val="left"/>
              <w:rPr>
                <w:rFonts w:hint="eastAsia" w:ascii="宋体" w:hAnsi="宋体"/>
                <w:bCs/>
                <w:szCs w:val="21"/>
                <w:highlight w:val="none"/>
              </w:rPr>
            </w:pPr>
            <w:r>
              <w:rPr>
                <w:rFonts w:hint="eastAsia" w:ascii="宋体" w:hAnsi="宋体"/>
                <w:bCs/>
                <w:szCs w:val="21"/>
                <w:highlight w:val="none"/>
              </w:rPr>
              <w:fldChar w:fldCharType="begin"/>
            </w:r>
            <w:r>
              <w:rPr>
                <w:rFonts w:hint="eastAsia" w:ascii="宋体" w:hAnsi="宋体"/>
                <w:bCs/>
                <w:szCs w:val="21"/>
                <w:highlight w:val="none"/>
              </w:rPr>
              <w:instrText xml:space="preserve"> = 2 \* GB3 </w:instrText>
            </w:r>
            <w:r>
              <w:rPr>
                <w:rFonts w:hint="eastAsia" w:ascii="宋体" w:hAnsi="宋体"/>
                <w:bCs/>
                <w:szCs w:val="21"/>
                <w:highlight w:val="none"/>
              </w:rPr>
              <w:fldChar w:fldCharType="separate"/>
            </w:r>
            <w:r>
              <w:rPr>
                <w:rFonts w:hint="eastAsia" w:ascii="宋体" w:hAnsi="宋体"/>
                <w:bCs/>
                <w:szCs w:val="21"/>
                <w:highlight w:val="none"/>
              </w:rPr>
              <w:t>②</w:t>
            </w:r>
            <w:r>
              <w:rPr>
                <w:rFonts w:hint="eastAsia" w:ascii="宋体" w:hAnsi="宋体"/>
                <w:bCs/>
                <w:szCs w:val="21"/>
                <w:highlight w:val="none"/>
              </w:rPr>
              <w:fldChar w:fldCharType="end"/>
            </w:r>
            <w:r>
              <w:rPr>
                <w:rFonts w:hint="eastAsia" w:ascii="宋体" w:hAnsi="宋体"/>
                <w:bCs/>
                <w:szCs w:val="21"/>
                <w:highlight w:val="none"/>
              </w:rPr>
              <w:t>采用电子保函形式的：依据吉林省政务服务和数字化建设管理局《关于调整吉林省公共资源交易一体化平台电子保函担保业务的公告》  （http://www.jl.gov.cn/ggzy/etzgg/202501/t20250116_9034039.html），应采用在吉林省公共资源交易一体化平台开展电子保函担保业务的第三方服务机构提供的电子保函。</w:t>
            </w:r>
          </w:p>
          <w:p w14:paraId="53663D1F">
            <w:pPr>
              <w:widowControl/>
              <w:spacing w:line="340" w:lineRule="exact"/>
              <w:ind w:left="21" w:leftChars="10" w:firstLine="420" w:firstLineChars="200"/>
              <w:jc w:val="left"/>
              <w:rPr>
                <w:rFonts w:hint="eastAsia" w:ascii="宋体" w:hAnsi="宋体"/>
                <w:bCs/>
                <w:kern w:val="0"/>
                <w:szCs w:val="21"/>
                <w:highlight w:val="none"/>
                <w:lang w:val="zh-CN"/>
              </w:rPr>
            </w:pPr>
            <w:r>
              <w:rPr>
                <w:rFonts w:hint="eastAsia" w:ascii="宋体" w:hAnsi="宋体"/>
                <w:bCs/>
                <w:szCs w:val="21"/>
                <w:highlight w:val="none"/>
              </w:rPr>
              <w:fldChar w:fldCharType="begin"/>
            </w:r>
            <w:r>
              <w:rPr>
                <w:rFonts w:hint="eastAsia" w:ascii="宋体" w:hAnsi="宋体"/>
                <w:bCs/>
                <w:szCs w:val="21"/>
                <w:highlight w:val="none"/>
              </w:rPr>
              <w:instrText xml:space="preserve"> = 3 \* GB3 </w:instrText>
            </w:r>
            <w:r>
              <w:rPr>
                <w:rFonts w:hint="eastAsia" w:ascii="宋体" w:hAnsi="宋体"/>
                <w:bCs/>
                <w:szCs w:val="21"/>
                <w:highlight w:val="none"/>
              </w:rPr>
              <w:fldChar w:fldCharType="separate"/>
            </w:r>
            <w:r>
              <w:rPr>
                <w:rFonts w:hint="eastAsia" w:ascii="宋体" w:hAnsi="宋体"/>
                <w:bCs/>
                <w:szCs w:val="21"/>
                <w:highlight w:val="none"/>
              </w:rPr>
              <w:t>③</w:t>
            </w:r>
            <w:r>
              <w:rPr>
                <w:rFonts w:hint="eastAsia" w:ascii="宋体" w:hAnsi="宋体"/>
                <w:bCs/>
                <w:szCs w:val="21"/>
                <w:highlight w:val="none"/>
              </w:rPr>
              <w:fldChar w:fldCharType="end"/>
            </w:r>
            <w:r>
              <w:rPr>
                <w:rFonts w:hint="eastAsia" w:ascii="黑体" w:hAnsi="黑体" w:eastAsia="黑体"/>
                <w:bCs/>
                <w:szCs w:val="21"/>
                <w:highlight w:val="none"/>
              </w:rPr>
              <w:t>参加多个标段投标的投标人必须按标段分别递交投标保证金。</w:t>
            </w:r>
          </w:p>
        </w:tc>
      </w:tr>
      <w:tr w14:paraId="22D30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01167052">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3.4.</w:t>
            </w:r>
            <w:r>
              <w:rPr>
                <w:rFonts w:hint="eastAsia" w:ascii="宋体" w:hAnsi="宋体"/>
                <w:bCs/>
                <w:szCs w:val="21"/>
                <w:highlight w:val="none"/>
              </w:rPr>
              <w:t>3</w:t>
            </w:r>
          </w:p>
        </w:tc>
        <w:tc>
          <w:tcPr>
            <w:tcW w:w="821" w:type="pct"/>
            <w:vAlign w:val="center"/>
          </w:tcPr>
          <w:p w14:paraId="54DFB7D4">
            <w:pPr>
              <w:adjustRightInd w:val="0"/>
              <w:snapToGrid w:val="0"/>
              <w:spacing w:line="340" w:lineRule="exact"/>
              <w:jc w:val="center"/>
              <w:rPr>
                <w:rFonts w:hint="eastAsia" w:ascii="宋体" w:hAnsi="宋体"/>
                <w:bCs/>
                <w:szCs w:val="21"/>
                <w:highlight w:val="none"/>
              </w:rPr>
            </w:pPr>
            <w:r>
              <w:rPr>
                <w:bCs/>
                <w:szCs w:val="21"/>
                <w:highlight w:val="none"/>
              </w:rPr>
              <w:t>投标保证金的</w:t>
            </w:r>
            <w:r>
              <w:rPr>
                <w:rFonts w:hint="eastAsia"/>
                <w:bCs/>
                <w:szCs w:val="21"/>
                <w:highlight w:val="none"/>
              </w:rPr>
              <w:br w:type="textWrapping"/>
            </w:r>
            <w:r>
              <w:rPr>
                <w:bCs/>
                <w:szCs w:val="21"/>
                <w:highlight w:val="none"/>
              </w:rPr>
              <w:t>利息计算原则</w:t>
            </w:r>
          </w:p>
        </w:tc>
        <w:tc>
          <w:tcPr>
            <w:tcW w:w="3684" w:type="pct"/>
            <w:vAlign w:val="center"/>
          </w:tcPr>
          <w:p w14:paraId="259C2925">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（1）</w:t>
            </w:r>
            <w:r>
              <w:rPr>
                <w:rFonts w:ascii="宋体" w:hAnsi="宋体"/>
                <w:bCs/>
                <w:szCs w:val="21"/>
                <w:highlight w:val="none"/>
              </w:rPr>
              <w:t>计算利息的起始日期为投标截止当日，终止日期为招标人退还投标保证金日期的前一日；</w:t>
            </w:r>
          </w:p>
          <w:p w14:paraId="72E3294F">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（2）</w:t>
            </w:r>
            <w:r>
              <w:rPr>
                <w:rFonts w:ascii="宋体" w:hAnsi="宋体"/>
                <w:bCs/>
                <w:szCs w:val="21"/>
                <w:highlight w:val="none"/>
              </w:rPr>
              <w:t>投标保证金的利息按照第（1）款所述计息时间段内招标人指定汇入银行公告的活期存款利率计付，并扣除招标人汇款手续费；</w:t>
            </w:r>
          </w:p>
          <w:p w14:paraId="0FB4B6BC">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（3）</w:t>
            </w:r>
            <w:r>
              <w:rPr>
                <w:rFonts w:ascii="宋体" w:hAnsi="宋体"/>
                <w:bCs/>
                <w:szCs w:val="21"/>
                <w:highlight w:val="none"/>
              </w:rPr>
              <w:t>利息金额计算至分位，分以下尾数四舍五入。</w:t>
            </w:r>
          </w:p>
        </w:tc>
      </w:tr>
      <w:tr w14:paraId="095F3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14D9D589">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3.4.4</w:t>
            </w:r>
          </w:p>
        </w:tc>
        <w:tc>
          <w:tcPr>
            <w:tcW w:w="821" w:type="pct"/>
            <w:vAlign w:val="center"/>
          </w:tcPr>
          <w:p w14:paraId="03E194E8">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其他可以</w:t>
            </w:r>
            <w:r>
              <w:rPr>
                <w:rFonts w:ascii="宋体" w:hAnsi="宋体"/>
                <w:bCs/>
                <w:szCs w:val="21"/>
                <w:highlight w:val="none"/>
              </w:rPr>
              <w:br w:type="textWrapping"/>
            </w:r>
            <w:r>
              <w:rPr>
                <w:rFonts w:hint="eastAsia" w:ascii="宋体" w:hAnsi="宋体"/>
                <w:bCs/>
                <w:szCs w:val="21"/>
                <w:highlight w:val="none"/>
              </w:rPr>
              <w:t>不予退还</w:t>
            </w:r>
            <w:r>
              <w:rPr>
                <w:rFonts w:ascii="宋体" w:hAnsi="宋体"/>
                <w:bCs/>
                <w:szCs w:val="21"/>
                <w:highlight w:val="none"/>
              </w:rPr>
              <w:br w:type="textWrapping"/>
            </w:r>
            <w:r>
              <w:rPr>
                <w:rFonts w:hint="eastAsia" w:ascii="宋体" w:hAnsi="宋体"/>
                <w:bCs/>
                <w:szCs w:val="21"/>
                <w:highlight w:val="none"/>
              </w:rPr>
              <w:t>投标保证金情形</w:t>
            </w:r>
          </w:p>
        </w:tc>
        <w:tc>
          <w:tcPr>
            <w:tcW w:w="3684" w:type="pct"/>
            <w:vAlign w:val="center"/>
          </w:tcPr>
          <w:p w14:paraId="001A3B3D">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w:t>
            </w:r>
          </w:p>
        </w:tc>
      </w:tr>
      <w:tr w14:paraId="230A2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24F04C82">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3.5</w:t>
            </w:r>
          </w:p>
        </w:tc>
        <w:tc>
          <w:tcPr>
            <w:tcW w:w="821" w:type="pct"/>
            <w:vAlign w:val="center"/>
          </w:tcPr>
          <w:p w14:paraId="31B3E826">
            <w:pPr>
              <w:autoSpaceDE w:val="0"/>
              <w:autoSpaceDN w:val="0"/>
              <w:adjustRightInd w:val="0"/>
              <w:snapToGrid w:val="0"/>
              <w:spacing w:line="340" w:lineRule="exact"/>
              <w:jc w:val="center"/>
              <w:rPr>
                <w:rFonts w:hint="eastAsia" w:ascii="Times New Roman" w:hAnsi="宋体"/>
                <w:bCs/>
                <w:szCs w:val="21"/>
                <w:highlight w:val="none"/>
              </w:rPr>
            </w:pPr>
            <w:r>
              <w:rPr>
                <w:rFonts w:hint="eastAsia" w:ascii="Times New Roman" w:hAnsi="宋体"/>
                <w:bCs/>
                <w:szCs w:val="21"/>
                <w:highlight w:val="none"/>
              </w:rPr>
              <w:t>资格审查资料</w:t>
            </w:r>
            <w:r>
              <w:rPr>
                <w:rFonts w:ascii="Times New Roman" w:hAnsi="宋体"/>
                <w:bCs/>
                <w:szCs w:val="21"/>
                <w:highlight w:val="none"/>
              </w:rPr>
              <w:br w:type="textWrapping"/>
            </w:r>
            <w:r>
              <w:rPr>
                <w:rFonts w:hint="eastAsia" w:ascii="Times New Roman" w:hAnsi="宋体"/>
                <w:bCs/>
                <w:szCs w:val="21"/>
                <w:highlight w:val="none"/>
              </w:rPr>
              <w:t>的特殊要求</w:t>
            </w:r>
          </w:p>
        </w:tc>
        <w:tc>
          <w:tcPr>
            <w:tcW w:w="3684" w:type="pct"/>
            <w:vAlign w:val="center"/>
          </w:tcPr>
          <w:p w14:paraId="5DDDDA3C">
            <w:pPr>
              <w:spacing w:line="340" w:lineRule="exact"/>
              <w:rPr>
                <w:rFonts w:hint="eastAsia" w:ascii="宋体" w:hAnsi="宋体"/>
                <w:color w:val="000000"/>
                <w:szCs w:val="21"/>
                <w:highlight w:val="none"/>
                <w:bdr w:val="single" w:color="auto" w:sz="4" w:space="0"/>
              </w:rPr>
            </w:pPr>
            <w:r>
              <w:rPr>
                <w:rFonts w:hint="eastAsia" w:ascii="宋体" w:hAnsi="宋体"/>
                <w:bCs/>
                <w:szCs w:val="21"/>
                <w:highlight w:val="none"/>
              </w:rPr>
              <w:t>有，具体要求：投标人须按招标文件第九章“投标文件格式”中规定的表格内容填写资格审查表，并按资格审查表下方的具体要求提供资格审查资料，以证明其满足本章第1.4款规定的资质、财务、业绩、信誉、人员等要求。</w:t>
            </w:r>
            <w:r>
              <w:rPr>
                <w:rFonts w:hint="eastAsia" w:ascii="黑体" w:hAnsi="黑体" w:eastAsia="黑体"/>
                <w:bCs/>
                <w:szCs w:val="21"/>
                <w:highlight w:val="none"/>
              </w:rPr>
              <w:t>招标文件中要求投标人提供的各类证照复印件均指彩色扫描件，其他资料的复印件可为黑白扫描件或彩色扫描件。</w:t>
            </w:r>
          </w:p>
        </w:tc>
      </w:tr>
      <w:tr w14:paraId="4D731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578FF0CD">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3.5.2</w:t>
            </w:r>
          </w:p>
        </w:tc>
        <w:tc>
          <w:tcPr>
            <w:tcW w:w="821" w:type="pct"/>
            <w:vAlign w:val="center"/>
          </w:tcPr>
          <w:p w14:paraId="39B9A45D">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近年财务状况</w:t>
            </w:r>
          </w:p>
          <w:p w14:paraId="4815D7AB">
            <w:pPr>
              <w:autoSpaceDE w:val="0"/>
              <w:autoSpaceDN w:val="0"/>
              <w:adjustRightInd w:val="0"/>
              <w:snapToGrid w:val="0"/>
              <w:spacing w:line="340" w:lineRule="exact"/>
              <w:jc w:val="center"/>
              <w:rPr>
                <w:rFonts w:hint="eastAsia" w:ascii="Times New Roman" w:hAnsi="宋体"/>
                <w:bCs/>
                <w:szCs w:val="21"/>
                <w:highlight w:val="none"/>
              </w:rPr>
            </w:pPr>
            <w:r>
              <w:rPr>
                <w:rFonts w:hint="eastAsia" w:ascii="宋体" w:hAnsi="宋体"/>
                <w:bCs/>
                <w:szCs w:val="21"/>
                <w:highlight w:val="none"/>
              </w:rPr>
              <w:t>所附证明材料</w:t>
            </w:r>
          </w:p>
        </w:tc>
        <w:tc>
          <w:tcPr>
            <w:tcW w:w="3684" w:type="pct"/>
            <w:vAlign w:val="center"/>
          </w:tcPr>
          <w:p w14:paraId="08FF83E1">
            <w:pPr>
              <w:spacing w:line="340" w:lineRule="exact"/>
              <w:rPr>
                <w:rFonts w:hint="eastAsia" w:ascii="宋体" w:hAnsi="宋体"/>
                <w:color w:val="000000"/>
                <w:szCs w:val="21"/>
                <w:highlight w:val="none"/>
                <w:bdr w:val="single" w:color="auto" w:sz="4" w:space="0"/>
              </w:rPr>
            </w:pPr>
            <w:r>
              <w:rPr>
                <w:rFonts w:hint="eastAsia" w:ascii="宋体" w:hAnsi="宋体"/>
                <w:bCs/>
                <w:kern w:val="0"/>
                <w:szCs w:val="21"/>
                <w:highlight w:val="none"/>
                <w:lang w:val="zh-CN"/>
              </w:rPr>
              <w:t>此处应附投标人（包括联合体各方）近三年（2022年～投标截止时间）具有良好的商业信誉和健全的财务会计制度的</w:t>
            </w:r>
            <w:r>
              <w:rPr>
                <w:rFonts w:hint="eastAsia" w:ascii="黑体" w:hAnsi="黑体" w:eastAsia="黑体"/>
                <w:bCs/>
                <w:kern w:val="0"/>
                <w:szCs w:val="21"/>
                <w:highlight w:val="none"/>
                <w:lang w:val="zh-CN"/>
              </w:rPr>
              <w:t>财务状况承诺函并加盖投标人（包括联合体各方）单位公章</w:t>
            </w:r>
            <w:r>
              <w:rPr>
                <w:rFonts w:hint="eastAsia" w:ascii="宋体" w:hAnsi="宋体"/>
                <w:bCs/>
                <w:kern w:val="0"/>
                <w:szCs w:val="21"/>
                <w:highlight w:val="none"/>
                <w:lang w:val="zh-CN"/>
              </w:rPr>
              <w:t>。除财务状况承诺函外，投标人无须再提供任何财务证明材料。</w:t>
            </w:r>
          </w:p>
        </w:tc>
      </w:tr>
      <w:tr w14:paraId="1D7D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524DD0F3">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3.5.3</w:t>
            </w:r>
          </w:p>
        </w:tc>
        <w:tc>
          <w:tcPr>
            <w:tcW w:w="821" w:type="pct"/>
            <w:vAlign w:val="center"/>
          </w:tcPr>
          <w:p w14:paraId="0E55E62D">
            <w:pPr>
              <w:autoSpaceDE w:val="0"/>
              <w:autoSpaceDN w:val="0"/>
              <w:adjustRightInd w:val="0"/>
              <w:snapToGrid w:val="0"/>
              <w:spacing w:line="340" w:lineRule="exact"/>
              <w:jc w:val="center"/>
              <w:rPr>
                <w:rFonts w:hint="eastAsia" w:ascii="Times New Roman" w:hAnsi="宋体"/>
                <w:bCs/>
                <w:szCs w:val="21"/>
                <w:highlight w:val="none"/>
              </w:rPr>
            </w:pPr>
            <w:r>
              <w:rPr>
                <w:rFonts w:ascii="Times New Roman" w:hAnsi="宋体"/>
                <w:bCs/>
                <w:szCs w:val="21"/>
                <w:highlight w:val="none"/>
              </w:rPr>
              <w:t>近年完成的</w:t>
            </w:r>
            <w:r>
              <w:rPr>
                <w:rFonts w:hint="eastAsia" w:ascii="Times New Roman" w:hAnsi="宋体"/>
                <w:bCs/>
                <w:szCs w:val="21"/>
                <w:highlight w:val="none"/>
              </w:rPr>
              <w:br w:type="textWrapping"/>
            </w:r>
            <w:r>
              <w:rPr>
                <w:rFonts w:ascii="Times New Roman" w:hAnsi="宋体"/>
                <w:bCs/>
                <w:szCs w:val="21"/>
                <w:highlight w:val="none"/>
              </w:rPr>
              <w:t>类似项目</w:t>
            </w:r>
            <w:r>
              <w:rPr>
                <w:rFonts w:hint="eastAsia" w:ascii="Times New Roman" w:hAnsi="宋体"/>
                <w:bCs/>
                <w:szCs w:val="21"/>
                <w:highlight w:val="none"/>
              </w:rPr>
              <w:t>情况的时间要求</w:t>
            </w:r>
          </w:p>
        </w:tc>
        <w:tc>
          <w:tcPr>
            <w:tcW w:w="3684" w:type="pct"/>
            <w:vAlign w:val="center"/>
          </w:tcPr>
          <w:p w14:paraId="106C1568">
            <w:pPr>
              <w:spacing w:line="340" w:lineRule="exact"/>
              <w:rPr>
                <w:rFonts w:hint="eastAsia" w:ascii="宋体" w:hAnsi="宋体"/>
                <w:color w:val="000000"/>
                <w:szCs w:val="21"/>
                <w:highlight w:val="none"/>
                <w:bdr w:val="single" w:color="auto" w:sz="4" w:space="0"/>
              </w:rPr>
            </w:pPr>
            <w:r>
              <w:rPr>
                <w:rFonts w:hint="eastAsia" w:ascii="宋体" w:hAnsi="宋体"/>
                <w:bCs/>
                <w:kern w:val="0"/>
                <w:szCs w:val="21"/>
                <w:highlight w:val="none"/>
              </w:rPr>
              <w:t>2020年1月1日至投标截止时间（两阶段验收工程以交工时间为准，一阶段验收工程以竣工验收时间为准）。</w:t>
            </w:r>
          </w:p>
        </w:tc>
      </w:tr>
      <w:tr w14:paraId="33A5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0A45AB12">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3.6.1</w:t>
            </w:r>
          </w:p>
        </w:tc>
        <w:tc>
          <w:tcPr>
            <w:tcW w:w="821" w:type="pct"/>
            <w:vAlign w:val="center"/>
          </w:tcPr>
          <w:p w14:paraId="2DC094FA">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是否允许递交</w:t>
            </w:r>
          </w:p>
          <w:p w14:paraId="50200094">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备选投标方案</w:t>
            </w:r>
          </w:p>
        </w:tc>
        <w:tc>
          <w:tcPr>
            <w:tcW w:w="3684" w:type="pct"/>
            <w:vAlign w:val="center"/>
          </w:tcPr>
          <w:p w14:paraId="76C30BB9">
            <w:pPr>
              <w:adjustRightInd w:val="0"/>
              <w:snapToGrid w:val="0"/>
              <w:spacing w:line="340" w:lineRule="exact"/>
              <w:ind w:firstLine="210" w:firstLineChars="100"/>
              <w:rPr>
                <w:rFonts w:hint="eastAsia" w:ascii="宋体" w:hAnsi="宋体"/>
                <w:bCs/>
                <w:szCs w:val="21"/>
                <w:highlight w:val="none"/>
              </w:rPr>
            </w:pPr>
            <w:r>
              <w:rPr>
                <w:rFonts w:ascii="宋体" w:hAnsi="宋体"/>
                <w:bCs/>
                <w:szCs w:val="21"/>
                <w:highlight w:val="none"/>
              </w:rPr>
              <w:t>不允许</w:t>
            </w:r>
          </w:p>
        </w:tc>
      </w:tr>
      <w:tr w14:paraId="2A9F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0047EF53">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3.7.3</w:t>
            </w:r>
          </w:p>
        </w:tc>
        <w:tc>
          <w:tcPr>
            <w:tcW w:w="821" w:type="pct"/>
            <w:vAlign w:val="center"/>
          </w:tcPr>
          <w:p w14:paraId="62B4FE1E">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投标文件的制作应满足规定</w:t>
            </w:r>
          </w:p>
        </w:tc>
        <w:tc>
          <w:tcPr>
            <w:tcW w:w="3684" w:type="pct"/>
            <w:vAlign w:val="center"/>
          </w:tcPr>
          <w:p w14:paraId="1AA902E1">
            <w:pPr>
              <w:adjustRightInd w:val="0"/>
              <w:snapToGrid w:val="0"/>
              <w:spacing w:line="340" w:lineRule="exact"/>
              <w:ind w:firstLine="210" w:firstLineChars="100"/>
              <w:rPr>
                <w:rFonts w:hint="eastAsia" w:ascii="楷体" w:hAnsi="楷体" w:eastAsia="楷体"/>
                <w:szCs w:val="21"/>
                <w:highlight w:val="none"/>
              </w:rPr>
            </w:pPr>
            <w:r>
              <w:rPr>
                <w:rFonts w:hint="eastAsia" w:ascii="楷体" w:hAnsi="楷体" w:eastAsia="楷体"/>
                <w:szCs w:val="21"/>
                <w:highlight w:val="none"/>
              </w:rPr>
              <w:t>本项第（3）目修改如下：</w:t>
            </w:r>
          </w:p>
          <w:p w14:paraId="60E030D4">
            <w:pPr>
              <w:adjustRightInd w:val="0"/>
              <w:snapToGrid w:val="0"/>
              <w:spacing w:line="340" w:lineRule="exact"/>
              <w:ind w:firstLine="210" w:firstLineChars="100"/>
              <w:rPr>
                <w:rFonts w:hint="eastAsia" w:ascii="楷体" w:hAnsi="楷体" w:eastAsia="楷体"/>
                <w:szCs w:val="21"/>
                <w:highlight w:val="none"/>
              </w:rPr>
            </w:pPr>
            <w:r>
              <w:rPr>
                <w:rFonts w:hint="eastAsia" w:ascii="楷体" w:hAnsi="楷体" w:eastAsia="楷体"/>
                <w:szCs w:val="21"/>
                <w:highlight w:val="none"/>
              </w:rPr>
              <w:t>（3）投标文件中证明资料的“复印件”均为“原件的扫描件”。</w:t>
            </w:r>
          </w:p>
          <w:p w14:paraId="13BE0C9C">
            <w:pPr>
              <w:adjustRightInd w:val="0"/>
              <w:snapToGrid w:val="0"/>
              <w:spacing w:line="340" w:lineRule="exact"/>
              <w:ind w:firstLine="210" w:firstLineChars="100"/>
              <w:rPr>
                <w:rFonts w:hint="eastAsia" w:ascii="楷体" w:hAnsi="楷体" w:eastAsia="楷体"/>
                <w:szCs w:val="21"/>
                <w:highlight w:val="none"/>
              </w:rPr>
            </w:pPr>
            <w:r>
              <w:rPr>
                <w:rFonts w:hint="eastAsia" w:ascii="楷体" w:hAnsi="楷体" w:eastAsia="楷体"/>
                <w:szCs w:val="21"/>
                <w:highlight w:val="none"/>
              </w:rPr>
              <w:t>本项第（5）目修改如下：</w:t>
            </w:r>
          </w:p>
          <w:p w14:paraId="7CF67D1B">
            <w:pPr>
              <w:adjustRightInd w:val="0"/>
              <w:snapToGrid w:val="0"/>
              <w:spacing w:line="340" w:lineRule="exact"/>
              <w:ind w:firstLine="210" w:firstLineChars="100"/>
              <w:rPr>
                <w:rFonts w:hint="eastAsia" w:ascii="宋体" w:hAnsi="宋体"/>
                <w:szCs w:val="21"/>
                <w:highlight w:val="none"/>
              </w:rPr>
            </w:pPr>
            <w:r>
              <w:rPr>
                <w:rFonts w:hint="eastAsia" w:ascii="宋体" w:hAnsi="宋体"/>
                <w:szCs w:val="21"/>
                <w:highlight w:val="none"/>
              </w:rPr>
              <w:t>（5）</w:t>
            </w:r>
            <w:r>
              <w:rPr>
                <w:rFonts w:hint="eastAsia" w:ascii="楷体" w:hAnsi="楷体" w:eastAsia="楷体"/>
                <w:szCs w:val="21"/>
                <w:highlight w:val="none"/>
              </w:rPr>
              <w:t>除有特殊说明外，</w:t>
            </w:r>
            <w:r>
              <w:rPr>
                <w:rFonts w:hint="eastAsia" w:ascii="宋体" w:hAnsi="宋体"/>
                <w:szCs w:val="21"/>
                <w:highlight w:val="none"/>
              </w:rPr>
              <w:t>第九章“投标文件格式”中要求盖单位章和（或）签字的地方，投标人均应使用CA数字证书加盖投标人的单位电子印章和（或）法定代表人的个人电子印章或电子签名章</w:t>
            </w:r>
            <w:r>
              <w:rPr>
                <w:rFonts w:hint="eastAsia" w:ascii="楷体" w:hAnsi="楷体" w:eastAsia="楷体"/>
                <w:szCs w:val="21"/>
                <w:highlight w:val="none"/>
              </w:rPr>
              <w:t>（投标人仅须在投标函上加盖投标人的单位电子印章，或加盖法定代表人的个人电子印章或电子签名章）</w:t>
            </w:r>
            <w:r>
              <w:rPr>
                <w:rFonts w:hint="eastAsia" w:ascii="宋体" w:hAnsi="宋体"/>
                <w:szCs w:val="21"/>
                <w:highlight w:val="none"/>
              </w:rPr>
              <w:t>。联合体投标的，由联合体牵头人按上述规定加盖联合体牵头人单位电子印章和（或）法定代表人的个人电子印章或电子签名章。</w:t>
            </w:r>
          </w:p>
          <w:p w14:paraId="172A7D1B">
            <w:pPr>
              <w:adjustRightInd w:val="0"/>
              <w:snapToGrid w:val="0"/>
              <w:spacing w:line="340" w:lineRule="exact"/>
              <w:ind w:firstLine="210" w:firstLineChars="100"/>
              <w:rPr>
                <w:rFonts w:hint="eastAsia" w:ascii="楷体" w:hAnsi="楷体" w:eastAsia="楷体"/>
                <w:szCs w:val="21"/>
                <w:highlight w:val="none"/>
              </w:rPr>
            </w:pPr>
            <w:r>
              <w:rPr>
                <w:rFonts w:hint="eastAsia" w:ascii="楷体" w:hAnsi="楷体" w:eastAsia="楷体"/>
                <w:szCs w:val="21"/>
                <w:highlight w:val="none"/>
              </w:rPr>
              <w:t>第九章“投标文件格式”中授权委托书要求委托代理人签字的地方，投标人可使用CA数字证书加盖委托代理人的个人电子印章或电子签名章，或上传由委托代理人亲笔签字的电子扫描件（提供电子扫描件的投标人如中标，提供的纸质投标文件正本中须附对应原件）。</w:t>
            </w:r>
          </w:p>
          <w:p w14:paraId="5485C33A">
            <w:pPr>
              <w:adjustRightInd w:val="0"/>
              <w:snapToGrid w:val="0"/>
              <w:spacing w:line="340" w:lineRule="exact"/>
              <w:ind w:firstLine="210" w:firstLineChars="100"/>
              <w:rPr>
                <w:rFonts w:hint="eastAsia" w:ascii="宋体" w:hAnsi="宋体"/>
                <w:bCs/>
                <w:szCs w:val="21"/>
                <w:highlight w:val="none"/>
              </w:rPr>
            </w:pPr>
            <w:r>
              <w:rPr>
                <w:rFonts w:hint="eastAsia" w:ascii="楷体" w:hAnsi="楷体" w:eastAsia="楷体"/>
                <w:szCs w:val="21"/>
                <w:highlight w:val="none"/>
              </w:rPr>
              <w:t>第九章“投标文件格式”中联合体协议书要求盖单位章和签字的地方，联合体各成员均应使用CA数字证书加盖联合体各成员的单位电子印章和（或）法定代表人的个人电子印章或电子签名章。</w:t>
            </w:r>
          </w:p>
        </w:tc>
      </w:tr>
      <w:tr w14:paraId="08468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508D0BCC">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4.2.3</w:t>
            </w:r>
          </w:p>
        </w:tc>
        <w:tc>
          <w:tcPr>
            <w:tcW w:w="821" w:type="pct"/>
            <w:vAlign w:val="center"/>
          </w:tcPr>
          <w:p w14:paraId="4E0A73F0">
            <w:pPr>
              <w:adjustRightInd w:val="0"/>
              <w:snapToGrid w:val="0"/>
              <w:spacing w:line="340" w:lineRule="exact"/>
              <w:jc w:val="center"/>
              <w:rPr>
                <w:rFonts w:ascii="Times New Roman" w:hAnsi="Times New Roman"/>
                <w:bCs/>
                <w:szCs w:val="21"/>
                <w:highlight w:val="none"/>
              </w:rPr>
            </w:pPr>
            <w:r>
              <w:rPr>
                <w:rFonts w:ascii="Times New Roman" w:hAnsi="宋体"/>
                <w:bCs/>
                <w:szCs w:val="21"/>
                <w:highlight w:val="none"/>
              </w:rPr>
              <w:t>是否退还</w:t>
            </w:r>
            <w:r>
              <w:rPr>
                <w:rFonts w:hint="eastAsia" w:ascii="Times New Roman" w:hAnsi="宋体"/>
                <w:bCs/>
                <w:szCs w:val="21"/>
                <w:highlight w:val="none"/>
              </w:rPr>
              <w:br w:type="textWrapping"/>
            </w:r>
            <w:r>
              <w:rPr>
                <w:rFonts w:ascii="Times New Roman" w:hAnsi="宋体"/>
                <w:bCs/>
                <w:szCs w:val="21"/>
                <w:highlight w:val="none"/>
              </w:rPr>
              <w:t>投标文件</w:t>
            </w:r>
          </w:p>
        </w:tc>
        <w:tc>
          <w:tcPr>
            <w:tcW w:w="3684" w:type="pct"/>
            <w:vAlign w:val="center"/>
          </w:tcPr>
          <w:p w14:paraId="020EAE6F">
            <w:pPr>
              <w:snapToGrid w:val="0"/>
              <w:spacing w:line="340" w:lineRule="exact"/>
              <w:ind w:firstLine="210" w:firstLineChars="100"/>
              <w:rPr>
                <w:rFonts w:hint="eastAsia" w:ascii="宋体" w:hAnsi="宋体"/>
                <w:bCs/>
                <w:color w:val="000000"/>
                <w:szCs w:val="21"/>
                <w:highlight w:val="none"/>
              </w:rPr>
            </w:pPr>
            <w:r>
              <w:rPr>
                <w:rFonts w:hint="eastAsia" w:ascii="宋体" w:hAnsi="宋体"/>
                <w:bCs/>
                <w:szCs w:val="21"/>
                <w:highlight w:val="none"/>
              </w:rPr>
              <w:t>否</w:t>
            </w:r>
          </w:p>
        </w:tc>
      </w:tr>
      <w:tr w14:paraId="4803B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15FDC2AF">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5.1</w:t>
            </w:r>
          </w:p>
        </w:tc>
        <w:tc>
          <w:tcPr>
            <w:tcW w:w="821" w:type="pct"/>
            <w:vAlign w:val="center"/>
          </w:tcPr>
          <w:p w14:paraId="43226F5C">
            <w:pPr>
              <w:adjustRightInd w:val="0"/>
              <w:snapToGrid w:val="0"/>
              <w:spacing w:line="340" w:lineRule="exact"/>
              <w:jc w:val="center"/>
              <w:rPr>
                <w:rFonts w:ascii="Times New Roman" w:hAnsi="Times New Roman"/>
                <w:bCs/>
                <w:szCs w:val="21"/>
                <w:highlight w:val="none"/>
              </w:rPr>
            </w:pPr>
            <w:r>
              <w:rPr>
                <w:rFonts w:ascii="Times New Roman" w:hAnsi="宋体"/>
                <w:bCs/>
                <w:szCs w:val="21"/>
                <w:highlight w:val="none"/>
              </w:rPr>
              <w:t>开标时间和</w:t>
            </w:r>
          </w:p>
          <w:p w14:paraId="1B16E511">
            <w:pPr>
              <w:adjustRightInd w:val="0"/>
              <w:snapToGrid w:val="0"/>
              <w:spacing w:line="340" w:lineRule="exact"/>
              <w:jc w:val="center"/>
              <w:rPr>
                <w:rFonts w:ascii="Times New Roman" w:hAnsi="Times New Roman"/>
                <w:bCs/>
                <w:szCs w:val="21"/>
                <w:highlight w:val="none"/>
              </w:rPr>
            </w:pPr>
            <w:r>
              <w:rPr>
                <w:rFonts w:ascii="Times New Roman" w:hAnsi="宋体"/>
                <w:bCs/>
                <w:szCs w:val="21"/>
                <w:highlight w:val="none"/>
              </w:rPr>
              <w:t>地点</w:t>
            </w:r>
          </w:p>
        </w:tc>
        <w:tc>
          <w:tcPr>
            <w:tcW w:w="3684" w:type="pct"/>
            <w:vAlign w:val="center"/>
          </w:tcPr>
          <w:p w14:paraId="585E87A7">
            <w:pPr>
              <w:adjustRightInd w:val="0"/>
              <w:snapToGrid w:val="0"/>
              <w:spacing w:line="340" w:lineRule="exact"/>
              <w:ind w:firstLine="210" w:firstLineChars="100"/>
              <w:rPr>
                <w:rFonts w:hint="eastAsia" w:ascii="宋体" w:hAnsi="宋体"/>
                <w:bCs/>
                <w:szCs w:val="21"/>
                <w:highlight w:val="none"/>
              </w:rPr>
            </w:pPr>
            <w:r>
              <w:rPr>
                <w:rFonts w:ascii="宋体" w:hAnsi="宋体"/>
                <w:bCs/>
                <w:szCs w:val="21"/>
                <w:highlight w:val="none"/>
              </w:rPr>
              <w:t>投标文件第一个信封（商务及技术文件）开标时间：同投标截止时间</w:t>
            </w:r>
          </w:p>
          <w:p w14:paraId="3D8700A3">
            <w:pPr>
              <w:adjustRightInd w:val="0"/>
              <w:snapToGrid w:val="0"/>
              <w:spacing w:line="340" w:lineRule="exact"/>
              <w:ind w:firstLine="210" w:firstLineChars="100"/>
              <w:rPr>
                <w:rFonts w:hint="eastAsia" w:ascii="宋体" w:hAnsi="宋体"/>
                <w:bCs/>
                <w:szCs w:val="21"/>
                <w:highlight w:val="none"/>
              </w:rPr>
            </w:pPr>
            <w:r>
              <w:rPr>
                <w:rFonts w:ascii="宋体" w:hAnsi="宋体"/>
                <w:bCs/>
                <w:szCs w:val="21"/>
                <w:highlight w:val="none"/>
              </w:rPr>
              <w:t>投标文件第一个信封（商务及技术文件）</w:t>
            </w:r>
            <w:r>
              <w:rPr>
                <w:rFonts w:ascii="宋体" w:hAnsi="宋体"/>
                <w:bCs/>
                <w:spacing w:val="-4"/>
                <w:szCs w:val="21"/>
                <w:highlight w:val="none"/>
              </w:rPr>
              <w:t>开标地点：</w:t>
            </w:r>
            <w:bookmarkStart w:id="79" w:name="OLE_LINK64"/>
            <w:r>
              <w:rPr>
                <w:rFonts w:hint="eastAsia" w:ascii="宋体" w:hAnsi="宋体"/>
                <w:bCs/>
                <w:spacing w:val="-4"/>
                <w:szCs w:val="21"/>
                <w:highlight w:val="none"/>
              </w:rPr>
              <w:t>同递交投标文件地点</w:t>
            </w:r>
            <w:bookmarkEnd w:id="79"/>
          </w:p>
          <w:p w14:paraId="7F30476D">
            <w:pPr>
              <w:adjustRightInd w:val="0"/>
              <w:snapToGrid w:val="0"/>
              <w:spacing w:line="340" w:lineRule="exact"/>
              <w:ind w:firstLine="210" w:firstLineChars="100"/>
              <w:rPr>
                <w:rFonts w:hint="eastAsia" w:ascii="宋体" w:hAnsi="宋体"/>
                <w:bCs/>
                <w:szCs w:val="21"/>
                <w:highlight w:val="none"/>
              </w:rPr>
            </w:pPr>
            <w:r>
              <w:rPr>
                <w:rFonts w:ascii="宋体" w:hAnsi="宋体"/>
                <w:bCs/>
                <w:szCs w:val="21"/>
                <w:highlight w:val="none"/>
              </w:rPr>
              <w:t>投标文件第二个信封（</w:t>
            </w:r>
            <w:r>
              <w:rPr>
                <w:rFonts w:hint="eastAsia" w:ascii="宋体" w:hAnsi="宋体"/>
                <w:bCs/>
                <w:szCs w:val="21"/>
                <w:highlight w:val="none"/>
              </w:rPr>
              <w:t>报价文件</w:t>
            </w:r>
            <w:r>
              <w:rPr>
                <w:rFonts w:ascii="宋体" w:hAnsi="宋体"/>
                <w:bCs/>
                <w:szCs w:val="21"/>
                <w:highlight w:val="none"/>
              </w:rPr>
              <w:t>）开标时间：</w:t>
            </w:r>
            <w:r>
              <w:rPr>
                <w:rFonts w:hint="eastAsia" w:ascii="宋体" w:hAnsi="宋体"/>
                <w:bCs/>
                <w:szCs w:val="21"/>
                <w:highlight w:val="none"/>
              </w:rPr>
              <w:t>见第一章“招标公告”</w:t>
            </w:r>
          </w:p>
          <w:p w14:paraId="7A31151C">
            <w:pPr>
              <w:adjustRightInd w:val="0"/>
              <w:snapToGrid w:val="0"/>
              <w:spacing w:line="340" w:lineRule="exact"/>
              <w:ind w:firstLine="210" w:firstLineChars="100"/>
              <w:rPr>
                <w:rFonts w:hint="eastAsia" w:ascii="宋体" w:hAnsi="宋体"/>
                <w:bCs/>
                <w:spacing w:val="-4"/>
                <w:szCs w:val="21"/>
                <w:highlight w:val="none"/>
              </w:rPr>
            </w:pPr>
            <w:r>
              <w:rPr>
                <w:rFonts w:ascii="宋体" w:hAnsi="宋体"/>
                <w:bCs/>
                <w:szCs w:val="21"/>
                <w:highlight w:val="none"/>
              </w:rPr>
              <w:t>投标文件第</w:t>
            </w:r>
            <w:r>
              <w:rPr>
                <w:rFonts w:hint="eastAsia" w:ascii="宋体" w:hAnsi="宋体"/>
                <w:bCs/>
                <w:szCs w:val="21"/>
                <w:highlight w:val="none"/>
              </w:rPr>
              <w:t>二</w:t>
            </w:r>
            <w:r>
              <w:rPr>
                <w:rFonts w:ascii="宋体" w:hAnsi="宋体"/>
                <w:bCs/>
                <w:szCs w:val="21"/>
                <w:highlight w:val="none"/>
              </w:rPr>
              <w:t>个信封（</w:t>
            </w:r>
            <w:r>
              <w:rPr>
                <w:rFonts w:hint="eastAsia" w:ascii="宋体" w:hAnsi="宋体"/>
                <w:bCs/>
                <w:szCs w:val="21"/>
                <w:highlight w:val="none"/>
              </w:rPr>
              <w:t>报价文件</w:t>
            </w:r>
            <w:r>
              <w:rPr>
                <w:rFonts w:ascii="宋体" w:hAnsi="宋体"/>
                <w:bCs/>
                <w:szCs w:val="21"/>
                <w:highlight w:val="none"/>
              </w:rPr>
              <w:t>）</w:t>
            </w:r>
            <w:r>
              <w:rPr>
                <w:rFonts w:ascii="宋体" w:hAnsi="宋体"/>
                <w:bCs/>
                <w:spacing w:val="-4"/>
                <w:szCs w:val="21"/>
                <w:highlight w:val="none"/>
              </w:rPr>
              <w:t>开标地点</w:t>
            </w:r>
            <w:r>
              <w:rPr>
                <w:rFonts w:hint="eastAsia" w:ascii="宋体" w:hAnsi="宋体"/>
                <w:bCs/>
                <w:spacing w:val="-4"/>
                <w:szCs w:val="21"/>
                <w:highlight w:val="none"/>
              </w:rPr>
              <w:t>：</w:t>
            </w:r>
            <w:r>
              <w:rPr>
                <w:rFonts w:hint="eastAsia" w:ascii="宋体" w:hAnsi="宋体"/>
                <w:bCs/>
                <w:szCs w:val="21"/>
                <w:highlight w:val="none"/>
              </w:rPr>
              <w:t>见第一章“招标公告”</w:t>
            </w:r>
          </w:p>
        </w:tc>
      </w:tr>
      <w:tr w14:paraId="033EE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54CBFF57">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5</w:t>
            </w:r>
            <w:r>
              <w:rPr>
                <w:rFonts w:ascii="宋体" w:hAnsi="宋体"/>
                <w:bCs/>
                <w:szCs w:val="21"/>
                <w:highlight w:val="none"/>
              </w:rPr>
              <w:t>.2.3</w:t>
            </w:r>
          </w:p>
        </w:tc>
        <w:tc>
          <w:tcPr>
            <w:tcW w:w="821" w:type="pct"/>
            <w:vAlign w:val="center"/>
          </w:tcPr>
          <w:p w14:paraId="310F9821">
            <w:pPr>
              <w:adjustRightInd w:val="0"/>
              <w:snapToGrid w:val="0"/>
              <w:spacing w:line="340" w:lineRule="exact"/>
              <w:jc w:val="center"/>
              <w:rPr>
                <w:rFonts w:hint="eastAsia" w:ascii="Times New Roman" w:hAnsi="宋体"/>
                <w:bCs/>
                <w:szCs w:val="21"/>
                <w:highlight w:val="none"/>
              </w:rPr>
            </w:pPr>
            <w:r>
              <w:rPr>
                <w:rFonts w:hint="eastAsia" w:ascii="Times New Roman" w:hAnsi="宋体"/>
                <w:bCs/>
                <w:szCs w:val="21"/>
                <w:highlight w:val="none"/>
              </w:rPr>
              <w:t>投标文件第二个信封（报价文件）开标</w:t>
            </w:r>
          </w:p>
        </w:tc>
        <w:tc>
          <w:tcPr>
            <w:tcW w:w="3684" w:type="pct"/>
            <w:vAlign w:val="center"/>
          </w:tcPr>
          <w:p w14:paraId="6441CB8B">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本项第（2）（4）目修改为：</w:t>
            </w:r>
          </w:p>
          <w:p w14:paraId="4B2A7AD2">
            <w:pPr>
              <w:adjustRightInd w:val="0"/>
              <w:snapToGrid w:val="0"/>
              <w:spacing w:line="340" w:lineRule="exact"/>
              <w:ind w:firstLine="210" w:firstLineChars="100"/>
              <w:rPr>
                <w:rFonts w:hint="eastAsia" w:ascii="楷体" w:hAnsi="楷体" w:eastAsia="楷体"/>
                <w:bCs/>
                <w:szCs w:val="21"/>
                <w:highlight w:val="none"/>
              </w:rPr>
            </w:pPr>
            <w:r>
              <w:rPr>
                <w:rFonts w:hint="eastAsia" w:ascii="楷体" w:hAnsi="楷体" w:eastAsia="楷体"/>
                <w:bCs/>
                <w:szCs w:val="21"/>
                <w:highlight w:val="none"/>
              </w:rPr>
              <w:t>（2）宣布通过投标文件第一个信封（商务及技术文件）评审的投标人名单；</w:t>
            </w:r>
          </w:p>
          <w:p w14:paraId="3E4BF691">
            <w:pPr>
              <w:adjustRightInd w:val="0"/>
              <w:snapToGrid w:val="0"/>
              <w:spacing w:line="340" w:lineRule="exact"/>
              <w:ind w:firstLine="210" w:firstLineChars="100"/>
              <w:rPr>
                <w:rFonts w:hint="eastAsia" w:ascii="宋体" w:hAnsi="宋体"/>
                <w:bCs/>
                <w:szCs w:val="21"/>
                <w:highlight w:val="none"/>
              </w:rPr>
            </w:pPr>
            <w:r>
              <w:rPr>
                <w:rFonts w:hint="eastAsia" w:ascii="楷体" w:hAnsi="楷体" w:eastAsia="楷体"/>
                <w:bCs/>
                <w:szCs w:val="21"/>
                <w:highlight w:val="none"/>
              </w:rPr>
              <w:t>（4）通过投标文件第一个信封（商务及技术文件）评审的投标人代表解密加密的投标文件第二个信封（报价文件），导入并读取解密成功的投标文件第二个信封（报价文件）；</w:t>
            </w:r>
          </w:p>
        </w:tc>
      </w:tr>
      <w:tr w14:paraId="3F616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1ED3DBAF">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5</w:t>
            </w:r>
            <w:r>
              <w:rPr>
                <w:rFonts w:ascii="宋体" w:hAnsi="宋体"/>
                <w:bCs/>
                <w:szCs w:val="21"/>
                <w:highlight w:val="none"/>
              </w:rPr>
              <w:t>.3.1</w:t>
            </w:r>
          </w:p>
        </w:tc>
        <w:tc>
          <w:tcPr>
            <w:tcW w:w="821" w:type="pct"/>
            <w:vAlign w:val="center"/>
          </w:tcPr>
          <w:p w14:paraId="409F7ADB">
            <w:pPr>
              <w:adjustRightInd w:val="0"/>
              <w:snapToGrid w:val="0"/>
              <w:spacing w:line="340" w:lineRule="exact"/>
              <w:jc w:val="center"/>
              <w:rPr>
                <w:rFonts w:hint="eastAsia" w:ascii="Times New Roman" w:hAnsi="宋体"/>
                <w:bCs/>
                <w:szCs w:val="21"/>
                <w:highlight w:val="none"/>
              </w:rPr>
            </w:pPr>
            <w:r>
              <w:rPr>
                <w:rFonts w:hint="eastAsia" w:ascii="Times New Roman" w:hAnsi="宋体"/>
                <w:bCs/>
                <w:szCs w:val="21"/>
                <w:highlight w:val="none"/>
              </w:rPr>
              <w:t>开标补救措施</w:t>
            </w:r>
          </w:p>
        </w:tc>
        <w:tc>
          <w:tcPr>
            <w:tcW w:w="3684" w:type="pct"/>
            <w:vAlign w:val="center"/>
          </w:tcPr>
          <w:p w14:paraId="4138E978">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开标过程中因本章第5.3.2项、第5.3.3项所列原因，导致系统无法正常运行，将由“吉林省公共资源交易一体化平台”技术人员采取补救措施。</w:t>
            </w:r>
          </w:p>
        </w:tc>
      </w:tr>
      <w:tr w14:paraId="3A28C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52ABFFD5">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6.1.1</w:t>
            </w:r>
          </w:p>
        </w:tc>
        <w:tc>
          <w:tcPr>
            <w:tcW w:w="821" w:type="pct"/>
            <w:vAlign w:val="center"/>
          </w:tcPr>
          <w:p w14:paraId="2B8271BC">
            <w:pPr>
              <w:adjustRightInd w:val="0"/>
              <w:snapToGrid w:val="0"/>
              <w:spacing w:line="340" w:lineRule="exact"/>
              <w:jc w:val="center"/>
              <w:rPr>
                <w:rFonts w:ascii="Times New Roman" w:hAnsi="Times New Roman"/>
                <w:bCs/>
                <w:szCs w:val="21"/>
                <w:highlight w:val="none"/>
              </w:rPr>
            </w:pPr>
            <w:r>
              <w:rPr>
                <w:rFonts w:ascii="Times New Roman" w:hAnsi="宋体"/>
                <w:bCs/>
                <w:szCs w:val="21"/>
                <w:highlight w:val="none"/>
              </w:rPr>
              <w:t>评标委员会</w:t>
            </w:r>
            <w:r>
              <w:rPr>
                <w:rFonts w:hint="eastAsia" w:ascii="Times New Roman" w:hAnsi="宋体"/>
                <w:bCs/>
                <w:szCs w:val="21"/>
                <w:highlight w:val="none"/>
              </w:rPr>
              <w:br w:type="textWrapping"/>
            </w:r>
            <w:r>
              <w:rPr>
                <w:rFonts w:ascii="Times New Roman" w:hAnsi="宋体"/>
                <w:bCs/>
                <w:szCs w:val="21"/>
                <w:highlight w:val="none"/>
              </w:rPr>
              <w:t>的组建</w:t>
            </w:r>
          </w:p>
        </w:tc>
        <w:tc>
          <w:tcPr>
            <w:tcW w:w="3684" w:type="pct"/>
            <w:vAlign w:val="center"/>
          </w:tcPr>
          <w:p w14:paraId="46520D97">
            <w:pPr>
              <w:adjustRightInd w:val="0"/>
              <w:snapToGrid w:val="0"/>
              <w:spacing w:line="340" w:lineRule="exact"/>
              <w:ind w:firstLine="210" w:firstLineChars="100"/>
              <w:rPr>
                <w:rFonts w:hint="eastAsia" w:ascii="宋体" w:hAnsi="宋体"/>
                <w:bCs/>
                <w:szCs w:val="21"/>
                <w:highlight w:val="none"/>
              </w:rPr>
            </w:pPr>
            <w:r>
              <w:rPr>
                <w:rFonts w:ascii="宋体" w:hAnsi="宋体"/>
                <w:bCs/>
                <w:szCs w:val="21"/>
                <w:highlight w:val="none"/>
              </w:rPr>
              <w:t>评标委员会构成：</w:t>
            </w:r>
            <w:r>
              <w:rPr>
                <w:rFonts w:hint="eastAsia" w:ascii="宋体" w:hAnsi="宋体"/>
                <w:bCs/>
                <w:szCs w:val="21"/>
                <w:highlight w:val="none"/>
              </w:rPr>
              <w:t>7</w:t>
            </w:r>
            <w:r>
              <w:rPr>
                <w:rFonts w:ascii="宋体" w:hAnsi="宋体"/>
                <w:bCs/>
                <w:szCs w:val="21"/>
                <w:highlight w:val="none"/>
              </w:rPr>
              <w:t>人，其中招标人代表</w:t>
            </w:r>
            <w:r>
              <w:rPr>
                <w:rFonts w:hint="eastAsia" w:ascii="宋体" w:hAnsi="宋体"/>
                <w:bCs/>
                <w:szCs w:val="21"/>
                <w:highlight w:val="none"/>
              </w:rPr>
              <w:t>2</w:t>
            </w:r>
            <w:r>
              <w:rPr>
                <w:rFonts w:ascii="宋体" w:hAnsi="宋体"/>
                <w:bCs/>
                <w:szCs w:val="21"/>
                <w:highlight w:val="none"/>
              </w:rPr>
              <w:t>人，专家</w:t>
            </w:r>
            <w:r>
              <w:rPr>
                <w:rFonts w:hint="eastAsia" w:ascii="宋体" w:hAnsi="宋体"/>
                <w:bCs/>
                <w:szCs w:val="21"/>
                <w:highlight w:val="none"/>
              </w:rPr>
              <w:t>5</w:t>
            </w:r>
            <w:r>
              <w:rPr>
                <w:rFonts w:ascii="宋体" w:hAnsi="宋体"/>
                <w:bCs/>
                <w:szCs w:val="21"/>
                <w:highlight w:val="none"/>
              </w:rPr>
              <w:t>人；</w:t>
            </w:r>
          </w:p>
          <w:p w14:paraId="54E040F5">
            <w:pPr>
              <w:adjustRightInd w:val="0"/>
              <w:snapToGrid w:val="0"/>
              <w:spacing w:line="340" w:lineRule="exact"/>
              <w:ind w:firstLine="210" w:firstLineChars="100"/>
              <w:rPr>
                <w:rFonts w:hint="eastAsia" w:ascii="宋体" w:hAnsi="宋体"/>
                <w:bCs/>
                <w:szCs w:val="21"/>
                <w:highlight w:val="none"/>
              </w:rPr>
            </w:pPr>
            <w:r>
              <w:rPr>
                <w:rFonts w:ascii="宋体" w:hAnsi="宋体"/>
                <w:bCs/>
                <w:szCs w:val="21"/>
                <w:highlight w:val="none"/>
              </w:rPr>
              <w:t>评标专家确定方式</w:t>
            </w:r>
            <w:r>
              <w:rPr>
                <w:rFonts w:hint="eastAsia" w:ascii="宋体" w:hAnsi="宋体"/>
                <w:bCs/>
                <w:szCs w:val="21"/>
                <w:highlight w:val="none"/>
              </w:rPr>
              <w:t>：依法从相应评标专家库中随机抽取。</w:t>
            </w:r>
          </w:p>
        </w:tc>
      </w:tr>
      <w:tr w14:paraId="7A92C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4A84C447">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6.3.2</w:t>
            </w:r>
          </w:p>
        </w:tc>
        <w:tc>
          <w:tcPr>
            <w:tcW w:w="821" w:type="pct"/>
            <w:vAlign w:val="center"/>
          </w:tcPr>
          <w:p w14:paraId="626AC1F7">
            <w:pPr>
              <w:adjustRightInd w:val="0"/>
              <w:snapToGrid w:val="0"/>
              <w:spacing w:line="340" w:lineRule="exact"/>
              <w:jc w:val="center"/>
              <w:rPr>
                <w:rFonts w:hint="eastAsia" w:ascii="Times New Roman" w:hAnsi="宋体"/>
                <w:bCs/>
                <w:szCs w:val="21"/>
                <w:highlight w:val="none"/>
              </w:rPr>
            </w:pPr>
            <w:r>
              <w:rPr>
                <w:rFonts w:hint="eastAsia" w:ascii="Times New Roman" w:hAnsi="宋体"/>
                <w:bCs/>
                <w:szCs w:val="21"/>
                <w:highlight w:val="none"/>
              </w:rPr>
              <w:t>评标委员会</w:t>
            </w:r>
            <w:r>
              <w:rPr>
                <w:rFonts w:ascii="Times New Roman" w:hAnsi="宋体"/>
                <w:bCs/>
                <w:szCs w:val="21"/>
                <w:highlight w:val="none"/>
              </w:rPr>
              <w:br w:type="textWrapping"/>
            </w:r>
            <w:r>
              <w:rPr>
                <w:rFonts w:hint="eastAsia" w:ascii="Times New Roman" w:hAnsi="宋体"/>
                <w:bCs/>
                <w:szCs w:val="21"/>
                <w:highlight w:val="none"/>
              </w:rPr>
              <w:t>推荐中标候选人的人数</w:t>
            </w:r>
          </w:p>
        </w:tc>
        <w:tc>
          <w:tcPr>
            <w:tcW w:w="3684" w:type="pct"/>
            <w:vAlign w:val="center"/>
          </w:tcPr>
          <w:p w14:paraId="34A00955">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1名</w:t>
            </w:r>
          </w:p>
        </w:tc>
      </w:tr>
      <w:tr w14:paraId="677C7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6C8B8FF7">
            <w:pPr>
              <w:adjustRightInd w:val="0"/>
              <w:snapToGrid w:val="0"/>
              <w:spacing w:line="340" w:lineRule="exact"/>
              <w:jc w:val="center"/>
              <w:rPr>
                <w:rFonts w:hint="eastAsia" w:ascii="宋体" w:hAnsi="宋体"/>
                <w:bCs/>
                <w:szCs w:val="21"/>
                <w:highlight w:val="none"/>
              </w:rPr>
            </w:pPr>
            <w:r>
              <w:rPr>
                <w:rFonts w:ascii="宋体" w:hAnsi="宋体"/>
                <w:bCs/>
                <w:szCs w:val="21"/>
                <w:highlight w:val="none"/>
              </w:rPr>
              <w:t>7.1</w:t>
            </w:r>
          </w:p>
        </w:tc>
        <w:tc>
          <w:tcPr>
            <w:tcW w:w="821" w:type="pct"/>
            <w:vAlign w:val="center"/>
          </w:tcPr>
          <w:p w14:paraId="411EE88C">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中标候选人</w:t>
            </w:r>
          </w:p>
          <w:p w14:paraId="59CC1966">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公示媒介及</w:t>
            </w:r>
          </w:p>
          <w:p w14:paraId="05F75665">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期限</w:t>
            </w:r>
          </w:p>
        </w:tc>
        <w:tc>
          <w:tcPr>
            <w:tcW w:w="3684" w:type="pct"/>
            <w:vAlign w:val="center"/>
          </w:tcPr>
          <w:p w14:paraId="7CBA0939">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公示媒介：中国招标投标公共服务平台、吉林省公共资源交易中心网（同步推送到吉林省公共资源交易公共服务平台）、吉林省交通运输厅网站。</w:t>
            </w:r>
          </w:p>
          <w:p w14:paraId="0800DA2E">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公示期限：不少于3日</w:t>
            </w:r>
          </w:p>
          <w:p w14:paraId="23BEBD9A">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公示的其他内容：《投标文件关键内容摘录表》中公示的其他内容。</w:t>
            </w:r>
          </w:p>
        </w:tc>
      </w:tr>
      <w:tr w14:paraId="2AFC7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2D813EEE">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7.4</w:t>
            </w:r>
          </w:p>
        </w:tc>
        <w:tc>
          <w:tcPr>
            <w:tcW w:w="821" w:type="pct"/>
            <w:vAlign w:val="center"/>
          </w:tcPr>
          <w:p w14:paraId="52580C79">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是否授权评标委员会确定中标人</w:t>
            </w:r>
          </w:p>
        </w:tc>
        <w:tc>
          <w:tcPr>
            <w:tcW w:w="3684" w:type="pct"/>
            <w:vAlign w:val="center"/>
          </w:tcPr>
          <w:p w14:paraId="16E359E6">
            <w:pPr>
              <w:adjustRightInd w:val="0"/>
              <w:snapToGrid w:val="0"/>
              <w:spacing w:line="340" w:lineRule="exact"/>
              <w:ind w:firstLine="210" w:firstLineChars="100"/>
              <w:rPr>
                <w:rFonts w:hint="eastAsia" w:ascii="宋体" w:hAnsi="宋体"/>
                <w:bCs/>
                <w:szCs w:val="21"/>
                <w:highlight w:val="none"/>
              </w:rPr>
            </w:pPr>
            <w:r>
              <w:rPr>
                <w:rFonts w:hint="eastAsia" w:ascii="宋体" w:hAnsi="宋体"/>
                <w:szCs w:val="21"/>
                <w:highlight w:val="none"/>
              </w:rPr>
              <w:t>否</w:t>
            </w:r>
          </w:p>
        </w:tc>
      </w:tr>
      <w:tr w14:paraId="2A654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330DACFC">
            <w:pPr>
              <w:adjustRightInd w:val="0"/>
              <w:snapToGrid w:val="0"/>
              <w:spacing w:line="340" w:lineRule="exact"/>
              <w:jc w:val="center"/>
              <w:rPr>
                <w:rFonts w:hint="eastAsia" w:ascii="宋体" w:hAnsi="宋体"/>
                <w:bCs/>
                <w:szCs w:val="21"/>
                <w:highlight w:val="none"/>
                <w:u w:val="wave"/>
              </w:rPr>
            </w:pPr>
            <w:r>
              <w:rPr>
                <w:rFonts w:hint="eastAsia" w:ascii="宋体" w:hAnsi="宋体"/>
                <w:bCs/>
                <w:szCs w:val="21"/>
                <w:highlight w:val="none"/>
              </w:rPr>
              <w:t>7.6</w:t>
            </w:r>
          </w:p>
        </w:tc>
        <w:tc>
          <w:tcPr>
            <w:tcW w:w="821" w:type="pct"/>
            <w:vAlign w:val="center"/>
          </w:tcPr>
          <w:p w14:paraId="2EB21843">
            <w:pPr>
              <w:adjustRightInd w:val="0"/>
              <w:snapToGrid w:val="0"/>
              <w:spacing w:line="340" w:lineRule="exact"/>
              <w:jc w:val="center"/>
              <w:rPr>
                <w:rFonts w:hint="eastAsia" w:ascii="宋体" w:hAnsi="宋体"/>
                <w:bCs/>
                <w:szCs w:val="21"/>
                <w:highlight w:val="none"/>
                <w:u w:val="wave"/>
              </w:rPr>
            </w:pPr>
            <w:r>
              <w:rPr>
                <w:rFonts w:hint="eastAsia" w:ascii="宋体" w:hAnsi="宋体"/>
                <w:bCs/>
                <w:szCs w:val="21"/>
                <w:highlight w:val="none"/>
              </w:rPr>
              <w:t>中标结果公告</w:t>
            </w:r>
            <w:r>
              <w:rPr>
                <w:rFonts w:ascii="宋体" w:hAnsi="宋体"/>
                <w:bCs/>
                <w:szCs w:val="21"/>
                <w:highlight w:val="none"/>
              </w:rPr>
              <w:br w:type="textWrapping"/>
            </w:r>
            <w:r>
              <w:rPr>
                <w:rFonts w:hint="eastAsia" w:ascii="宋体" w:hAnsi="宋体"/>
                <w:bCs/>
                <w:szCs w:val="21"/>
                <w:highlight w:val="none"/>
              </w:rPr>
              <w:t>媒介及期限</w:t>
            </w:r>
          </w:p>
        </w:tc>
        <w:tc>
          <w:tcPr>
            <w:tcW w:w="3684" w:type="pct"/>
            <w:vAlign w:val="center"/>
          </w:tcPr>
          <w:p w14:paraId="01599E95">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公告媒介：中国招标投标公共服务平台、吉林省公共资源交易中心网（同步推送到吉林省公共资源交易公共服务平台）、吉林省交通运输厅网站。</w:t>
            </w:r>
          </w:p>
          <w:p w14:paraId="66255E3E">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公告期限：不少于3日</w:t>
            </w:r>
          </w:p>
          <w:p w14:paraId="429D5F7E">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公告的其他内容：/</w:t>
            </w:r>
          </w:p>
        </w:tc>
      </w:tr>
      <w:tr w14:paraId="55767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0AE60A47">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7.7.1</w:t>
            </w:r>
          </w:p>
        </w:tc>
        <w:tc>
          <w:tcPr>
            <w:tcW w:w="821" w:type="pct"/>
            <w:vAlign w:val="center"/>
          </w:tcPr>
          <w:p w14:paraId="3624F9DE">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履约保证金</w:t>
            </w:r>
          </w:p>
        </w:tc>
        <w:tc>
          <w:tcPr>
            <w:tcW w:w="3684" w:type="pct"/>
            <w:vAlign w:val="center"/>
          </w:tcPr>
          <w:p w14:paraId="56536CA9">
            <w:pPr>
              <w:adjustRightInd w:val="0"/>
              <w:snapToGrid w:val="0"/>
              <w:spacing w:line="340" w:lineRule="exact"/>
              <w:rPr>
                <w:rFonts w:hint="eastAsia" w:ascii="宋体" w:hAnsi="宋体"/>
                <w:bCs/>
                <w:szCs w:val="21"/>
                <w:highlight w:val="none"/>
              </w:rPr>
            </w:pPr>
            <w:r>
              <w:rPr>
                <w:rFonts w:hint="eastAsia" w:ascii="宋体" w:hAnsi="宋体"/>
                <w:bCs/>
                <w:szCs w:val="21"/>
                <w:highlight w:val="none"/>
              </w:rPr>
              <w:t>是否要求中标人提交履约保证金：</w:t>
            </w:r>
          </w:p>
          <w:p w14:paraId="43929CB4">
            <w:pPr>
              <w:adjustRightInd w:val="0"/>
              <w:snapToGrid w:val="0"/>
              <w:spacing w:line="340" w:lineRule="exact"/>
              <w:rPr>
                <w:rFonts w:hint="eastAsia" w:ascii="宋体" w:hAnsi="宋体"/>
                <w:bCs/>
                <w:szCs w:val="21"/>
                <w:highlight w:val="none"/>
              </w:rPr>
            </w:pPr>
            <w:r>
              <w:rPr>
                <w:rFonts w:hint="eastAsia" w:ascii="宋体" w:hAnsi="宋体"/>
                <w:bCs/>
                <w:szCs w:val="21"/>
                <w:highlight w:val="none"/>
              </w:rPr>
              <w:t xml:space="preserve"> </w:t>
            </w:r>
            <w:r>
              <w:rPr>
                <w:rFonts w:ascii="Segoe UI Symbol" w:hAnsi="Segoe UI Symbol" w:eastAsia="黑体" w:cs="Segoe UI Symbol"/>
                <w:bCs/>
                <w:szCs w:val="21"/>
                <w:highlight w:val="none"/>
              </w:rPr>
              <w:t>☑</w:t>
            </w:r>
            <w:r>
              <w:rPr>
                <w:rFonts w:hint="eastAsia" w:ascii="黑体" w:hAnsi="黑体" w:eastAsia="黑体"/>
                <w:bCs/>
                <w:szCs w:val="21"/>
                <w:highlight w:val="none"/>
              </w:rPr>
              <w:t>要求</w:t>
            </w:r>
            <w:r>
              <w:rPr>
                <w:rFonts w:hint="eastAsia" w:ascii="宋体" w:hAnsi="宋体"/>
                <w:bCs/>
                <w:szCs w:val="21"/>
                <w:highlight w:val="none"/>
              </w:rPr>
              <w:t>，履约保证金的形式：现金、支票、银行保函、担保机构保函或招标人认可的其他形式。</w:t>
            </w:r>
          </w:p>
          <w:p w14:paraId="6A92842C">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履约保证金金额：</w:t>
            </w:r>
            <w:r>
              <w:rPr>
                <w:rFonts w:hint="eastAsia" w:ascii="黑体" w:hAnsi="黑体" w:eastAsia="黑体"/>
                <w:bCs/>
                <w:szCs w:val="21"/>
                <w:highlight w:val="none"/>
              </w:rPr>
              <w:t>5%签约合同价</w:t>
            </w:r>
            <w:r>
              <w:rPr>
                <w:rFonts w:hint="eastAsia" w:ascii="宋体" w:hAnsi="宋体"/>
                <w:bCs/>
                <w:szCs w:val="21"/>
                <w:highlight w:val="none"/>
              </w:rPr>
              <w:t>。</w:t>
            </w:r>
          </w:p>
          <w:p w14:paraId="11E58393">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注意：</w:t>
            </w:r>
          </w:p>
          <w:p w14:paraId="2CF54DFC">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（1）采用现金或支票形式时，应由中标人的基本账户转入发包人指定账户。</w:t>
            </w:r>
          </w:p>
          <w:p w14:paraId="59BD7D22">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（2）采用银行保函时，出具保函的银行级别：“工商银行、农业银行、中国银行、建设银行、交通银行、中国邮政储蓄银行”六大国有商业银行或全国性股份制商业银行的支行及以上级别。</w:t>
            </w:r>
          </w:p>
        </w:tc>
      </w:tr>
      <w:tr w14:paraId="3568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3BE25274">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8.5.1</w:t>
            </w:r>
          </w:p>
        </w:tc>
        <w:tc>
          <w:tcPr>
            <w:tcW w:w="821" w:type="pct"/>
            <w:vAlign w:val="center"/>
          </w:tcPr>
          <w:p w14:paraId="7481EF33">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监督部门</w:t>
            </w:r>
          </w:p>
        </w:tc>
        <w:tc>
          <w:tcPr>
            <w:tcW w:w="3684" w:type="pct"/>
            <w:vAlign w:val="center"/>
          </w:tcPr>
          <w:p w14:paraId="59095473">
            <w:pPr>
              <w:spacing w:line="340" w:lineRule="exact"/>
              <w:rPr>
                <w:rFonts w:hint="eastAsia" w:ascii="黑体" w:hAnsi="黑体" w:eastAsia="黑体"/>
                <w:szCs w:val="21"/>
                <w:highlight w:val="none"/>
              </w:rPr>
            </w:pPr>
            <w:r>
              <w:rPr>
                <w:rFonts w:hint="eastAsia" w:ascii="宋体" w:hAnsi="宋体"/>
                <w:szCs w:val="21"/>
                <w:highlight w:val="none"/>
              </w:rPr>
              <w:t>监督部门：</w:t>
            </w:r>
            <w:r>
              <w:rPr>
                <w:rFonts w:hint="eastAsia" w:ascii="黑体" w:hAnsi="黑体" w:eastAsia="黑体"/>
                <w:szCs w:val="21"/>
                <w:highlight w:val="none"/>
              </w:rPr>
              <w:t>吉林省交通运输厅</w:t>
            </w:r>
          </w:p>
          <w:p w14:paraId="55F99BA3">
            <w:pPr>
              <w:spacing w:line="340" w:lineRule="exact"/>
              <w:rPr>
                <w:rFonts w:hint="eastAsia" w:ascii="宋体" w:hAnsi="宋体"/>
                <w:szCs w:val="21"/>
                <w:highlight w:val="none"/>
              </w:rPr>
            </w:pPr>
            <w:r>
              <w:rPr>
                <w:rFonts w:hint="eastAsia" w:ascii="宋体" w:hAnsi="宋体"/>
                <w:szCs w:val="21"/>
                <w:highlight w:val="none"/>
              </w:rPr>
              <w:t>地　　址：吉林省长春市解放大路2518号交通大厦</w:t>
            </w:r>
          </w:p>
          <w:p w14:paraId="63D4B094">
            <w:pPr>
              <w:spacing w:line="340" w:lineRule="exact"/>
              <w:rPr>
                <w:rFonts w:hint="eastAsia" w:ascii="宋体" w:hAnsi="宋体"/>
                <w:szCs w:val="21"/>
                <w:highlight w:val="none"/>
              </w:rPr>
            </w:pPr>
            <w:r>
              <w:rPr>
                <w:rFonts w:hint="eastAsia" w:ascii="宋体" w:hAnsi="宋体"/>
                <w:szCs w:val="21"/>
                <w:highlight w:val="none"/>
              </w:rPr>
              <w:t>电　　话：0431-85097540</w:t>
            </w:r>
          </w:p>
          <w:p w14:paraId="7186FAF9">
            <w:pPr>
              <w:spacing w:line="340" w:lineRule="exact"/>
              <w:rPr>
                <w:rFonts w:hint="eastAsia" w:ascii="宋体" w:hAnsi="宋体"/>
                <w:szCs w:val="21"/>
                <w:highlight w:val="none"/>
              </w:rPr>
            </w:pPr>
            <w:r>
              <w:rPr>
                <w:rFonts w:ascii="宋体" w:hAnsi="宋体"/>
                <w:szCs w:val="21"/>
                <w:highlight w:val="none"/>
              </w:rPr>
              <w:t>传</w:t>
            </w:r>
            <w:r>
              <w:rPr>
                <w:rFonts w:hint="eastAsia" w:ascii="宋体" w:hAnsi="宋体"/>
                <w:szCs w:val="21"/>
                <w:highlight w:val="none"/>
              </w:rPr>
              <w:t xml:space="preserve"> </w:t>
            </w:r>
            <w:r>
              <w:rPr>
                <w:rFonts w:ascii="宋体" w:hAnsi="宋体"/>
                <w:szCs w:val="21"/>
                <w:highlight w:val="none"/>
              </w:rPr>
              <w:t xml:space="preserve">   真：</w:t>
            </w:r>
            <w:r>
              <w:rPr>
                <w:rFonts w:hint="eastAsia" w:ascii="宋体" w:hAnsi="宋体"/>
                <w:szCs w:val="21"/>
                <w:highlight w:val="none"/>
              </w:rPr>
              <w:t>0431-85097540</w:t>
            </w:r>
          </w:p>
          <w:p w14:paraId="0EE2FF4D">
            <w:pPr>
              <w:adjustRightInd w:val="0"/>
              <w:snapToGrid w:val="0"/>
              <w:spacing w:line="340" w:lineRule="exact"/>
              <w:rPr>
                <w:rFonts w:hint="eastAsia" w:ascii="宋体" w:hAnsi="宋体"/>
                <w:bCs/>
                <w:szCs w:val="21"/>
                <w:highlight w:val="none"/>
              </w:rPr>
            </w:pPr>
            <w:r>
              <w:rPr>
                <w:rFonts w:hint="eastAsia" w:ascii="宋体" w:hAnsi="宋体"/>
                <w:szCs w:val="21"/>
                <w:highlight w:val="none"/>
              </w:rPr>
              <w:t>邮政</w:t>
            </w:r>
            <w:r>
              <w:rPr>
                <w:rFonts w:ascii="宋体" w:hAnsi="宋体"/>
                <w:szCs w:val="21"/>
                <w:highlight w:val="none"/>
              </w:rPr>
              <w:t>编码：</w:t>
            </w:r>
            <w:r>
              <w:rPr>
                <w:rFonts w:hint="eastAsia" w:ascii="宋体" w:hAnsi="宋体"/>
                <w:szCs w:val="21"/>
                <w:highlight w:val="none"/>
              </w:rPr>
              <w:t>130021</w:t>
            </w:r>
          </w:p>
        </w:tc>
      </w:tr>
      <w:tr w14:paraId="77D35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95" w:type="pct"/>
            <w:vAlign w:val="center"/>
          </w:tcPr>
          <w:p w14:paraId="1568B714">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9</w:t>
            </w:r>
          </w:p>
        </w:tc>
        <w:tc>
          <w:tcPr>
            <w:tcW w:w="821" w:type="pct"/>
            <w:vAlign w:val="center"/>
          </w:tcPr>
          <w:p w14:paraId="6D443D40">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是否采用电子招标投标</w:t>
            </w:r>
          </w:p>
        </w:tc>
        <w:tc>
          <w:tcPr>
            <w:tcW w:w="3684" w:type="pct"/>
            <w:vAlign w:val="center"/>
          </w:tcPr>
          <w:p w14:paraId="6DEEA8EC">
            <w:pPr>
              <w:adjustRightInd w:val="0"/>
              <w:snapToGrid w:val="0"/>
              <w:spacing w:line="340" w:lineRule="exact"/>
              <w:ind w:firstLine="210" w:firstLineChars="100"/>
              <w:rPr>
                <w:rFonts w:hint="eastAsia" w:ascii="宋体" w:hAnsi="宋体" w:cs="宋体"/>
                <w:bCs/>
                <w:kern w:val="0"/>
                <w:szCs w:val="21"/>
                <w:highlight w:val="none"/>
              </w:rPr>
            </w:pPr>
            <w:r>
              <w:rPr>
                <w:rFonts w:hint="eastAsia" w:ascii="宋体" w:hAnsi="宋体" w:cs="宋体"/>
                <w:bCs/>
                <w:kern w:val="0"/>
                <w:szCs w:val="21"/>
                <w:highlight w:val="none"/>
              </w:rPr>
              <w:t>是</w:t>
            </w:r>
          </w:p>
        </w:tc>
      </w:tr>
      <w:tr w14:paraId="0388E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00" w:type="pct"/>
            <w:gridSpan w:val="3"/>
            <w:vAlign w:val="center"/>
          </w:tcPr>
          <w:p w14:paraId="5971F31F">
            <w:pPr>
              <w:adjustRightInd w:val="0"/>
              <w:snapToGrid w:val="0"/>
              <w:spacing w:line="340" w:lineRule="exact"/>
              <w:ind w:firstLine="210" w:firstLineChars="100"/>
              <w:rPr>
                <w:rFonts w:hint="eastAsia" w:ascii="宋体" w:hAnsi="宋体" w:cs="宋体"/>
                <w:bCs/>
                <w:kern w:val="0"/>
                <w:szCs w:val="21"/>
                <w:highlight w:val="none"/>
              </w:rPr>
            </w:pPr>
            <w:bookmarkStart w:id="80" w:name="OLE_LINK136"/>
            <w:r>
              <w:rPr>
                <w:rFonts w:hint="eastAsia" w:ascii="宋体" w:hAnsi="宋体" w:cs="宋体"/>
                <w:bCs/>
                <w:kern w:val="0"/>
                <w:szCs w:val="21"/>
                <w:highlight w:val="none"/>
              </w:rPr>
              <w:t>需要补充的其他内容</w:t>
            </w:r>
          </w:p>
        </w:tc>
      </w:tr>
      <w:bookmarkEnd w:id="71"/>
      <w:bookmarkEnd w:id="80"/>
      <w:tr w14:paraId="245F4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374" w:hRule="atLeast"/>
          <w:jc w:val="center"/>
        </w:trPr>
        <w:tc>
          <w:tcPr>
            <w:tcW w:w="5000" w:type="pct"/>
            <w:gridSpan w:val="3"/>
          </w:tcPr>
          <w:p w14:paraId="5F06267B">
            <w:pPr>
              <w:adjustRightInd w:val="0"/>
              <w:snapToGrid w:val="0"/>
              <w:spacing w:line="340" w:lineRule="exact"/>
              <w:ind w:firstLine="420" w:firstLineChars="200"/>
              <w:rPr>
                <w:rFonts w:hint="eastAsia" w:ascii="宋体" w:hAnsi="宋体"/>
                <w:bCs/>
                <w:szCs w:val="21"/>
                <w:highlight w:val="none"/>
              </w:rPr>
            </w:pPr>
            <w:bookmarkStart w:id="81" w:name="OLE_LINK112"/>
            <w:r>
              <w:rPr>
                <w:rFonts w:hint="eastAsia" w:ascii="黑体" w:hAnsi="黑体" w:eastAsia="黑体"/>
                <w:bCs/>
                <w:szCs w:val="21"/>
                <w:highlight w:val="none"/>
              </w:rPr>
              <w:t>10.</w:t>
            </w:r>
            <w:bookmarkStart w:id="82" w:name="OLE_LINK84"/>
            <w:r>
              <w:rPr>
                <w:rFonts w:hint="eastAsia" w:ascii="黑体" w:hAnsi="黑体" w:eastAsia="黑体"/>
                <w:bCs/>
                <w:szCs w:val="21"/>
                <w:highlight w:val="none"/>
              </w:rPr>
              <w:t>2 “双盲”评审：</w:t>
            </w:r>
            <w:r>
              <w:rPr>
                <w:rFonts w:ascii="宋体" w:hAnsi="宋体"/>
                <w:bCs/>
                <w:szCs w:val="21"/>
                <w:highlight w:val="none"/>
              </w:rPr>
              <w:t>本项目采用“双盲”评审，即评标专家“盲抽”和“盲评”，投标文件的施工组织设计部分采用“暗标”形式，投标人应严格按照“第九章投标文件格式”中的要求编制施工组织设计。如果施工组织设计出现能识别投标人的内容，经评标委员会确定后，将否决其投标。</w:t>
            </w:r>
          </w:p>
          <w:bookmarkEnd w:id="81"/>
          <w:p w14:paraId="09FF346C">
            <w:pPr>
              <w:widowControl/>
              <w:shd w:val="clear" w:color="auto" w:fill="FFFFFF"/>
              <w:adjustRightInd w:val="0"/>
              <w:spacing w:before="240" w:beforeLines="100" w:line="340" w:lineRule="exact"/>
              <w:ind w:firstLine="420" w:firstLineChars="200"/>
              <w:rPr>
                <w:rFonts w:hint="eastAsia" w:ascii="宋体" w:hAnsi="宋体" w:cs="宋体"/>
                <w:bCs/>
                <w:color w:val="363D45"/>
                <w:kern w:val="0"/>
                <w:szCs w:val="21"/>
                <w:highlight w:val="none"/>
              </w:rPr>
            </w:pPr>
            <w:r>
              <w:rPr>
                <w:rFonts w:hint="eastAsia" w:ascii="黑体" w:hAnsi="黑体" w:eastAsia="黑体" w:cs="宋体"/>
                <w:bCs/>
                <w:kern w:val="0"/>
                <w:szCs w:val="21"/>
                <w:highlight w:val="none"/>
              </w:rPr>
              <w:t>10.3</w:t>
            </w:r>
            <w:r>
              <w:rPr>
                <w:rFonts w:hint="eastAsia" w:ascii="黑体" w:hAnsi="黑体" w:eastAsia="黑体" w:cs="宋体"/>
                <w:bCs/>
                <w:szCs w:val="21"/>
                <w:highlight w:val="none"/>
              </w:rPr>
              <w:t>一体化平台：</w:t>
            </w:r>
            <w:bookmarkStart w:id="83" w:name="OLE_LINK85"/>
            <w:r>
              <w:rPr>
                <w:rFonts w:hint="eastAsia" w:ascii="宋体" w:hAnsi="宋体" w:cs="宋体"/>
                <w:bCs/>
                <w:color w:val="363D45"/>
                <w:szCs w:val="21"/>
                <w:highlight w:val="none"/>
              </w:rPr>
              <w:fldChar w:fldCharType="begin"/>
            </w:r>
            <w:r>
              <w:rPr>
                <w:rFonts w:hint="eastAsia" w:ascii="宋体" w:hAnsi="宋体" w:cs="宋体"/>
                <w:bCs/>
                <w:color w:val="363D45"/>
                <w:szCs w:val="21"/>
                <w:highlight w:val="none"/>
              </w:rPr>
              <w:instrText xml:space="preserve"> = 1 \* GB3 </w:instrText>
            </w:r>
            <w:r>
              <w:rPr>
                <w:rFonts w:hint="eastAsia" w:ascii="宋体" w:hAnsi="宋体" w:cs="宋体"/>
                <w:bCs/>
                <w:color w:val="363D45"/>
                <w:szCs w:val="21"/>
                <w:highlight w:val="none"/>
              </w:rPr>
              <w:fldChar w:fldCharType="separate"/>
            </w:r>
            <w:r>
              <w:rPr>
                <w:rFonts w:hint="eastAsia" w:ascii="宋体" w:hAnsi="宋体" w:cs="宋体"/>
                <w:bCs/>
                <w:color w:val="363D45"/>
                <w:szCs w:val="21"/>
                <w:highlight w:val="none"/>
              </w:rPr>
              <w:t>①</w:t>
            </w:r>
            <w:r>
              <w:rPr>
                <w:rFonts w:hint="eastAsia" w:ascii="宋体" w:hAnsi="宋体" w:cs="宋体"/>
                <w:bCs/>
                <w:color w:val="363D45"/>
                <w:szCs w:val="21"/>
                <w:highlight w:val="none"/>
              </w:rPr>
              <w:fldChar w:fldCharType="end"/>
            </w:r>
            <w:bookmarkEnd w:id="83"/>
            <w:r>
              <w:rPr>
                <w:rFonts w:hint="eastAsia" w:ascii="宋体" w:hAnsi="宋体" w:cs="宋体"/>
                <w:bCs/>
                <w:color w:val="363D45"/>
                <w:szCs w:val="21"/>
                <w:highlight w:val="none"/>
              </w:rPr>
              <w:t>本次招投标使用公共资源交易一体化平台系统，具体要求详见《关于做好全省公共资源交易一体化平台全面运行工作的通知》（吉政数联〔2022〕5号）文件。</w:t>
            </w:r>
          </w:p>
          <w:p w14:paraId="1E8AD0C1">
            <w:pPr>
              <w:widowControl/>
              <w:shd w:val="clear" w:color="auto" w:fill="FFFFFF"/>
              <w:adjustRightInd w:val="0"/>
              <w:spacing w:line="340" w:lineRule="exact"/>
              <w:ind w:firstLine="420" w:firstLineChars="200"/>
              <w:rPr>
                <w:rFonts w:hint="eastAsia" w:ascii="宋体" w:hAnsi="宋体" w:cs="宋体"/>
                <w:bCs/>
                <w:color w:val="363D45"/>
                <w:szCs w:val="21"/>
                <w:highlight w:val="none"/>
              </w:rPr>
            </w:pPr>
            <w:bookmarkStart w:id="84" w:name="OLE_LINK87"/>
            <w:r>
              <w:rPr>
                <w:rFonts w:hint="eastAsia" w:ascii="宋体" w:hAnsi="宋体" w:cs="宋体"/>
                <w:bCs/>
                <w:color w:val="363D45"/>
                <w:szCs w:val="21"/>
                <w:highlight w:val="none"/>
              </w:rPr>
              <w:fldChar w:fldCharType="begin"/>
            </w:r>
            <w:r>
              <w:rPr>
                <w:rFonts w:hint="eastAsia" w:ascii="宋体" w:hAnsi="宋体" w:cs="宋体"/>
                <w:bCs/>
                <w:color w:val="363D45"/>
                <w:szCs w:val="21"/>
                <w:highlight w:val="none"/>
              </w:rPr>
              <w:instrText xml:space="preserve"> = 2 \* GB3 </w:instrText>
            </w:r>
            <w:r>
              <w:rPr>
                <w:rFonts w:hint="eastAsia" w:ascii="宋体" w:hAnsi="宋体" w:cs="宋体"/>
                <w:bCs/>
                <w:color w:val="363D45"/>
                <w:szCs w:val="21"/>
                <w:highlight w:val="none"/>
              </w:rPr>
              <w:fldChar w:fldCharType="separate"/>
            </w:r>
            <w:r>
              <w:rPr>
                <w:rFonts w:hint="eastAsia" w:ascii="宋体" w:hAnsi="宋体" w:cs="宋体"/>
                <w:bCs/>
                <w:color w:val="363D45"/>
                <w:szCs w:val="21"/>
                <w:highlight w:val="none"/>
              </w:rPr>
              <w:t>②</w:t>
            </w:r>
            <w:r>
              <w:rPr>
                <w:rFonts w:hint="eastAsia" w:ascii="宋体" w:hAnsi="宋体" w:cs="宋体"/>
                <w:bCs/>
                <w:color w:val="363D45"/>
                <w:szCs w:val="21"/>
                <w:highlight w:val="none"/>
              </w:rPr>
              <w:fldChar w:fldCharType="end"/>
            </w:r>
            <w:bookmarkEnd w:id="84"/>
            <w:r>
              <w:rPr>
                <w:rFonts w:hint="eastAsia" w:ascii="宋体" w:hAnsi="宋体" w:cs="宋体"/>
                <w:bCs/>
                <w:color w:val="363D45"/>
                <w:szCs w:val="21"/>
                <w:highlight w:val="none"/>
              </w:rPr>
              <w:t>招投标交易主体及有关方面登录公共资源交易公共服务平台（https://www.ggzyyth.jl.cn/EpointSSO/memberLogin）完善主体信息后，再登录一体化平台系统（https://www.ggzyyth.jl.cn/TPBidder）开展交易活动。</w:t>
            </w:r>
          </w:p>
          <w:p w14:paraId="4E773475">
            <w:pPr>
              <w:widowControl/>
              <w:shd w:val="clear" w:color="auto" w:fill="FFFFFF"/>
              <w:adjustRightInd w:val="0"/>
              <w:spacing w:line="340" w:lineRule="exact"/>
              <w:ind w:firstLine="420" w:firstLineChars="200"/>
              <w:rPr>
                <w:rFonts w:hint="eastAsia" w:ascii="宋体" w:hAnsi="宋体"/>
                <w:bCs/>
                <w:szCs w:val="21"/>
                <w:highlight w:val="none"/>
              </w:rPr>
            </w:pPr>
            <w:bookmarkStart w:id="85" w:name="OLE_LINK88"/>
            <w:r>
              <w:rPr>
                <w:rFonts w:hint="eastAsia" w:ascii="宋体" w:hAnsi="宋体" w:cs="宋体"/>
                <w:bCs/>
                <w:color w:val="363D45"/>
                <w:szCs w:val="21"/>
                <w:highlight w:val="none"/>
              </w:rPr>
              <w:fldChar w:fldCharType="begin"/>
            </w:r>
            <w:r>
              <w:rPr>
                <w:rFonts w:hint="eastAsia" w:ascii="宋体" w:hAnsi="宋体" w:cs="宋体"/>
                <w:bCs/>
                <w:color w:val="363D45"/>
                <w:szCs w:val="21"/>
                <w:highlight w:val="none"/>
              </w:rPr>
              <w:instrText xml:space="preserve"> = 3 \* GB3 </w:instrText>
            </w:r>
            <w:r>
              <w:rPr>
                <w:rFonts w:hint="eastAsia" w:ascii="宋体" w:hAnsi="宋体" w:cs="宋体"/>
                <w:bCs/>
                <w:color w:val="363D45"/>
                <w:szCs w:val="21"/>
                <w:highlight w:val="none"/>
              </w:rPr>
              <w:fldChar w:fldCharType="separate"/>
            </w:r>
            <w:r>
              <w:rPr>
                <w:rFonts w:hint="eastAsia" w:ascii="宋体" w:hAnsi="宋体" w:cs="宋体"/>
                <w:bCs/>
                <w:color w:val="363D45"/>
                <w:szCs w:val="21"/>
                <w:highlight w:val="none"/>
              </w:rPr>
              <w:t>③</w:t>
            </w:r>
            <w:r>
              <w:rPr>
                <w:rFonts w:hint="eastAsia" w:ascii="宋体" w:hAnsi="宋体" w:cs="宋体"/>
                <w:bCs/>
                <w:color w:val="363D45"/>
                <w:szCs w:val="21"/>
                <w:highlight w:val="none"/>
              </w:rPr>
              <w:fldChar w:fldCharType="end"/>
            </w:r>
            <w:bookmarkEnd w:id="85"/>
            <w:r>
              <w:rPr>
                <w:rFonts w:hint="eastAsia" w:ascii="宋体" w:hAnsi="宋体"/>
                <w:bCs/>
                <w:szCs w:val="21"/>
                <w:highlight w:val="none"/>
              </w:rPr>
              <w:t>一体化平台实现数字证书（CA锁，含电子签章）全省互用。已办理过CA锁的交易主体，CA锁未到期限的，在办理一体化平台业务时，无需重新办理，只需在一体化平台上进行绑定激活，即可使用。拟新办CA锁的交易主体，可在任一平台及场所办理一体化平台数字证书CA锁。一体化平台技术咨询服务电话：0431-82752720。</w:t>
            </w:r>
          </w:p>
          <w:p w14:paraId="4E245D1F">
            <w:pPr>
              <w:adjustRightInd w:val="0"/>
              <w:snapToGrid w:val="0"/>
              <w:spacing w:line="340" w:lineRule="exact"/>
              <w:ind w:firstLine="420" w:firstLineChars="200"/>
              <w:rPr>
                <w:rFonts w:hint="eastAsia" w:ascii="宋体" w:hAnsi="宋体" w:cs="宋体"/>
                <w:bCs/>
                <w:color w:val="363D45"/>
                <w:szCs w:val="21"/>
                <w:highlight w:val="none"/>
              </w:rPr>
            </w:pPr>
            <w:r>
              <w:rPr>
                <w:rFonts w:hint="eastAsia" w:ascii="宋体" w:hAnsi="宋体" w:cs="宋体"/>
                <w:bCs/>
                <w:color w:val="363D45"/>
                <w:szCs w:val="21"/>
                <w:highlight w:val="none"/>
              </w:rPr>
              <w:fldChar w:fldCharType="begin"/>
            </w:r>
            <w:r>
              <w:rPr>
                <w:rFonts w:hint="eastAsia" w:ascii="宋体" w:hAnsi="宋体" w:cs="宋体"/>
                <w:bCs/>
                <w:color w:val="363D45"/>
                <w:szCs w:val="21"/>
                <w:highlight w:val="none"/>
              </w:rPr>
              <w:instrText xml:space="preserve"> = 4 \* GB3 </w:instrText>
            </w:r>
            <w:r>
              <w:rPr>
                <w:rFonts w:hint="eastAsia" w:ascii="宋体" w:hAnsi="宋体" w:cs="宋体"/>
                <w:bCs/>
                <w:color w:val="363D45"/>
                <w:szCs w:val="21"/>
                <w:highlight w:val="none"/>
              </w:rPr>
              <w:fldChar w:fldCharType="separate"/>
            </w:r>
            <w:r>
              <w:rPr>
                <w:rFonts w:hint="eastAsia" w:ascii="宋体" w:hAnsi="宋体" w:cs="宋体"/>
                <w:bCs/>
                <w:color w:val="363D45"/>
                <w:szCs w:val="21"/>
                <w:highlight w:val="none"/>
              </w:rPr>
              <w:t>④</w:t>
            </w:r>
            <w:r>
              <w:rPr>
                <w:rFonts w:hint="eastAsia" w:ascii="宋体" w:hAnsi="宋体" w:cs="宋体"/>
                <w:bCs/>
                <w:color w:val="363D45"/>
                <w:szCs w:val="21"/>
                <w:highlight w:val="none"/>
              </w:rPr>
              <w:fldChar w:fldCharType="end"/>
            </w:r>
            <w:r>
              <w:rPr>
                <w:rFonts w:hint="eastAsia" w:ascii="宋体" w:hAnsi="宋体" w:cs="宋体"/>
                <w:bCs/>
                <w:color w:val="363D45"/>
                <w:szCs w:val="21"/>
                <w:highlight w:val="none"/>
              </w:rPr>
              <w:t>投标人在“吉林省公路建设场信用信息服务系统”（以下简称“省公路信</w:t>
            </w:r>
            <w:bookmarkEnd w:id="82"/>
            <w:r>
              <w:rPr>
                <w:rFonts w:hint="eastAsia" w:ascii="宋体" w:hAnsi="宋体" w:cs="宋体"/>
                <w:bCs/>
                <w:color w:val="363D45"/>
                <w:szCs w:val="21"/>
                <w:highlight w:val="none"/>
              </w:rPr>
              <w:t>息系统”）完成注册及信息填报，具体操作流程详见“吉林省交通运输厅关于征集公路养护项目从业企业信息有关情况的公告”。</w:t>
            </w:r>
            <w:r>
              <w:rPr>
                <w:rFonts w:hint="eastAsia" w:ascii="黑体" w:hAnsi="黑体" w:eastAsia="黑体" w:cs="宋体"/>
                <w:bCs/>
                <w:color w:val="363D45"/>
                <w:szCs w:val="21"/>
                <w:highlight w:val="none"/>
              </w:rPr>
              <w:t>投标人宜在投标截止时间15天前完成省公路信息系统注册及信息填报</w:t>
            </w:r>
            <w:r>
              <w:rPr>
                <w:rFonts w:hint="eastAsia" w:ascii="宋体" w:hAnsi="宋体" w:cs="宋体"/>
                <w:bCs/>
                <w:color w:val="363D45"/>
                <w:szCs w:val="21"/>
                <w:highlight w:val="none"/>
              </w:rPr>
              <w:t>，咨询电话17390034503。</w:t>
            </w:r>
          </w:p>
          <w:p w14:paraId="64154853">
            <w:pPr>
              <w:adjustRightInd w:val="0"/>
              <w:snapToGrid w:val="0"/>
              <w:spacing w:before="240" w:beforeLines="100" w:line="340" w:lineRule="exact"/>
              <w:ind w:firstLine="420" w:firstLineChars="200"/>
              <w:rPr>
                <w:rFonts w:hint="eastAsia" w:ascii="宋体" w:hAnsi="宋体"/>
                <w:bCs/>
                <w:szCs w:val="21"/>
                <w:highlight w:val="none"/>
              </w:rPr>
            </w:pPr>
            <w:r>
              <w:rPr>
                <w:rFonts w:hint="eastAsia" w:ascii="黑体" w:hAnsi="黑体" w:eastAsia="黑体" w:cs="宋体"/>
                <w:bCs/>
                <w:kern w:val="0"/>
                <w:szCs w:val="21"/>
                <w:highlight w:val="none"/>
              </w:rPr>
              <w:t>10.4</w:t>
            </w:r>
            <w:r>
              <w:rPr>
                <w:rFonts w:hint="eastAsia" w:ascii="黑体" w:hAnsi="黑体" w:eastAsia="黑体" w:cs="宋体"/>
                <w:bCs/>
                <w:szCs w:val="21"/>
                <w:highlight w:val="none"/>
              </w:rPr>
              <w:t>变更修改和澄清等信息：</w:t>
            </w:r>
            <w:bookmarkStart w:id="86" w:name="_Hlk170804702"/>
            <w:r>
              <w:rPr>
                <w:rFonts w:hint="eastAsia" w:ascii="宋体" w:hAnsi="宋体"/>
                <w:bCs/>
                <w:szCs w:val="21"/>
                <w:highlight w:val="none"/>
              </w:rPr>
              <w:t>本项目的变更、招标文件修改和澄清等信息将在吉林省公共资源交易一体化平台（https://www.ggzyyth.jl.cn/TPBidder）上发布，请潜在投标人在参与本项目活动期间随时关注网站信息，否则出现一切后果由投标人自负。</w:t>
            </w:r>
            <w:bookmarkEnd w:id="86"/>
          </w:p>
          <w:p w14:paraId="1F847EBB">
            <w:pPr>
              <w:adjustRightInd w:val="0"/>
              <w:snapToGrid w:val="0"/>
              <w:spacing w:before="240" w:beforeLines="100" w:line="340" w:lineRule="exact"/>
              <w:ind w:firstLine="420" w:firstLineChars="200"/>
              <w:rPr>
                <w:rFonts w:hint="eastAsia" w:ascii="宋体" w:hAnsi="宋体"/>
                <w:bCs/>
                <w:szCs w:val="21"/>
                <w:highlight w:val="none"/>
              </w:rPr>
            </w:pPr>
            <w:r>
              <w:rPr>
                <w:rFonts w:hint="eastAsia" w:ascii="黑体" w:hAnsi="黑体" w:eastAsia="黑体"/>
                <w:bCs/>
                <w:szCs w:val="21"/>
                <w:highlight w:val="none"/>
              </w:rPr>
              <w:t>10.5视频开标：本项目采用视频直播形式进行开标活动，</w:t>
            </w:r>
            <w:r>
              <w:rPr>
                <w:rFonts w:hint="eastAsia" w:ascii="宋体" w:hAnsi="宋体"/>
                <w:bCs/>
                <w:szCs w:val="21"/>
                <w:highlight w:val="none"/>
              </w:rPr>
              <w:t>投标人未参加视频开标会议的，或未完全参加视频开标会议全过程的，视为认同开标会议结果。</w:t>
            </w:r>
          </w:p>
          <w:p w14:paraId="38FE98F6">
            <w:pPr>
              <w:adjustRightInd w:val="0"/>
              <w:snapToGrid w:val="0"/>
              <w:spacing w:line="340" w:lineRule="exact"/>
              <w:ind w:firstLine="420" w:firstLineChars="200"/>
              <w:rPr>
                <w:rFonts w:hint="eastAsia" w:ascii="黑体" w:hAnsi="黑体" w:eastAsia="黑体"/>
                <w:bCs/>
                <w:szCs w:val="21"/>
                <w:highlight w:val="none"/>
              </w:rPr>
            </w:pPr>
          </w:p>
          <w:p w14:paraId="1A3EE4B8">
            <w:pPr>
              <w:adjustRightInd w:val="0"/>
              <w:snapToGrid w:val="0"/>
              <w:spacing w:line="340" w:lineRule="exact"/>
              <w:ind w:firstLine="420" w:firstLineChars="200"/>
              <w:rPr>
                <w:rFonts w:hint="eastAsia" w:ascii="宋体" w:hAnsi="宋体"/>
                <w:bCs/>
                <w:szCs w:val="21"/>
                <w:highlight w:val="none"/>
              </w:rPr>
            </w:pPr>
            <w:r>
              <w:rPr>
                <w:rFonts w:hint="eastAsia" w:ascii="黑体" w:hAnsi="黑体" w:eastAsia="黑体"/>
                <w:bCs/>
                <w:szCs w:val="21"/>
                <w:highlight w:val="none"/>
              </w:rPr>
              <w:t>10.6</w:t>
            </w:r>
            <w:r>
              <w:rPr>
                <w:rFonts w:hint="eastAsia" w:ascii="黑体" w:hAnsi="黑体" w:eastAsia="黑体" w:cs="宋体"/>
                <w:bCs/>
                <w:szCs w:val="21"/>
                <w:highlight w:val="none"/>
              </w:rPr>
              <w:t>远程开标：</w:t>
            </w:r>
            <w:r>
              <w:rPr>
                <w:rFonts w:hint="eastAsia" w:ascii="宋体" w:hAnsi="宋体"/>
                <w:bCs/>
                <w:szCs w:val="21"/>
                <w:highlight w:val="none"/>
              </w:rPr>
              <w:t>本项目实施网上远程开标，投标人通过一体化平台系统进行远程投标文件解密。开标前，投标人应在准备解密的电脑端提前安装好CA驱动并且能正常登录系统。开标时在代理机构工作人员公布投标人名单后，按顺序进行解密，由投标人选择对应的项目，进入“开标远程解密”菜单，点击远程解密并输入CA 密码，成功解密后状态会显示“已解密”。</w:t>
            </w:r>
            <w:r>
              <w:rPr>
                <w:rFonts w:hint="eastAsia" w:ascii="黑体" w:hAnsi="黑体" w:eastAsia="黑体"/>
                <w:bCs/>
                <w:szCs w:val="21"/>
                <w:highlight w:val="none"/>
              </w:rPr>
              <w:t>投标文件解密时需插上生成投标文件的CA 锁进行解密，且正确输入密码，投标人未在规定的时间内完成解密的视为无效投标。投标人由于数字证书遗失、损坏、更换、续期等自身原因情况导致投标文件无法解密，由投标人自行承担责任</w:t>
            </w:r>
            <w:r>
              <w:rPr>
                <w:rFonts w:hint="eastAsia" w:ascii="宋体" w:hAnsi="宋体"/>
                <w:bCs/>
                <w:szCs w:val="21"/>
                <w:highlight w:val="none"/>
              </w:rPr>
              <w:t>。</w:t>
            </w:r>
          </w:p>
          <w:p w14:paraId="79D92807">
            <w:pPr>
              <w:adjustRightInd w:val="0"/>
              <w:snapToGrid w:val="0"/>
              <w:spacing w:before="240" w:beforeLines="100" w:line="340" w:lineRule="exact"/>
              <w:ind w:firstLine="420" w:firstLineChars="200"/>
              <w:rPr>
                <w:rFonts w:hint="eastAsia" w:ascii="宋体" w:hAnsi="宋体"/>
                <w:bCs/>
                <w:szCs w:val="21"/>
                <w:highlight w:val="none"/>
              </w:rPr>
            </w:pPr>
            <w:r>
              <w:rPr>
                <w:rFonts w:hint="eastAsia" w:ascii="黑体" w:hAnsi="黑体" w:eastAsia="黑体"/>
                <w:bCs/>
                <w:szCs w:val="21"/>
                <w:highlight w:val="none"/>
              </w:rPr>
              <w:t>10.7</w:t>
            </w:r>
            <w:r>
              <w:rPr>
                <w:rFonts w:hint="eastAsia" w:ascii="黑体" w:hAnsi="黑体" w:eastAsia="黑体" w:cs="宋体"/>
                <w:bCs/>
                <w:szCs w:val="21"/>
                <w:highlight w:val="none"/>
              </w:rPr>
              <w:t>关键内容公开：</w:t>
            </w:r>
            <w:r>
              <w:rPr>
                <w:rFonts w:hint="eastAsia" w:ascii="宋体" w:hAnsi="宋体"/>
                <w:bCs/>
                <w:szCs w:val="21"/>
                <w:highlight w:val="none"/>
              </w:rPr>
              <w:t>本次招标文件的</w:t>
            </w:r>
            <w:bookmarkStart w:id="87" w:name="OLE_LINK9"/>
            <w:r>
              <w:rPr>
                <w:rFonts w:hint="eastAsia" w:ascii="宋体" w:hAnsi="宋体"/>
                <w:bCs/>
                <w:szCs w:val="21"/>
                <w:highlight w:val="none"/>
              </w:rPr>
              <w:t>关键内容</w:t>
            </w:r>
            <w:bookmarkEnd w:id="87"/>
            <w:r>
              <w:rPr>
                <w:rFonts w:hint="eastAsia" w:ascii="宋体" w:hAnsi="宋体"/>
                <w:bCs/>
                <w:szCs w:val="21"/>
                <w:highlight w:val="none"/>
              </w:rPr>
              <w:t>在吉林省交通运输厅网站上公开。</w:t>
            </w:r>
          </w:p>
          <w:p w14:paraId="1AE195CC">
            <w:pPr>
              <w:adjustRightInd w:val="0"/>
              <w:snapToGrid w:val="0"/>
              <w:spacing w:before="240" w:beforeLines="100" w:line="340" w:lineRule="exact"/>
              <w:ind w:firstLine="420" w:firstLineChars="200"/>
              <w:rPr>
                <w:rFonts w:hint="eastAsia" w:ascii="宋体" w:hAnsi="宋体" w:cs="宋体"/>
                <w:bCs/>
                <w:kern w:val="0"/>
                <w:szCs w:val="21"/>
                <w:highlight w:val="none"/>
                <w:lang w:val="zh-CN"/>
              </w:rPr>
            </w:pPr>
            <w:r>
              <w:rPr>
                <w:rFonts w:hint="eastAsia" w:ascii="黑体" w:hAnsi="黑体" w:eastAsia="黑体"/>
                <w:bCs/>
                <w:szCs w:val="21"/>
                <w:highlight w:val="none"/>
              </w:rPr>
              <w:t>10.8</w:t>
            </w:r>
            <w:r>
              <w:rPr>
                <w:rFonts w:hint="eastAsia" w:ascii="黑体" w:hAnsi="黑体" w:eastAsia="黑体" w:cs="宋体"/>
                <w:bCs/>
                <w:szCs w:val="21"/>
                <w:highlight w:val="none"/>
              </w:rPr>
              <w:t>词语定义：</w:t>
            </w:r>
            <w:r>
              <w:rPr>
                <w:rFonts w:hint="eastAsia" w:ascii="宋体" w:hAnsi="宋体" w:cs="宋体"/>
                <w:bCs/>
                <w:color w:val="363D45"/>
                <w:szCs w:val="21"/>
                <w:highlight w:val="none"/>
              </w:rPr>
              <w:fldChar w:fldCharType="begin"/>
            </w:r>
            <w:r>
              <w:rPr>
                <w:rFonts w:hint="eastAsia" w:ascii="宋体" w:hAnsi="宋体" w:cs="宋体"/>
                <w:bCs/>
                <w:color w:val="363D45"/>
                <w:szCs w:val="21"/>
                <w:highlight w:val="none"/>
              </w:rPr>
              <w:instrText xml:space="preserve"> = 1 \* GB3 </w:instrText>
            </w:r>
            <w:r>
              <w:rPr>
                <w:rFonts w:hint="eastAsia" w:ascii="宋体" w:hAnsi="宋体" w:cs="宋体"/>
                <w:bCs/>
                <w:color w:val="363D45"/>
                <w:szCs w:val="21"/>
                <w:highlight w:val="none"/>
              </w:rPr>
              <w:fldChar w:fldCharType="separate"/>
            </w:r>
            <w:r>
              <w:rPr>
                <w:rFonts w:hint="eastAsia" w:ascii="宋体" w:hAnsi="宋体" w:cs="宋体"/>
                <w:bCs/>
                <w:color w:val="363D45"/>
                <w:szCs w:val="21"/>
                <w:highlight w:val="none"/>
              </w:rPr>
              <w:t>①</w:t>
            </w:r>
            <w:r>
              <w:rPr>
                <w:rFonts w:hint="eastAsia" w:ascii="宋体" w:hAnsi="宋体" w:cs="宋体"/>
                <w:bCs/>
                <w:color w:val="363D45"/>
                <w:szCs w:val="21"/>
                <w:highlight w:val="none"/>
              </w:rPr>
              <w:fldChar w:fldCharType="end"/>
            </w:r>
            <w:r>
              <w:rPr>
                <w:rFonts w:hint="eastAsia" w:ascii="宋体" w:hAnsi="宋体"/>
                <w:bCs/>
                <w:szCs w:val="21"/>
                <w:highlight w:val="none"/>
              </w:rPr>
              <w:t>本文件中</w:t>
            </w:r>
            <w:r>
              <w:rPr>
                <w:rFonts w:hint="eastAsia" w:ascii="宋体" w:hAnsi="宋体" w:cs="宋体"/>
                <w:bCs/>
                <w:kern w:val="0"/>
                <w:szCs w:val="21"/>
                <w:highlight w:val="none"/>
                <w:lang w:val="zh-CN"/>
              </w:rPr>
              <w:t>所称的</w:t>
            </w:r>
            <w:r>
              <w:rPr>
                <w:rFonts w:hint="eastAsia" w:ascii="宋体" w:hAnsi="宋体"/>
                <w:bCs/>
                <w:szCs w:val="21"/>
                <w:highlight w:val="none"/>
              </w:rPr>
              <w:t>“以上”、“以下”、“以内”</w:t>
            </w:r>
            <w:r>
              <w:rPr>
                <w:rFonts w:hint="eastAsia" w:ascii="宋体" w:hAnsi="宋体" w:cs="宋体"/>
                <w:bCs/>
                <w:kern w:val="0"/>
                <w:szCs w:val="21"/>
                <w:highlight w:val="none"/>
                <w:lang w:val="zh-CN"/>
              </w:rPr>
              <w:t>，包括本数；所称的</w:t>
            </w:r>
            <w:r>
              <w:rPr>
                <w:rFonts w:hint="eastAsia" w:ascii="宋体" w:hAnsi="宋体"/>
                <w:bCs/>
                <w:szCs w:val="21"/>
                <w:highlight w:val="none"/>
              </w:rPr>
              <w:t>“以外”</w:t>
            </w:r>
            <w:r>
              <w:rPr>
                <w:rFonts w:hint="eastAsia" w:ascii="宋体" w:hAnsi="宋体" w:cs="宋体"/>
                <w:bCs/>
                <w:kern w:val="0"/>
                <w:szCs w:val="21"/>
                <w:highlight w:val="none"/>
                <w:lang w:val="zh-CN"/>
              </w:rPr>
              <w:t>，不包括本数。</w:t>
            </w:r>
            <w:r>
              <w:rPr>
                <w:rFonts w:hint="eastAsia" w:ascii="宋体" w:hAnsi="宋体" w:cs="宋体"/>
                <w:bCs/>
                <w:color w:val="363D45"/>
                <w:szCs w:val="21"/>
                <w:highlight w:val="none"/>
              </w:rPr>
              <w:fldChar w:fldCharType="begin"/>
            </w:r>
            <w:r>
              <w:rPr>
                <w:rFonts w:hint="eastAsia" w:ascii="宋体" w:hAnsi="宋体" w:cs="宋体"/>
                <w:bCs/>
                <w:color w:val="363D45"/>
                <w:szCs w:val="21"/>
                <w:highlight w:val="none"/>
              </w:rPr>
              <w:instrText xml:space="preserve"> = 2 \* GB3 </w:instrText>
            </w:r>
            <w:r>
              <w:rPr>
                <w:rFonts w:hint="eastAsia" w:ascii="宋体" w:hAnsi="宋体" w:cs="宋体"/>
                <w:bCs/>
                <w:color w:val="363D45"/>
                <w:szCs w:val="21"/>
                <w:highlight w:val="none"/>
              </w:rPr>
              <w:fldChar w:fldCharType="separate"/>
            </w:r>
            <w:r>
              <w:rPr>
                <w:rFonts w:hint="eastAsia" w:ascii="宋体" w:hAnsi="宋体" w:cs="宋体"/>
                <w:bCs/>
                <w:color w:val="363D45"/>
                <w:szCs w:val="21"/>
                <w:highlight w:val="none"/>
              </w:rPr>
              <w:t>②</w:t>
            </w:r>
            <w:r>
              <w:rPr>
                <w:rFonts w:hint="eastAsia" w:ascii="宋体" w:hAnsi="宋体" w:cs="宋体"/>
                <w:bCs/>
                <w:color w:val="363D45"/>
                <w:szCs w:val="21"/>
                <w:highlight w:val="none"/>
              </w:rPr>
              <w:fldChar w:fldCharType="end"/>
            </w:r>
            <w:r>
              <w:rPr>
                <w:rFonts w:hint="eastAsia" w:ascii="宋体" w:hAnsi="宋体"/>
                <w:bCs/>
                <w:szCs w:val="21"/>
                <w:highlight w:val="none"/>
              </w:rPr>
              <w:t>除有特殊说明外，本文件中</w:t>
            </w:r>
            <w:r>
              <w:rPr>
                <w:rFonts w:hint="eastAsia" w:ascii="宋体" w:hAnsi="宋体" w:cs="宋体"/>
                <w:bCs/>
                <w:kern w:val="0"/>
                <w:szCs w:val="21"/>
                <w:highlight w:val="none"/>
                <w:lang w:val="zh-CN"/>
              </w:rPr>
              <w:t>所称的“近3年”或“近5年”等，是指自投标截止时间所在年度起逆推3年或5年。如：投标截止时间所在年度为202</w:t>
            </w:r>
            <w:r>
              <w:rPr>
                <w:rFonts w:hint="eastAsia" w:ascii="宋体" w:hAnsi="宋体" w:cs="宋体"/>
                <w:bCs/>
                <w:kern w:val="0"/>
                <w:szCs w:val="21"/>
                <w:highlight w:val="none"/>
              </w:rPr>
              <w:t>5</w:t>
            </w:r>
            <w:r>
              <w:rPr>
                <w:rFonts w:hint="eastAsia" w:ascii="宋体" w:hAnsi="宋体" w:cs="宋体"/>
                <w:bCs/>
                <w:kern w:val="0"/>
                <w:szCs w:val="21"/>
                <w:highlight w:val="none"/>
                <w:lang w:val="zh-CN"/>
              </w:rPr>
              <w:t>年，“近</w:t>
            </w:r>
            <w:r>
              <w:rPr>
                <w:rFonts w:ascii="宋体" w:hAnsi="宋体" w:cs="宋体"/>
                <w:bCs/>
                <w:kern w:val="0"/>
                <w:szCs w:val="21"/>
                <w:highlight w:val="none"/>
              </w:rPr>
              <w:t>3</w:t>
            </w:r>
            <w:r>
              <w:rPr>
                <w:rFonts w:hint="eastAsia" w:ascii="宋体" w:hAnsi="宋体" w:cs="宋体"/>
                <w:bCs/>
                <w:kern w:val="0"/>
                <w:szCs w:val="21"/>
                <w:highlight w:val="none"/>
                <w:lang w:val="zh-CN"/>
              </w:rPr>
              <w:t>年”的年限从202</w:t>
            </w:r>
            <w:r>
              <w:rPr>
                <w:rFonts w:hint="eastAsia" w:ascii="宋体" w:hAnsi="宋体" w:cs="宋体"/>
                <w:bCs/>
                <w:kern w:val="0"/>
                <w:szCs w:val="21"/>
                <w:highlight w:val="none"/>
              </w:rPr>
              <w:t>2</w:t>
            </w:r>
            <w:r>
              <w:rPr>
                <w:rFonts w:hint="eastAsia" w:ascii="宋体" w:hAnsi="宋体" w:cs="宋体"/>
                <w:bCs/>
                <w:kern w:val="0"/>
                <w:szCs w:val="21"/>
                <w:highlight w:val="none"/>
                <w:lang w:val="zh-CN"/>
              </w:rPr>
              <w:t>年1月1日算起</w:t>
            </w:r>
            <w:r>
              <w:rPr>
                <w:rFonts w:ascii="宋体" w:hAnsi="宋体" w:cs="宋体"/>
                <w:bCs/>
                <w:kern w:val="0"/>
                <w:szCs w:val="21"/>
                <w:highlight w:val="none"/>
              </w:rPr>
              <w:t>,</w:t>
            </w:r>
            <w:r>
              <w:rPr>
                <w:rFonts w:hint="eastAsia" w:ascii="宋体" w:hAnsi="宋体" w:cs="宋体"/>
                <w:bCs/>
                <w:kern w:val="0"/>
                <w:szCs w:val="21"/>
                <w:highlight w:val="none"/>
                <w:lang w:val="zh-CN"/>
              </w:rPr>
              <w:t>“近</w:t>
            </w:r>
            <w:r>
              <w:rPr>
                <w:rFonts w:ascii="宋体" w:hAnsi="宋体" w:cs="宋体"/>
                <w:bCs/>
                <w:kern w:val="0"/>
                <w:szCs w:val="21"/>
                <w:highlight w:val="none"/>
              </w:rPr>
              <w:t>5</w:t>
            </w:r>
            <w:r>
              <w:rPr>
                <w:rFonts w:hint="eastAsia" w:ascii="宋体" w:hAnsi="宋体" w:cs="宋体"/>
                <w:bCs/>
                <w:kern w:val="0"/>
                <w:szCs w:val="21"/>
                <w:highlight w:val="none"/>
                <w:lang w:val="zh-CN"/>
              </w:rPr>
              <w:t>年”的年限从2020年1月1日算起。</w:t>
            </w:r>
            <w:r>
              <w:rPr>
                <w:rFonts w:hint="eastAsia" w:ascii="宋体" w:hAnsi="宋体" w:cs="宋体"/>
                <w:bCs/>
                <w:color w:val="363D45"/>
                <w:szCs w:val="21"/>
                <w:highlight w:val="none"/>
              </w:rPr>
              <w:fldChar w:fldCharType="begin"/>
            </w:r>
            <w:r>
              <w:rPr>
                <w:rFonts w:hint="eastAsia" w:ascii="宋体" w:hAnsi="宋体" w:cs="宋体"/>
                <w:bCs/>
                <w:color w:val="363D45"/>
                <w:szCs w:val="21"/>
                <w:highlight w:val="none"/>
              </w:rPr>
              <w:instrText xml:space="preserve"> = 3 \* GB3 </w:instrText>
            </w:r>
            <w:r>
              <w:rPr>
                <w:rFonts w:hint="eastAsia" w:ascii="宋体" w:hAnsi="宋体" w:cs="宋体"/>
                <w:bCs/>
                <w:color w:val="363D45"/>
                <w:szCs w:val="21"/>
                <w:highlight w:val="none"/>
              </w:rPr>
              <w:fldChar w:fldCharType="separate"/>
            </w:r>
            <w:r>
              <w:rPr>
                <w:rFonts w:hint="eastAsia" w:ascii="宋体" w:hAnsi="宋体" w:cs="宋体"/>
                <w:bCs/>
                <w:color w:val="363D45"/>
                <w:szCs w:val="21"/>
                <w:highlight w:val="none"/>
              </w:rPr>
              <w:t>③</w:t>
            </w:r>
            <w:r>
              <w:rPr>
                <w:rFonts w:hint="eastAsia" w:ascii="宋体" w:hAnsi="宋体" w:cs="宋体"/>
                <w:bCs/>
                <w:color w:val="363D45"/>
                <w:szCs w:val="21"/>
                <w:highlight w:val="none"/>
              </w:rPr>
              <w:fldChar w:fldCharType="end"/>
            </w:r>
            <w:r>
              <w:rPr>
                <w:rFonts w:hint="eastAsia" w:ascii="宋体" w:hAnsi="宋体" w:cs="宋体"/>
                <w:bCs/>
                <w:kern w:val="0"/>
                <w:szCs w:val="21"/>
                <w:highlight w:val="none"/>
                <w:lang w:val="zh-CN"/>
              </w:rPr>
              <w:t xml:space="preserve"> “电子交易平台”指“吉林省公共资源交易一体化平台”。</w:t>
            </w:r>
          </w:p>
          <w:p w14:paraId="5B3C7352">
            <w:pPr>
              <w:adjustRightInd w:val="0"/>
              <w:snapToGrid w:val="0"/>
              <w:spacing w:before="240" w:beforeLines="100" w:line="340" w:lineRule="exact"/>
              <w:ind w:firstLine="420" w:firstLineChars="200"/>
              <w:rPr>
                <w:rFonts w:hint="eastAsia" w:ascii="宋体" w:hAnsi="宋体"/>
                <w:bCs/>
                <w:color w:val="000000"/>
                <w:szCs w:val="21"/>
                <w:highlight w:val="none"/>
              </w:rPr>
            </w:pPr>
            <w:r>
              <w:rPr>
                <w:rFonts w:hint="eastAsia" w:ascii="黑体" w:hAnsi="黑体" w:eastAsia="黑体" w:cs="宋体"/>
                <w:bCs/>
                <w:kern w:val="0"/>
                <w:szCs w:val="21"/>
                <w:highlight w:val="none"/>
                <w:lang w:val="zh-CN"/>
              </w:rPr>
              <w:t>10.9</w:t>
            </w:r>
            <w:r>
              <w:rPr>
                <w:rFonts w:hint="eastAsia" w:ascii="黑体" w:hAnsi="黑体" w:eastAsia="黑体" w:cs="宋体"/>
                <w:bCs/>
                <w:szCs w:val="21"/>
                <w:highlight w:val="none"/>
              </w:rPr>
              <w:t>中标人提供纸质投标文件：</w:t>
            </w:r>
            <w:r>
              <w:rPr>
                <w:rFonts w:hint="eastAsia" w:ascii="宋体" w:hAnsi="宋体"/>
                <w:bCs/>
                <w:color w:val="000000"/>
                <w:szCs w:val="21"/>
                <w:highlight w:val="none"/>
              </w:rPr>
              <w:t>如投标人中标，须再提供纸质投标文件正本一份，副本一份；中标人提供的纸质投标文件需与投标时提供的电子投标文件保持一致，如有不一致，以电子投标文件为准。</w:t>
            </w:r>
          </w:p>
          <w:p w14:paraId="256EBD42">
            <w:pPr>
              <w:adjustRightInd w:val="0"/>
              <w:snapToGrid w:val="0"/>
              <w:spacing w:line="340" w:lineRule="exact"/>
              <w:ind w:firstLine="210" w:firstLineChars="100"/>
              <w:rPr>
                <w:rFonts w:hint="eastAsia" w:ascii="宋体" w:hAnsi="宋体" w:cs="宋体"/>
                <w:bCs/>
                <w:kern w:val="0"/>
                <w:szCs w:val="21"/>
                <w:highlight w:val="none"/>
              </w:rPr>
            </w:pPr>
            <w:r>
              <w:rPr>
                <w:rFonts w:hint="eastAsia" w:ascii="宋体" w:hAnsi="宋体"/>
                <w:bCs/>
                <w:color w:val="000000"/>
                <w:szCs w:val="21"/>
                <w:highlight w:val="none"/>
              </w:rPr>
              <w:t>中标人递交的纸质投标文件应是电子投标文件的打印件，正本应按招标文件要求加盖投标人单位公章，纸质投标文件应标注页码，且不得采用活页夹装订。</w:t>
            </w:r>
          </w:p>
        </w:tc>
      </w:tr>
      <w:tr w14:paraId="64969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46" w:hRule="atLeast"/>
          <w:jc w:val="center"/>
        </w:trPr>
        <w:tc>
          <w:tcPr>
            <w:tcW w:w="5000" w:type="pct"/>
            <w:gridSpan w:val="3"/>
            <w:vAlign w:val="center"/>
          </w:tcPr>
          <w:p w14:paraId="42B6F56E">
            <w:pPr>
              <w:autoSpaceDE w:val="0"/>
              <w:autoSpaceDN w:val="0"/>
              <w:adjustRightInd w:val="0"/>
              <w:snapToGrid w:val="0"/>
              <w:spacing w:before="240" w:beforeLines="100" w:line="340" w:lineRule="exact"/>
              <w:jc w:val="left"/>
              <w:rPr>
                <w:rFonts w:hint="eastAsia" w:ascii="宋体" w:hAnsi="宋体"/>
                <w:bCs/>
                <w:szCs w:val="21"/>
                <w:highlight w:val="none"/>
              </w:rPr>
            </w:pPr>
            <w:r>
              <w:rPr>
                <w:rFonts w:hint="eastAsia" w:ascii="黑体" w:hAnsi="黑体" w:eastAsia="黑体"/>
                <w:bCs/>
                <w:color w:val="000000"/>
                <w:szCs w:val="21"/>
                <w:highlight w:val="none"/>
              </w:rPr>
              <w:t xml:space="preserve">10.10 </w:t>
            </w:r>
            <w:r>
              <w:rPr>
                <w:rFonts w:hint="eastAsia" w:ascii="黑体" w:hAnsi="黑体" w:eastAsia="黑体"/>
                <w:bCs/>
                <w:szCs w:val="21"/>
                <w:highlight w:val="none"/>
              </w:rPr>
              <w:t>招标代理服务费</w:t>
            </w:r>
            <w:r>
              <w:rPr>
                <w:rFonts w:hint="eastAsia" w:ascii="宋体" w:hAnsi="宋体"/>
                <w:bCs/>
                <w:szCs w:val="21"/>
                <w:highlight w:val="none"/>
              </w:rPr>
              <w:t>：参考原国家计委 《招标代理服务收费管理暂行办法》（计价格〔2002〕1980号）、《国家发展改革委办公厅关于招标代理服务收费有关问题的通知》（发改办价格〔2003〕857号）、《国家发展改革委关于降低部分建设项目收费标准规范收费行为等有关问题的通知》（发改价格〔2011〕534号）规定的招标代理服务收费差额费率计算本标段的招标代理服务费，</w:t>
            </w:r>
            <w:r>
              <w:rPr>
                <w:rFonts w:hint="eastAsia" w:ascii="宋体" w:hAnsi="宋体"/>
                <w:bCs/>
                <w:szCs w:val="21"/>
                <w:highlight w:val="none"/>
                <w:lang w:bidi="ar"/>
              </w:rPr>
              <w:t>中标金额1000万元以上的按照该费率的60%计算。</w:t>
            </w:r>
          </w:p>
          <w:p w14:paraId="7FF25200">
            <w:pPr>
              <w:keepLines/>
              <w:adjustRightInd w:val="0"/>
              <w:snapToGrid w:val="0"/>
              <w:spacing w:line="340" w:lineRule="exact"/>
              <w:ind w:firstLine="420" w:firstLineChars="200"/>
              <w:rPr>
                <w:rFonts w:hint="eastAsia" w:ascii="宋体" w:hAnsi="宋体"/>
                <w:bCs/>
                <w:szCs w:val="21"/>
                <w:highlight w:val="none"/>
              </w:rPr>
            </w:pPr>
            <w:r>
              <w:rPr>
                <w:rFonts w:hint="eastAsia" w:ascii="宋体" w:hAnsi="宋体"/>
                <w:bCs/>
                <w:szCs w:val="21"/>
                <w:highlight w:val="none"/>
              </w:rPr>
              <w:t>在签订合同前，中标人应将招标代理服务费以电汇形式递交至招标代理机构提供的以下账户：</w:t>
            </w:r>
          </w:p>
          <w:p w14:paraId="0E40D06D">
            <w:pPr>
              <w:spacing w:line="340" w:lineRule="exact"/>
              <w:ind w:firstLine="420" w:firstLineChars="200"/>
              <w:rPr>
                <w:rFonts w:hint="eastAsia" w:ascii="宋体" w:hAnsi="宋体"/>
                <w:bCs/>
                <w:szCs w:val="21"/>
                <w:highlight w:val="none"/>
              </w:rPr>
            </w:pPr>
            <w:r>
              <w:rPr>
                <w:rFonts w:hint="eastAsia" w:ascii="宋体" w:hAnsi="宋体"/>
                <w:bCs/>
                <w:szCs w:val="21"/>
                <w:highlight w:val="none"/>
              </w:rPr>
              <w:t xml:space="preserve">开户名称：吉林省伟邦公路技术有限公司 </w:t>
            </w:r>
          </w:p>
          <w:p w14:paraId="23CF9257">
            <w:pPr>
              <w:spacing w:line="340" w:lineRule="exact"/>
              <w:ind w:firstLine="420" w:firstLineChars="200"/>
              <w:rPr>
                <w:rFonts w:hint="eastAsia" w:ascii="宋体" w:hAnsi="宋体"/>
                <w:bCs/>
                <w:szCs w:val="21"/>
                <w:highlight w:val="none"/>
              </w:rPr>
            </w:pPr>
            <w:r>
              <w:rPr>
                <w:rFonts w:hint="eastAsia" w:ascii="宋体" w:hAnsi="宋体"/>
                <w:bCs/>
                <w:szCs w:val="21"/>
                <w:highlight w:val="none"/>
              </w:rPr>
              <w:t xml:space="preserve">开户银行：建设银行九台支行 </w:t>
            </w:r>
          </w:p>
          <w:p w14:paraId="7DA1C85D">
            <w:pPr>
              <w:spacing w:line="340" w:lineRule="exact"/>
              <w:ind w:firstLine="420" w:firstLineChars="200"/>
              <w:rPr>
                <w:rFonts w:hint="eastAsia" w:ascii="宋体" w:hAnsi="宋体"/>
                <w:bCs/>
                <w:color w:val="000000"/>
                <w:szCs w:val="21"/>
                <w:highlight w:val="none"/>
              </w:rPr>
            </w:pPr>
            <w:r>
              <w:rPr>
                <w:rFonts w:hint="eastAsia" w:ascii="宋体" w:hAnsi="宋体"/>
                <w:bCs/>
                <w:szCs w:val="21"/>
                <w:highlight w:val="none"/>
              </w:rPr>
              <w:t>银行账号：22001390100055001391</w:t>
            </w:r>
          </w:p>
          <w:p w14:paraId="4290A33A">
            <w:pPr>
              <w:adjustRightInd w:val="0"/>
              <w:snapToGrid w:val="0"/>
              <w:spacing w:before="240" w:beforeLines="100" w:line="340" w:lineRule="exact"/>
              <w:ind w:firstLine="420" w:firstLineChars="200"/>
              <w:rPr>
                <w:rFonts w:hint="eastAsia" w:ascii="宋体" w:hAnsi="宋体"/>
                <w:bCs/>
                <w:color w:val="000000"/>
                <w:szCs w:val="21"/>
                <w:highlight w:val="none"/>
              </w:rPr>
            </w:pPr>
            <w:r>
              <w:rPr>
                <w:rFonts w:hint="eastAsia" w:ascii="黑体" w:hAnsi="黑体" w:eastAsia="黑体"/>
                <w:bCs/>
                <w:color w:val="000000"/>
                <w:szCs w:val="21"/>
                <w:highlight w:val="none"/>
              </w:rPr>
              <w:t>10.11</w:t>
            </w:r>
            <w:r>
              <w:rPr>
                <w:rFonts w:hint="eastAsia" w:ascii="黑体" w:hAnsi="黑体" w:eastAsia="黑体" w:cs="宋体"/>
                <w:bCs/>
                <w:szCs w:val="21"/>
                <w:highlight w:val="none"/>
              </w:rPr>
              <w:t>其他：</w:t>
            </w:r>
            <w:r>
              <w:rPr>
                <w:rFonts w:hint="eastAsia" w:ascii="宋体" w:hAnsi="宋体"/>
                <w:bCs/>
                <w:color w:val="000000"/>
                <w:szCs w:val="21"/>
                <w:highlight w:val="none"/>
              </w:rPr>
              <w:t>本文件中的“全国公路建设市场信用信息管理系统”均应为“全国公路建设市场监督管理系统”。</w:t>
            </w:r>
          </w:p>
          <w:p w14:paraId="03B8D380">
            <w:pPr>
              <w:adjustRightInd w:val="0"/>
              <w:snapToGrid w:val="0"/>
              <w:spacing w:before="240" w:beforeLines="100" w:line="340" w:lineRule="exact"/>
              <w:ind w:firstLine="420" w:firstLineChars="200"/>
              <w:rPr>
                <w:rFonts w:hint="eastAsia" w:ascii="宋体" w:hAnsi="宋体"/>
                <w:szCs w:val="21"/>
                <w:highlight w:val="none"/>
              </w:rPr>
            </w:pPr>
          </w:p>
        </w:tc>
      </w:tr>
    </w:tbl>
    <w:p w14:paraId="3F82E9D2">
      <w:pPr>
        <w:widowControl/>
        <w:adjustRightInd w:val="0"/>
        <w:jc w:val="left"/>
        <w:rPr>
          <w:rFonts w:ascii="Times New Roman" w:hAnsi="Times New Roman"/>
          <w:bCs/>
          <w:highlight w:val="none"/>
        </w:rPr>
      </w:pPr>
      <w:bookmarkStart w:id="88" w:name="_Toc436994103"/>
      <w:bookmarkStart w:id="89" w:name="_Toc197950683"/>
      <w:bookmarkStart w:id="90" w:name="_Toc197965598"/>
      <w:bookmarkStart w:id="91" w:name="_Toc197951589"/>
      <w:bookmarkStart w:id="92" w:name="_Toc197967119"/>
      <w:bookmarkStart w:id="93" w:name="_Toc197967267"/>
      <w:bookmarkStart w:id="94" w:name="_Toc197960494"/>
      <w:bookmarkStart w:id="95" w:name="_Toc197950804"/>
      <w:bookmarkStart w:id="96" w:name="_Toc197960546"/>
      <w:r>
        <w:rPr>
          <w:rFonts w:ascii="Times New Roman" w:hAnsi="Times New Roman"/>
          <w:bCs/>
          <w:highlight w:val="none"/>
        </w:rPr>
        <w:br w:type="page"/>
      </w:r>
    </w:p>
    <w:p w14:paraId="521A1BC3">
      <w:pPr>
        <w:pStyle w:val="5"/>
        <w:adjustRightInd w:val="0"/>
        <w:snapToGrid w:val="0"/>
        <w:spacing w:beforeLines="50" w:after="0"/>
        <w:ind w:firstLine="280" w:firstLineChars="100"/>
        <w:jc w:val="center"/>
        <w:rPr>
          <w:rFonts w:hint="eastAsia" w:ascii="黑体" w:hAnsi="黑体"/>
          <w:highlight w:val="none"/>
        </w:rPr>
      </w:pPr>
      <w:bookmarkStart w:id="97" w:name="OLE_LINK8"/>
      <w:bookmarkStart w:id="98" w:name="_Hlk189900789"/>
      <w:bookmarkStart w:id="99" w:name="_Hlk190088341"/>
      <w:bookmarkStart w:id="100" w:name="_Hlk189925200"/>
      <w:r>
        <w:rPr>
          <w:rFonts w:hint="eastAsia" w:ascii="黑体" w:hAnsi="黑体"/>
          <w:sz w:val="28"/>
          <w:highlight w:val="none"/>
          <w:lang w:val="zh-CN"/>
        </w:rPr>
        <w:t>附录1资格审查条件（资质最低要求）</w:t>
      </w:r>
    </w:p>
    <w:tbl>
      <w:tblPr>
        <w:tblStyle w:val="5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18EB94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vAlign w:val="center"/>
          </w:tcPr>
          <w:p w14:paraId="4EA7DD8F">
            <w:pPr>
              <w:snapToGrid w:val="0"/>
              <w:spacing w:line="360" w:lineRule="exact"/>
              <w:jc w:val="center"/>
              <w:rPr>
                <w:rFonts w:hint="eastAsia" w:ascii="宋体" w:hAnsi="宋体"/>
                <w:szCs w:val="21"/>
                <w:highlight w:val="none"/>
              </w:rPr>
            </w:pPr>
            <w:r>
              <w:rPr>
                <w:rFonts w:hint="eastAsia" w:ascii="宋体" w:hAnsi="宋体"/>
                <w:szCs w:val="21"/>
                <w:highlight w:val="none"/>
              </w:rPr>
              <w:t>施工企业资质等级要求</w:t>
            </w:r>
          </w:p>
        </w:tc>
      </w:tr>
      <w:tr w14:paraId="406313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5000" w:type="pct"/>
            <w:vAlign w:val="center"/>
          </w:tcPr>
          <w:p w14:paraId="064D41DB">
            <w:pPr>
              <w:spacing w:line="360" w:lineRule="exact"/>
              <w:ind w:firstLine="420" w:firstLineChars="200"/>
              <w:rPr>
                <w:rFonts w:hint="eastAsia" w:ascii="宋体" w:hAnsi="宋体"/>
                <w:bCs/>
                <w:szCs w:val="21"/>
                <w:highlight w:val="none"/>
              </w:rPr>
            </w:pPr>
            <w:r>
              <w:rPr>
                <w:rFonts w:hint="eastAsia" w:ascii="宋体" w:hAnsi="宋体"/>
                <w:bCs/>
                <w:highlight w:val="none"/>
              </w:rPr>
              <w:t>投标人</w:t>
            </w:r>
            <w:r>
              <w:rPr>
                <w:rFonts w:hint="eastAsia" w:ascii="宋体" w:hAnsi="宋体"/>
                <w:bCs/>
                <w:szCs w:val="21"/>
                <w:highlight w:val="none"/>
              </w:rPr>
              <w:t>须同时具备交通运输主管部门核发的以下资质：</w:t>
            </w:r>
          </w:p>
          <w:p w14:paraId="7A503B51">
            <w:pPr>
              <w:adjustRightInd w:val="0"/>
              <w:snapToGrid w:val="0"/>
              <w:spacing w:line="360" w:lineRule="exact"/>
              <w:ind w:firstLine="420" w:firstLineChars="200"/>
              <w:rPr>
                <w:rFonts w:hint="eastAsia" w:ascii="黑体" w:hAnsi="黑体" w:eastAsia="黑体"/>
                <w:bCs/>
                <w:szCs w:val="21"/>
                <w:highlight w:val="none"/>
              </w:rPr>
            </w:pPr>
            <w:r>
              <w:rPr>
                <w:rFonts w:hint="eastAsia" w:ascii="黑体" w:hAnsi="黑体" w:eastAsia="黑体"/>
                <w:bCs/>
                <w:szCs w:val="21"/>
                <w:highlight w:val="none"/>
              </w:rPr>
              <w:t>YB25SH01标段：</w:t>
            </w:r>
            <w:r>
              <w:rPr>
                <w:rFonts w:hint="eastAsia" w:ascii="宋体" w:hAnsi="宋体"/>
                <w:bCs/>
                <w:szCs w:val="21"/>
                <w:highlight w:val="none"/>
              </w:rPr>
              <w:t>具备路基路面养护乙级（或甲级）资质、桥梁养护乙级（或甲级）资质、隧道养护乙级（或甲级）资质、</w:t>
            </w:r>
            <w:r>
              <w:rPr>
                <w:rFonts w:hint="eastAsia" w:ascii="宋体" w:hAnsi="宋体"/>
                <w:szCs w:val="21"/>
                <w:highlight w:val="none"/>
              </w:rPr>
              <w:t>交通安全设施养护资质（可以承担二级及以下公路交通安全设施的各类养护工程）或交通安全设施养护资质（可以承担各等级公路交通安全设施的各类养护工程）。</w:t>
            </w:r>
          </w:p>
          <w:p w14:paraId="7CA4266D">
            <w:pPr>
              <w:adjustRightInd w:val="0"/>
              <w:snapToGrid w:val="0"/>
              <w:spacing w:line="360" w:lineRule="exact"/>
              <w:ind w:firstLine="420" w:firstLineChars="200"/>
              <w:rPr>
                <w:rFonts w:hint="eastAsia" w:ascii="楷体" w:hAnsi="楷体" w:eastAsia="楷体"/>
                <w:szCs w:val="21"/>
                <w:highlight w:val="none"/>
              </w:rPr>
            </w:pPr>
            <w:r>
              <w:rPr>
                <w:rFonts w:hint="eastAsia" w:ascii="黑体" w:hAnsi="黑体" w:eastAsia="黑体"/>
                <w:bCs/>
                <w:szCs w:val="21"/>
                <w:highlight w:val="none"/>
              </w:rPr>
              <w:t>YB25ZH01标段：</w:t>
            </w:r>
            <w:r>
              <w:rPr>
                <w:rFonts w:hint="eastAsia" w:ascii="宋体" w:hAnsi="宋体"/>
                <w:bCs/>
                <w:szCs w:val="21"/>
                <w:highlight w:val="none"/>
              </w:rPr>
              <w:t>具备路基路面养护乙级（或甲级）资质。</w:t>
            </w:r>
          </w:p>
        </w:tc>
      </w:tr>
    </w:tbl>
    <w:p w14:paraId="33F45D28">
      <w:pPr>
        <w:spacing w:line="360" w:lineRule="exact"/>
        <w:rPr>
          <w:rFonts w:hint="eastAsia" w:ascii="宋体" w:hAnsi="宋体"/>
          <w:highlight w:val="none"/>
        </w:rPr>
      </w:pPr>
    </w:p>
    <w:p w14:paraId="4AA5B76E">
      <w:pPr>
        <w:spacing w:line="360" w:lineRule="exact"/>
        <w:rPr>
          <w:rFonts w:hint="eastAsia" w:ascii="宋体" w:hAnsi="宋体"/>
          <w:highlight w:val="none"/>
        </w:rPr>
      </w:pPr>
    </w:p>
    <w:p w14:paraId="74581D0A">
      <w:pPr>
        <w:pStyle w:val="5"/>
        <w:adjustRightInd w:val="0"/>
        <w:snapToGrid w:val="0"/>
        <w:spacing w:beforeLines="50" w:after="0" w:line="360" w:lineRule="exact"/>
        <w:ind w:firstLine="280" w:firstLineChars="100"/>
        <w:jc w:val="center"/>
        <w:rPr>
          <w:highlight w:val="none"/>
          <w:lang w:val="zh-CN"/>
        </w:rPr>
      </w:pPr>
      <w:r>
        <w:rPr>
          <w:rFonts w:hint="eastAsia" w:ascii="黑体" w:hAnsi="黑体"/>
          <w:sz w:val="28"/>
          <w:highlight w:val="none"/>
          <w:lang w:val="zh-CN"/>
        </w:rPr>
        <w:t>附录2资格审查条件（财务最低要求）</w:t>
      </w:r>
    </w:p>
    <w:tbl>
      <w:tblPr>
        <w:tblStyle w:val="5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74F892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vAlign w:val="center"/>
          </w:tcPr>
          <w:p w14:paraId="305CD8DE">
            <w:pPr>
              <w:snapToGrid w:val="0"/>
              <w:spacing w:line="360" w:lineRule="exact"/>
              <w:jc w:val="center"/>
              <w:rPr>
                <w:rFonts w:hint="eastAsia" w:ascii="宋体" w:hAnsi="宋体"/>
                <w:szCs w:val="21"/>
                <w:highlight w:val="none"/>
              </w:rPr>
            </w:pPr>
            <w:r>
              <w:rPr>
                <w:rFonts w:hint="eastAsia" w:ascii="宋体" w:hAnsi="宋体"/>
                <w:szCs w:val="21"/>
                <w:highlight w:val="none"/>
              </w:rPr>
              <w:t>财务要求</w:t>
            </w:r>
          </w:p>
        </w:tc>
      </w:tr>
      <w:tr w14:paraId="59FA41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5000" w:type="pct"/>
            <w:vAlign w:val="center"/>
          </w:tcPr>
          <w:p w14:paraId="1DAB9184">
            <w:pPr>
              <w:adjustRightInd w:val="0"/>
              <w:snapToGrid w:val="0"/>
              <w:spacing w:line="360" w:lineRule="exact"/>
              <w:ind w:firstLine="420" w:firstLineChars="200"/>
              <w:jc w:val="left"/>
              <w:rPr>
                <w:rFonts w:hint="eastAsia" w:ascii="宋体" w:hAnsi="宋体"/>
                <w:kern w:val="0"/>
                <w:szCs w:val="21"/>
                <w:highlight w:val="none"/>
                <w:lang w:eastAsia="zh-TW"/>
              </w:rPr>
            </w:pPr>
            <w:r>
              <w:rPr>
                <w:rFonts w:hint="eastAsia" w:ascii="宋体" w:hAnsi="宋体" w:cs="宋体"/>
                <w:bCs/>
                <w:color w:val="000000"/>
                <w:kern w:val="0"/>
                <w:szCs w:val="21"/>
                <w:highlight w:val="none"/>
              </w:rPr>
              <w:t>投标人（包括联合体各方）近三年（2022年～投标截止时间）应当具有良好的商业信誉和健全的财务会计制度。</w:t>
            </w:r>
          </w:p>
        </w:tc>
      </w:tr>
    </w:tbl>
    <w:p w14:paraId="4B146374">
      <w:pPr>
        <w:pStyle w:val="5"/>
        <w:adjustRightInd w:val="0"/>
        <w:snapToGrid w:val="0"/>
        <w:spacing w:beforeLines="50" w:after="0" w:line="360" w:lineRule="exact"/>
        <w:ind w:firstLine="280" w:firstLineChars="100"/>
        <w:jc w:val="center"/>
        <w:rPr>
          <w:rFonts w:hint="eastAsia" w:ascii="黑体" w:hAnsi="黑体"/>
          <w:sz w:val="28"/>
          <w:highlight w:val="none"/>
          <w:lang w:val="zh-CN"/>
        </w:rPr>
      </w:pPr>
    </w:p>
    <w:p w14:paraId="4BFF81C6">
      <w:pPr>
        <w:spacing w:line="360" w:lineRule="exact"/>
        <w:rPr>
          <w:highlight w:val="none"/>
          <w:lang w:val="zh-CN"/>
        </w:rPr>
      </w:pPr>
    </w:p>
    <w:p w14:paraId="57E1E00A">
      <w:pPr>
        <w:pStyle w:val="5"/>
        <w:adjustRightInd w:val="0"/>
        <w:snapToGrid w:val="0"/>
        <w:spacing w:beforeLines="50" w:after="0" w:line="360" w:lineRule="exact"/>
        <w:ind w:firstLine="280" w:firstLineChars="100"/>
        <w:jc w:val="center"/>
        <w:rPr>
          <w:rFonts w:hint="eastAsia" w:ascii="黑体" w:hAnsi="黑体"/>
          <w:sz w:val="28"/>
          <w:highlight w:val="none"/>
          <w:lang w:val="zh-CN"/>
        </w:rPr>
      </w:pPr>
      <w:r>
        <w:rPr>
          <w:rFonts w:hint="eastAsia" w:ascii="黑体" w:hAnsi="黑体"/>
          <w:sz w:val="28"/>
          <w:highlight w:val="none"/>
          <w:lang w:val="zh-CN"/>
        </w:rPr>
        <w:t>附录3资格审查条件（业绩最低要求）</w:t>
      </w:r>
    </w:p>
    <w:tbl>
      <w:tblPr>
        <w:tblStyle w:val="5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764C45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000" w:type="pct"/>
            <w:vAlign w:val="center"/>
          </w:tcPr>
          <w:p w14:paraId="0F5CCDB5">
            <w:pPr>
              <w:adjustRightInd w:val="0"/>
              <w:snapToGrid w:val="0"/>
              <w:spacing w:before="120" w:beforeLines="50" w:line="360" w:lineRule="exact"/>
              <w:jc w:val="center"/>
              <w:rPr>
                <w:rFonts w:hint="eastAsia" w:ascii="楷体" w:hAnsi="楷体" w:eastAsia="楷体_GB2312"/>
                <w:bCs/>
                <w:color w:val="000000"/>
                <w:szCs w:val="21"/>
                <w:highlight w:val="none"/>
              </w:rPr>
            </w:pPr>
            <w:r>
              <w:rPr>
                <w:rFonts w:hint="eastAsia" w:ascii="宋体" w:hAnsi="宋体"/>
                <w:bCs/>
                <w:color w:val="000000"/>
                <w:szCs w:val="21"/>
                <w:highlight w:val="none"/>
              </w:rPr>
              <w:t>业绩要求</w:t>
            </w:r>
          </w:p>
        </w:tc>
      </w:tr>
      <w:tr w14:paraId="191AF9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5000" w:type="pct"/>
            <w:vAlign w:val="center"/>
          </w:tcPr>
          <w:p w14:paraId="671B305B">
            <w:pPr>
              <w:adjustRightInd w:val="0"/>
              <w:snapToGrid w:val="0"/>
              <w:spacing w:before="120" w:beforeLines="50" w:after="120" w:afterLines="50" w:line="360" w:lineRule="exact"/>
              <w:ind w:firstLine="420" w:firstLineChars="200"/>
              <w:rPr>
                <w:rFonts w:hint="eastAsia" w:ascii="楷体" w:hAnsi="楷体" w:eastAsia="楷体" w:cs="宋体"/>
                <w:bCs/>
                <w:color w:val="000000"/>
                <w:kern w:val="0"/>
                <w:szCs w:val="21"/>
                <w:highlight w:val="none"/>
              </w:rPr>
            </w:pPr>
            <w:r>
              <w:rPr>
                <w:rFonts w:hint="eastAsia" w:ascii="宋体" w:hAnsi="宋体"/>
                <w:szCs w:val="21"/>
                <w:highlight w:val="none"/>
              </w:rPr>
              <w:t>/</w:t>
            </w:r>
          </w:p>
        </w:tc>
      </w:tr>
    </w:tbl>
    <w:p w14:paraId="28A5D910">
      <w:pPr>
        <w:pStyle w:val="5"/>
        <w:adjustRightInd w:val="0"/>
        <w:snapToGrid w:val="0"/>
        <w:spacing w:beforeLines="50" w:after="0" w:line="360" w:lineRule="exact"/>
        <w:ind w:firstLine="280" w:firstLineChars="100"/>
        <w:jc w:val="center"/>
        <w:rPr>
          <w:rFonts w:hint="eastAsia" w:ascii="黑体" w:hAnsi="黑体"/>
          <w:sz w:val="28"/>
          <w:highlight w:val="none"/>
          <w:lang w:val="zh-CN"/>
        </w:rPr>
      </w:pPr>
    </w:p>
    <w:p w14:paraId="39F2A21E">
      <w:pPr>
        <w:spacing w:line="360" w:lineRule="exact"/>
        <w:rPr>
          <w:highlight w:val="none"/>
          <w:lang w:val="zh-CN"/>
        </w:rPr>
      </w:pPr>
    </w:p>
    <w:p w14:paraId="3AED6EFC">
      <w:pPr>
        <w:pStyle w:val="5"/>
        <w:adjustRightInd w:val="0"/>
        <w:snapToGrid w:val="0"/>
        <w:spacing w:beforeLines="50" w:after="0" w:line="360" w:lineRule="exact"/>
        <w:ind w:firstLine="280" w:firstLineChars="100"/>
        <w:jc w:val="center"/>
        <w:rPr>
          <w:rFonts w:hint="eastAsia" w:ascii="黑体" w:hAnsi="黑体"/>
          <w:sz w:val="28"/>
          <w:highlight w:val="none"/>
          <w:lang w:val="zh-CN"/>
        </w:rPr>
      </w:pPr>
      <w:r>
        <w:rPr>
          <w:rFonts w:hint="eastAsia" w:ascii="黑体" w:hAnsi="黑体"/>
          <w:sz w:val="28"/>
          <w:highlight w:val="none"/>
          <w:lang w:val="zh-CN"/>
        </w:rPr>
        <w:t>附录4资格审查条件（信誉最低要求）</w:t>
      </w:r>
    </w:p>
    <w:tbl>
      <w:tblPr>
        <w:tblStyle w:val="55"/>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1D9F6E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vAlign w:val="center"/>
          </w:tcPr>
          <w:p w14:paraId="41C780A7">
            <w:pPr>
              <w:adjustRightInd w:val="0"/>
              <w:snapToGrid w:val="0"/>
              <w:spacing w:before="120" w:beforeLines="50" w:line="360" w:lineRule="exact"/>
              <w:jc w:val="center"/>
              <w:rPr>
                <w:rFonts w:hint="eastAsia" w:ascii="宋体" w:hAnsi="宋体"/>
                <w:bCs/>
                <w:color w:val="000000"/>
                <w:szCs w:val="21"/>
                <w:highlight w:val="none"/>
              </w:rPr>
            </w:pPr>
            <w:r>
              <w:rPr>
                <w:rFonts w:hint="eastAsia" w:ascii="宋体" w:hAnsi="宋体"/>
                <w:bCs/>
                <w:color w:val="000000"/>
                <w:szCs w:val="21"/>
                <w:highlight w:val="none"/>
              </w:rPr>
              <w:t>信誉要求</w:t>
            </w:r>
          </w:p>
        </w:tc>
      </w:tr>
      <w:tr w14:paraId="704B21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000" w:type="pct"/>
            <w:vAlign w:val="center"/>
          </w:tcPr>
          <w:p w14:paraId="0870F3F1">
            <w:pPr>
              <w:adjustRightInd w:val="0"/>
              <w:snapToGrid w:val="0"/>
              <w:spacing w:line="360" w:lineRule="exact"/>
              <w:ind w:firstLine="420" w:firstLineChars="200"/>
              <w:rPr>
                <w:rFonts w:hint="eastAsia" w:ascii="宋体" w:hAnsi="宋体"/>
                <w:bCs/>
                <w:szCs w:val="21"/>
                <w:highlight w:val="none"/>
              </w:rPr>
            </w:pPr>
            <w:r>
              <w:rPr>
                <w:rFonts w:hint="eastAsia" w:ascii="宋体" w:hAnsi="宋体" w:cs="宋体"/>
                <w:bCs/>
                <w:kern w:val="0"/>
                <w:szCs w:val="21"/>
                <w:highlight w:val="none"/>
              </w:rPr>
              <w:t>投标人不是按《吉林省普通国省干线公路养护工程设计、施工企业信用评价实施细则（试行）》（吉公养管〔2017〕242号）规定招标人应拒绝其投标的企业。</w:t>
            </w:r>
          </w:p>
        </w:tc>
      </w:tr>
      <w:bookmarkEnd w:id="88"/>
    </w:tbl>
    <w:p w14:paraId="73AB091B">
      <w:pPr>
        <w:rPr>
          <w:highlight w:val="none"/>
          <w:lang w:val="zh-CN"/>
        </w:rPr>
      </w:pPr>
      <w:bookmarkStart w:id="101" w:name="_Hlk175945233"/>
    </w:p>
    <w:p w14:paraId="4599B5FA">
      <w:pPr>
        <w:rPr>
          <w:highlight w:val="none"/>
          <w:lang w:val="zh-CN"/>
        </w:rPr>
      </w:pPr>
    </w:p>
    <w:p w14:paraId="332A6350">
      <w:pPr>
        <w:rPr>
          <w:highlight w:val="none"/>
          <w:lang w:val="zh-CN"/>
        </w:rPr>
      </w:pPr>
    </w:p>
    <w:p w14:paraId="7355B6C2">
      <w:pPr>
        <w:rPr>
          <w:highlight w:val="none"/>
          <w:lang w:val="zh-CN"/>
        </w:rPr>
      </w:pPr>
    </w:p>
    <w:p w14:paraId="53F9C0AB">
      <w:pPr>
        <w:rPr>
          <w:highlight w:val="none"/>
          <w:lang w:val="zh-CN"/>
        </w:rPr>
      </w:pPr>
    </w:p>
    <w:p w14:paraId="42B9A45B">
      <w:pPr>
        <w:rPr>
          <w:highlight w:val="none"/>
          <w:lang w:val="zh-CN"/>
        </w:rPr>
      </w:pPr>
    </w:p>
    <w:p w14:paraId="2E264F16">
      <w:pPr>
        <w:rPr>
          <w:highlight w:val="none"/>
          <w:lang w:val="zh-CN"/>
        </w:rPr>
      </w:pPr>
    </w:p>
    <w:p w14:paraId="46014DD3">
      <w:pPr>
        <w:rPr>
          <w:highlight w:val="none"/>
          <w:lang w:val="zh-CN"/>
        </w:rPr>
      </w:pPr>
    </w:p>
    <w:p w14:paraId="74CD56BE">
      <w:pPr>
        <w:rPr>
          <w:highlight w:val="none"/>
          <w:lang w:val="zh-CN"/>
        </w:rPr>
      </w:pPr>
    </w:p>
    <w:p w14:paraId="186E6245">
      <w:pPr>
        <w:rPr>
          <w:highlight w:val="none"/>
          <w:lang w:val="zh-CN"/>
        </w:rPr>
      </w:pPr>
    </w:p>
    <w:p w14:paraId="2D4E28A3">
      <w:pPr>
        <w:rPr>
          <w:highlight w:val="none"/>
          <w:lang w:val="zh-CN"/>
        </w:rPr>
      </w:pPr>
    </w:p>
    <w:p w14:paraId="1D2607FA">
      <w:pPr>
        <w:rPr>
          <w:highlight w:val="none"/>
          <w:lang w:val="zh-CN"/>
        </w:rPr>
      </w:pPr>
    </w:p>
    <w:p w14:paraId="204E76DB">
      <w:pPr>
        <w:rPr>
          <w:highlight w:val="none"/>
          <w:lang w:val="zh-CN"/>
        </w:rPr>
      </w:pPr>
    </w:p>
    <w:p w14:paraId="7B4DAC87">
      <w:pPr>
        <w:rPr>
          <w:highlight w:val="none"/>
          <w:lang w:val="zh-CN"/>
        </w:rPr>
      </w:pPr>
    </w:p>
    <w:p w14:paraId="4DA717D0">
      <w:pPr>
        <w:pStyle w:val="5"/>
        <w:adjustRightInd w:val="0"/>
        <w:snapToGrid w:val="0"/>
        <w:spacing w:beforeLines="50" w:after="0" w:line="400" w:lineRule="exact"/>
        <w:ind w:firstLine="280" w:firstLineChars="100"/>
        <w:jc w:val="center"/>
        <w:rPr>
          <w:rFonts w:hint="eastAsia" w:ascii="黑体" w:hAnsi="黑体"/>
          <w:sz w:val="28"/>
          <w:highlight w:val="none"/>
          <w:lang w:val="zh-CN"/>
        </w:rPr>
      </w:pPr>
      <w:r>
        <w:rPr>
          <w:rFonts w:hint="eastAsia" w:ascii="黑体" w:hAnsi="黑体"/>
          <w:sz w:val="28"/>
          <w:highlight w:val="none"/>
          <w:lang w:val="zh-CN"/>
        </w:rPr>
        <w:t>附录5资格审查条件（项目经理及项目总工最低要求）</w:t>
      </w:r>
    </w:p>
    <w:p w14:paraId="02A667D2">
      <w:pPr>
        <w:spacing w:line="300" w:lineRule="exact"/>
        <w:rPr>
          <w:bCs/>
          <w:highlight w:val="none"/>
        </w:rPr>
      </w:pPr>
    </w:p>
    <w:tbl>
      <w:tblPr>
        <w:tblStyle w:val="5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26"/>
        <w:gridCol w:w="846"/>
        <w:gridCol w:w="8583"/>
      </w:tblGrid>
      <w:tr w14:paraId="68E1B2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72" w:type="pct"/>
            <w:vAlign w:val="center"/>
          </w:tcPr>
          <w:p w14:paraId="4845B151">
            <w:pPr>
              <w:snapToGrid w:val="0"/>
              <w:spacing w:before="120" w:beforeLines="50" w:after="120" w:afterLines="50"/>
              <w:jc w:val="center"/>
              <w:rPr>
                <w:rFonts w:hint="eastAsia" w:ascii="宋体" w:hAnsi="宋体"/>
                <w:szCs w:val="21"/>
                <w:highlight w:val="none"/>
              </w:rPr>
            </w:pPr>
            <w:r>
              <w:rPr>
                <w:rFonts w:hint="eastAsia" w:ascii="宋体" w:hAnsi="宋体"/>
                <w:szCs w:val="21"/>
                <w:highlight w:val="none"/>
              </w:rPr>
              <w:t>人员</w:t>
            </w:r>
          </w:p>
        </w:tc>
        <w:tc>
          <w:tcPr>
            <w:tcW w:w="286" w:type="pct"/>
            <w:vAlign w:val="center"/>
          </w:tcPr>
          <w:p w14:paraId="7B33B4ED">
            <w:pPr>
              <w:snapToGrid w:val="0"/>
              <w:spacing w:before="120" w:beforeLines="50" w:after="120" w:afterLines="50"/>
              <w:jc w:val="center"/>
              <w:rPr>
                <w:rFonts w:hint="eastAsia" w:ascii="宋体" w:hAnsi="宋体"/>
                <w:szCs w:val="21"/>
                <w:highlight w:val="none"/>
              </w:rPr>
            </w:pPr>
            <w:r>
              <w:rPr>
                <w:rFonts w:hint="eastAsia" w:ascii="宋体" w:hAnsi="宋体"/>
                <w:szCs w:val="21"/>
                <w:highlight w:val="none"/>
              </w:rPr>
              <w:t>数量</w:t>
            </w:r>
          </w:p>
        </w:tc>
        <w:tc>
          <w:tcPr>
            <w:tcW w:w="4441" w:type="pct"/>
            <w:vAlign w:val="center"/>
          </w:tcPr>
          <w:p w14:paraId="34B04206">
            <w:pPr>
              <w:snapToGrid w:val="0"/>
              <w:spacing w:before="120" w:beforeLines="50" w:after="120" w:afterLines="50"/>
              <w:jc w:val="center"/>
              <w:rPr>
                <w:rFonts w:hint="eastAsia" w:ascii="宋体" w:hAnsi="宋体"/>
                <w:szCs w:val="21"/>
                <w:highlight w:val="none"/>
              </w:rPr>
            </w:pPr>
            <w:r>
              <w:rPr>
                <w:rFonts w:hint="eastAsia" w:ascii="宋体" w:hAnsi="宋体"/>
                <w:szCs w:val="21"/>
                <w:highlight w:val="none"/>
              </w:rPr>
              <w:t>资格要求</w:t>
            </w:r>
          </w:p>
        </w:tc>
      </w:tr>
      <w:tr w14:paraId="4F42ED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1" w:hRule="atLeast"/>
          <w:jc w:val="center"/>
        </w:trPr>
        <w:tc>
          <w:tcPr>
            <w:tcW w:w="272" w:type="pct"/>
            <w:vAlign w:val="center"/>
          </w:tcPr>
          <w:p w14:paraId="358D904B">
            <w:pPr>
              <w:snapToGrid w:val="0"/>
              <w:jc w:val="center"/>
              <w:rPr>
                <w:rFonts w:hint="eastAsia" w:ascii="宋体" w:hAnsi="宋体"/>
                <w:szCs w:val="21"/>
                <w:highlight w:val="none"/>
              </w:rPr>
            </w:pPr>
            <w:r>
              <w:rPr>
                <w:rFonts w:hint="eastAsia" w:ascii="宋体" w:hAnsi="宋体"/>
                <w:szCs w:val="21"/>
                <w:highlight w:val="none"/>
              </w:rPr>
              <w:t>项目</w:t>
            </w:r>
          </w:p>
          <w:p w14:paraId="12E558A1">
            <w:pPr>
              <w:snapToGrid w:val="0"/>
              <w:jc w:val="center"/>
              <w:rPr>
                <w:rFonts w:hint="eastAsia" w:ascii="宋体" w:hAnsi="宋体"/>
                <w:szCs w:val="21"/>
                <w:highlight w:val="none"/>
              </w:rPr>
            </w:pPr>
            <w:r>
              <w:rPr>
                <w:rFonts w:hint="eastAsia" w:ascii="宋体" w:hAnsi="宋体"/>
                <w:szCs w:val="21"/>
                <w:highlight w:val="none"/>
              </w:rPr>
              <w:t>经理</w:t>
            </w:r>
          </w:p>
        </w:tc>
        <w:tc>
          <w:tcPr>
            <w:tcW w:w="286" w:type="pct"/>
            <w:vAlign w:val="center"/>
          </w:tcPr>
          <w:p w14:paraId="5FDB859A">
            <w:pPr>
              <w:adjustRightInd w:val="0"/>
              <w:snapToGrid w:val="0"/>
              <w:spacing w:line="360" w:lineRule="exact"/>
              <w:jc w:val="center"/>
              <w:rPr>
                <w:rFonts w:hint="eastAsia" w:ascii="宋体" w:hAnsi="宋体"/>
                <w:highlight w:val="none"/>
              </w:rPr>
            </w:pPr>
            <w:r>
              <w:rPr>
                <w:rFonts w:hint="eastAsia" w:ascii="宋体" w:hAnsi="宋体"/>
                <w:highlight w:val="none"/>
              </w:rPr>
              <w:t>1人</w:t>
            </w:r>
          </w:p>
        </w:tc>
        <w:tc>
          <w:tcPr>
            <w:tcW w:w="4441" w:type="pct"/>
            <w:vAlign w:val="center"/>
          </w:tcPr>
          <w:p w14:paraId="54DC4D9A">
            <w:pPr>
              <w:spacing w:line="360" w:lineRule="exact"/>
              <w:ind w:firstLine="420" w:firstLineChars="200"/>
              <w:rPr>
                <w:rFonts w:hint="eastAsia" w:ascii="宋体" w:hAnsi="宋体"/>
                <w:bCs/>
                <w:highlight w:val="none"/>
              </w:rPr>
            </w:pPr>
            <w:r>
              <w:rPr>
                <w:rFonts w:hint="eastAsia" w:ascii="宋体" w:hAnsi="宋体"/>
                <w:bCs/>
                <w:highlight w:val="none"/>
              </w:rPr>
              <w:fldChar w:fldCharType="begin"/>
            </w:r>
            <w:r>
              <w:rPr>
                <w:rFonts w:hint="eastAsia" w:ascii="宋体" w:hAnsi="宋体"/>
                <w:bCs/>
                <w:highlight w:val="none"/>
              </w:rPr>
              <w:instrText xml:space="preserve"> = 1 \* GB3 </w:instrText>
            </w:r>
            <w:r>
              <w:rPr>
                <w:rFonts w:hint="eastAsia" w:ascii="宋体" w:hAnsi="宋体"/>
                <w:bCs/>
                <w:highlight w:val="none"/>
              </w:rPr>
              <w:fldChar w:fldCharType="separate"/>
            </w:r>
            <w:r>
              <w:rPr>
                <w:rFonts w:hint="eastAsia" w:ascii="宋体" w:hAnsi="宋体"/>
                <w:bCs/>
                <w:highlight w:val="none"/>
              </w:rPr>
              <w:t>①</w:t>
            </w:r>
            <w:r>
              <w:rPr>
                <w:rFonts w:hint="eastAsia" w:ascii="宋体" w:hAnsi="宋体"/>
                <w:bCs/>
                <w:highlight w:val="none"/>
              </w:rPr>
              <w:fldChar w:fldCharType="end"/>
            </w:r>
            <w:r>
              <w:rPr>
                <w:rFonts w:hint="eastAsia" w:ascii="宋体" w:hAnsi="宋体"/>
                <w:bCs/>
                <w:highlight w:val="none"/>
              </w:rPr>
              <w:t>投标人自有人员</w:t>
            </w:r>
            <w:r>
              <w:rPr>
                <w:rFonts w:hint="eastAsia" w:ascii="宋体" w:hAnsi="宋体"/>
                <w:bCs/>
                <w:color w:val="000000"/>
                <w:szCs w:val="21"/>
                <w:highlight w:val="none"/>
              </w:rPr>
              <w:t>（以联合体形式参与投标的，则为联合体牵头人自有人员）；</w:t>
            </w:r>
            <w:r>
              <w:rPr>
                <w:rFonts w:hint="eastAsia" w:ascii="宋体" w:hAnsi="宋体"/>
                <w:bCs/>
                <w:highlight w:val="none"/>
              </w:rPr>
              <w:t xml:space="preserve"> </w:t>
            </w:r>
          </w:p>
          <w:p w14:paraId="2299E656">
            <w:pPr>
              <w:spacing w:line="360" w:lineRule="exact"/>
              <w:ind w:firstLine="420" w:firstLineChars="200"/>
              <w:rPr>
                <w:rFonts w:hint="eastAsia" w:ascii="宋体" w:hAnsi="宋体"/>
                <w:bCs/>
                <w:szCs w:val="21"/>
                <w:highlight w:val="none"/>
              </w:rPr>
            </w:pPr>
            <w:r>
              <w:rPr>
                <w:rFonts w:hint="eastAsia" w:ascii="宋体" w:hAnsi="宋体"/>
                <w:bCs/>
                <w:szCs w:val="21"/>
                <w:highlight w:val="none"/>
              </w:rPr>
              <w:fldChar w:fldCharType="begin"/>
            </w:r>
            <w:r>
              <w:rPr>
                <w:rFonts w:hint="eastAsia" w:ascii="宋体" w:hAnsi="宋体"/>
                <w:bCs/>
                <w:szCs w:val="21"/>
                <w:highlight w:val="none"/>
              </w:rPr>
              <w:instrText xml:space="preserve"> = 2 \* GB3 </w:instrText>
            </w:r>
            <w:r>
              <w:rPr>
                <w:rFonts w:hint="eastAsia" w:ascii="宋体" w:hAnsi="宋体"/>
                <w:bCs/>
                <w:szCs w:val="21"/>
                <w:highlight w:val="none"/>
              </w:rPr>
              <w:fldChar w:fldCharType="separate"/>
            </w:r>
            <w:r>
              <w:rPr>
                <w:rFonts w:hint="eastAsia" w:ascii="宋体" w:hAnsi="宋体"/>
                <w:bCs/>
                <w:szCs w:val="21"/>
                <w:highlight w:val="none"/>
              </w:rPr>
              <w:t>②</w:t>
            </w:r>
            <w:r>
              <w:rPr>
                <w:rFonts w:hint="eastAsia" w:ascii="宋体" w:hAnsi="宋体"/>
                <w:bCs/>
                <w:szCs w:val="21"/>
                <w:highlight w:val="none"/>
              </w:rPr>
              <w:fldChar w:fldCharType="end"/>
            </w:r>
            <w:r>
              <w:rPr>
                <w:rFonts w:hint="eastAsia" w:ascii="宋体" w:hAnsi="宋体"/>
                <w:bCs/>
                <w:highlight w:val="none"/>
              </w:rPr>
              <w:t>具有公路工程相关专业工程师职称</w:t>
            </w:r>
            <w:r>
              <w:rPr>
                <w:rFonts w:hint="eastAsia" w:ascii="宋体" w:hAnsi="宋体"/>
                <w:bCs/>
                <w:szCs w:val="21"/>
                <w:highlight w:val="none"/>
              </w:rPr>
              <w:t>；</w:t>
            </w:r>
          </w:p>
          <w:p w14:paraId="05263F79">
            <w:pPr>
              <w:spacing w:line="360" w:lineRule="exact"/>
              <w:ind w:firstLine="420" w:firstLineChars="200"/>
              <w:rPr>
                <w:rFonts w:hint="eastAsia" w:ascii="宋体" w:hAnsi="宋体"/>
                <w:bCs/>
                <w:highlight w:val="none"/>
              </w:rPr>
            </w:pPr>
            <w:r>
              <w:rPr>
                <w:rFonts w:hint="eastAsia" w:ascii="宋体" w:hAnsi="宋体"/>
                <w:bCs/>
                <w:highlight w:val="none"/>
              </w:rPr>
              <w:fldChar w:fldCharType="begin"/>
            </w:r>
            <w:r>
              <w:rPr>
                <w:rFonts w:hint="eastAsia" w:ascii="宋体" w:hAnsi="宋体"/>
                <w:bCs/>
                <w:highlight w:val="none"/>
              </w:rPr>
              <w:instrText xml:space="preserve"> = 3 \* GB3 </w:instrText>
            </w:r>
            <w:r>
              <w:rPr>
                <w:rFonts w:hint="eastAsia" w:ascii="宋体" w:hAnsi="宋体"/>
                <w:bCs/>
                <w:highlight w:val="none"/>
              </w:rPr>
              <w:fldChar w:fldCharType="separate"/>
            </w:r>
            <w:r>
              <w:rPr>
                <w:rFonts w:hint="eastAsia" w:ascii="宋体" w:hAnsi="宋体"/>
                <w:bCs/>
                <w:highlight w:val="none"/>
              </w:rPr>
              <w:t>③</w:t>
            </w:r>
            <w:r>
              <w:rPr>
                <w:rFonts w:hint="eastAsia" w:ascii="宋体" w:hAnsi="宋体"/>
                <w:bCs/>
                <w:highlight w:val="none"/>
              </w:rPr>
              <w:fldChar w:fldCharType="end"/>
            </w:r>
            <w:r>
              <w:rPr>
                <w:rFonts w:hint="eastAsia" w:ascii="宋体" w:hAnsi="宋体"/>
                <w:bCs/>
                <w:highlight w:val="none"/>
              </w:rPr>
              <w:t>具有建设行政主管部门颁发的</w:t>
            </w:r>
            <w:r>
              <w:rPr>
                <w:rFonts w:hint="eastAsia" w:ascii="黑体" w:hAnsi="黑体" w:eastAsia="黑体"/>
                <w:bCs/>
                <w:highlight w:val="none"/>
              </w:rPr>
              <w:t>“公路工程”专业《二级建造师注册证书》</w:t>
            </w:r>
            <w:r>
              <w:rPr>
                <w:rFonts w:hint="eastAsia" w:ascii="宋体" w:hAnsi="宋体"/>
                <w:bCs/>
                <w:highlight w:val="none"/>
              </w:rPr>
              <w:t>，且现注册单位为投标人；</w:t>
            </w:r>
          </w:p>
          <w:p w14:paraId="275DAA59">
            <w:pPr>
              <w:spacing w:line="360" w:lineRule="exact"/>
              <w:ind w:firstLine="420" w:firstLineChars="200"/>
              <w:rPr>
                <w:rFonts w:hint="eastAsia" w:ascii="宋体" w:hAnsi="宋体"/>
                <w:bCs/>
                <w:highlight w:val="none"/>
              </w:rPr>
            </w:pPr>
            <w:r>
              <w:rPr>
                <w:rFonts w:hint="eastAsia" w:ascii="宋体" w:hAnsi="宋体"/>
                <w:bCs/>
                <w:highlight w:val="none"/>
              </w:rPr>
              <w:fldChar w:fldCharType="begin"/>
            </w:r>
            <w:r>
              <w:rPr>
                <w:rFonts w:hint="eastAsia" w:ascii="宋体" w:hAnsi="宋体"/>
                <w:bCs/>
                <w:highlight w:val="none"/>
              </w:rPr>
              <w:instrText xml:space="preserve"> = 4 \* GB3 </w:instrText>
            </w:r>
            <w:r>
              <w:rPr>
                <w:rFonts w:hint="eastAsia" w:ascii="宋体" w:hAnsi="宋体"/>
                <w:bCs/>
                <w:highlight w:val="none"/>
              </w:rPr>
              <w:fldChar w:fldCharType="separate"/>
            </w:r>
            <w:r>
              <w:rPr>
                <w:rFonts w:hint="eastAsia" w:ascii="宋体" w:hAnsi="宋体"/>
                <w:bCs/>
                <w:highlight w:val="none"/>
              </w:rPr>
              <w:t>④</w:t>
            </w:r>
            <w:r>
              <w:rPr>
                <w:rFonts w:hint="eastAsia" w:ascii="宋体" w:hAnsi="宋体"/>
                <w:bCs/>
                <w:highlight w:val="none"/>
              </w:rPr>
              <w:fldChar w:fldCharType="end"/>
            </w:r>
            <w:r>
              <w:rPr>
                <w:rFonts w:ascii="宋体" w:hAnsi="宋体"/>
                <w:bCs/>
                <w:highlight w:val="none"/>
              </w:rPr>
              <w:t>具有</w:t>
            </w:r>
            <w:r>
              <w:rPr>
                <w:rFonts w:hint="eastAsia" w:ascii="宋体" w:hAnsi="宋体"/>
                <w:bCs/>
                <w:highlight w:val="none"/>
              </w:rPr>
              <w:t>交通运输主管部门</w:t>
            </w:r>
            <w:r>
              <w:rPr>
                <w:rFonts w:ascii="宋体" w:hAnsi="宋体"/>
                <w:bCs/>
                <w:highlight w:val="none"/>
              </w:rPr>
              <w:t>颁发的有效的</w:t>
            </w:r>
            <w:r>
              <w:rPr>
                <w:rFonts w:hint="eastAsia" w:ascii="宋体" w:hAnsi="宋体"/>
                <w:bCs/>
                <w:highlight w:val="none"/>
              </w:rPr>
              <w:t>B类</w:t>
            </w:r>
            <w:r>
              <w:rPr>
                <w:rFonts w:ascii="宋体" w:hAnsi="宋体"/>
                <w:bCs/>
                <w:highlight w:val="none"/>
              </w:rPr>
              <w:t>安全生产考核合格证书</w:t>
            </w:r>
            <w:r>
              <w:rPr>
                <w:rFonts w:hint="eastAsia" w:ascii="宋体" w:hAnsi="宋体"/>
                <w:bCs/>
                <w:highlight w:val="none"/>
              </w:rPr>
              <w:t>；</w:t>
            </w:r>
          </w:p>
          <w:p w14:paraId="579AA30E">
            <w:pPr>
              <w:spacing w:line="360" w:lineRule="exact"/>
              <w:ind w:firstLine="420" w:firstLineChars="200"/>
              <w:rPr>
                <w:rFonts w:hint="eastAsia" w:ascii="宋体" w:hAnsi="宋体"/>
                <w:bCs/>
                <w:highlight w:val="none"/>
              </w:rPr>
            </w:pPr>
            <w:r>
              <w:rPr>
                <w:rFonts w:hint="eastAsia" w:ascii="宋体" w:hAnsi="宋体"/>
                <w:bCs/>
                <w:highlight w:val="none"/>
              </w:rPr>
              <w:fldChar w:fldCharType="begin"/>
            </w:r>
            <w:r>
              <w:rPr>
                <w:rFonts w:hint="eastAsia" w:ascii="宋体" w:hAnsi="宋体"/>
                <w:bCs/>
                <w:highlight w:val="none"/>
              </w:rPr>
              <w:instrText xml:space="preserve"> = 5 \* GB3 </w:instrText>
            </w:r>
            <w:r>
              <w:rPr>
                <w:rFonts w:hint="eastAsia" w:ascii="宋体" w:hAnsi="宋体"/>
                <w:bCs/>
                <w:highlight w:val="none"/>
              </w:rPr>
              <w:fldChar w:fldCharType="separate"/>
            </w:r>
            <w:r>
              <w:rPr>
                <w:rFonts w:hint="eastAsia" w:ascii="宋体" w:hAnsi="宋体"/>
                <w:bCs/>
                <w:highlight w:val="none"/>
              </w:rPr>
              <w:t>⑤</w:t>
            </w:r>
            <w:r>
              <w:rPr>
                <w:rFonts w:hint="eastAsia" w:ascii="宋体" w:hAnsi="宋体"/>
                <w:bCs/>
                <w:highlight w:val="none"/>
              </w:rPr>
              <w:fldChar w:fldCharType="end"/>
            </w:r>
            <w:r>
              <w:rPr>
                <w:rFonts w:hint="eastAsia" w:ascii="宋体" w:hAnsi="宋体"/>
                <w:bCs/>
                <w:highlight w:val="none"/>
              </w:rPr>
              <w:t>无在岗项目(指目前未在其他项目上任职，或虽在其他项目上任职但本项目中标后能够从该项目撤离)。</w:t>
            </w:r>
          </w:p>
          <w:p w14:paraId="08808AB0">
            <w:pPr>
              <w:spacing w:line="360" w:lineRule="exact"/>
              <w:rPr>
                <w:bCs/>
                <w:highlight w:val="none"/>
              </w:rPr>
            </w:pPr>
            <w:r>
              <w:rPr>
                <w:rFonts w:hint="eastAsia"/>
                <w:bCs/>
                <w:highlight w:val="none"/>
              </w:rPr>
              <w:t>注：①项目经理和项目总工不得兼职。</w:t>
            </w:r>
          </w:p>
          <w:p w14:paraId="46554167">
            <w:pPr>
              <w:spacing w:line="360" w:lineRule="exact"/>
              <w:ind w:firstLine="420" w:firstLineChars="200"/>
              <w:rPr>
                <w:bCs/>
                <w:highlight w:val="none"/>
                <w:lang w:val="zh-CN"/>
              </w:rPr>
            </w:pPr>
            <w:r>
              <w:rPr>
                <w:rFonts w:hint="eastAsia"/>
                <w:bCs/>
                <w:szCs w:val="21"/>
                <w:highlight w:val="none"/>
              </w:rPr>
              <w:t>②</w:t>
            </w:r>
            <w:r>
              <w:rPr>
                <w:rFonts w:hint="eastAsia"/>
                <w:bCs/>
                <w:highlight w:val="none"/>
              </w:rPr>
              <w:t>“投标人自有人员”指投标人为其申报社会保险登记，并为其缴纳社会保险费的人员。</w:t>
            </w:r>
            <w:r>
              <w:rPr>
                <w:rFonts w:hint="eastAsia"/>
                <w:bCs/>
                <w:highlight w:val="none"/>
                <w:lang w:val="zh-CN"/>
              </w:rPr>
              <w:t>如果投标人属事业法人单位，则由投标人的上级行政主管部门出具拟委任的项目经理是投标人单位职工的有效书面证明材料。</w:t>
            </w:r>
          </w:p>
          <w:p w14:paraId="4FBAE07D">
            <w:pPr>
              <w:spacing w:line="360" w:lineRule="exact"/>
              <w:ind w:firstLine="420" w:firstLineChars="200"/>
              <w:rPr>
                <w:rFonts w:hint="eastAsia" w:ascii="宋体" w:hAnsi="宋体"/>
                <w:color w:val="000000"/>
                <w:szCs w:val="21"/>
                <w:highlight w:val="none"/>
                <w:lang w:val="zh-CN"/>
              </w:rPr>
            </w:pPr>
            <w:r>
              <w:rPr>
                <w:rFonts w:hint="eastAsia"/>
                <w:bCs/>
                <w:highlight w:val="none"/>
                <w:lang w:val="zh-CN"/>
              </w:rPr>
              <w:t>③公路工程相关专业职称包括公路工程、桥梁工程、公路与桥梁工程、交通土建、隧道（地下结构）工程、交通工程、土木工程等专业职称。如职称证中无专业，则在投标文件中必须附毕业证书，且毕业证上的专业为公路工程、桥梁工程、公路与桥梁工程、交通土建、隧道（地下结构）工程、交通工程、土木工程等专业。</w:t>
            </w:r>
          </w:p>
        </w:tc>
      </w:tr>
      <w:tr w14:paraId="71FD86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8" w:hRule="atLeast"/>
          <w:jc w:val="center"/>
        </w:trPr>
        <w:tc>
          <w:tcPr>
            <w:tcW w:w="272" w:type="pct"/>
            <w:vAlign w:val="center"/>
          </w:tcPr>
          <w:p w14:paraId="4FE5CB50">
            <w:pPr>
              <w:snapToGrid w:val="0"/>
              <w:spacing w:line="360" w:lineRule="exact"/>
              <w:jc w:val="center"/>
              <w:rPr>
                <w:rFonts w:hint="eastAsia" w:ascii="宋体" w:hAnsi="宋体"/>
                <w:szCs w:val="21"/>
                <w:highlight w:val="none"/>
              </w:rPr>
            </w:pPr>
            <w:r>
              <w:rPr>
                <w:rFonts w:hint="eastAsia" w:ascii="宋体" w:hAnsi="宋体"/>
                <w:szCs w:val="21"/>
                <w:highlight w:val="none"/>
              </w:rPr>
              <w:t>项目</w:t>
            </w:r>
          </w:p>
          <w:p w14:paraId="3DB5ABDB">
            <w:pPr>
              <w:snapToGrid w:val="0"/>
              <w:spacing w:line="360" w:lineRule="exact"/>
              <w:jc w:val="center"/>
              <w:rPr>
                <w:rFonts w:hint="eastAsia" w:ascii="宋体" w:hAnsi="宋体"/>
                <w:szCs w:val="21"/>
                <w:highlight w:val="none"/>
              </w:rPr>
            </w:pPr>
            <w:r>
              <w:rPr>
                <w:rFonts w:hint="eastAsia" w:ascii="宋体" w:hAnsi="宋体"/>
                <w:szCs w:val="21"/>
                <w:highlight w:val="none"/>
              </w:rPr>
              <w:t>总工</w:t>
            </w:r>
          </w:p>
        </w:tc>
        <w:tc>
          <w:tcPr>
            <w:tcW w:w="286" w:type="pct"/>
            <w:vAlign w:val="center"/>
          </w:tcPr>
          <w:p w14:paraId="5DC141DE">
            <w:pPr>
              <w:adjustRightInd w:val="0"/>
              <w:snapToGrid w:val="0"/>
              <w:spacing w:line="360" w:lineRule="exact"/>
              <w:ind w:firstLine="420" w:firstLineChars="200"/>
              <w:jc w:val="center"/>
              <w:rPr>
                <w:rFonts w:hint="eastAsia" w:ascii="宋体" w:hAnsi="宋体"/>
                <w:szCs w:val="21"/>
                <w:highlight w:val="none"/>
              </w:rPr>
            </w:pPr>
            <w:r>
              <w:rPr>
                <w:rFonts w:hint="eastAsia" w:ascii="宋体" w:hAnsi="宋体"/>
                <w:szCs w:val="21"/>
                <w:highlight w:val="none"/>
              </w:rPr>
              <w:t>11人</w:t>
            </w:r>
          </w:p>
        </w:tc>
        <w:tc>
          <w:tcPr>
            <w:tcW w:w="4441" w:type="pct"/>
            <w:vAlign w:val="center"/>
          </w:tcPr>
          <w:p w14:paraId="411059E6">
            <w:pPr>
              <w:spacing w:line="360" w:lineRule="exact"/>
              <w:ind w:firstLine="420" w:firstLineChars="200"/>
              <w:rPr>
                <w:rFonts w:hint="eastAsia" w:ascii="宋体" w:hAnsi="宋体"/>
                <w:bCs/>
                <w:highlight w:val="none"/>
              </w:rPr>
            </w:pPr>
            <w:r>
              <w:rPr>
                <w:rFonts w:hint="eastAsia"/>
                <w:bCs/>
                <w:highlight w:val="none"/>
              </w:rPr>
              <w:t>①</w:t>
            </w:r>
            <w:r>
              <w:rPr>
                <w:rFonts w:hint="eastAsia" w:ascii="宋体" w:hAnsi="宋体"/>
                <w:bCs/>
                <w:highlight w:val="none"/>
              </w:rPr>
              <w:t>投标人自有人员</w:t>
            </w:r>
            <w:r>
              <w:rPr>
                <w:rFonts w:hint="eastAsia" w:ascii="宋体" w:hAnsi="宋体"/>
                <w:bCs/>
                <w:color w:val="000000"/>
                <w:szCs w:val="21"/>
                <w:highlight w:val="none"/>
              </w:rPr>
              <w:t>（以联合体形式参与投标的，则为联合体牵头人自有人员）；</w:t>
            </w:r>
          </w:p>
          <w:p w14:paraId="2B559EC1">
            <w:pPr>
              <w:spacing w:line="360" w:lineRule="exact"/>
              <w:ind w:firstLine="420" w:firstLineChars="200"/>
              <w:rPr>
                <w:rFonts w:hint="eastAsia" w:ascii="宋体" w:hAnsi="宋体"/>
                <w:bCs/>
                <w:highlight w:val="none"/>
              </w:rPr>
            </w:pPr>
            <w:r>
              <w:rPr>
                <w:rFonts w:hint="eastAsia"/>
                <w:bCs/>
                <w:szCs w:val="21"/>
                <w:highlight w:val="none"/>
              </w:rPr>
              <w:t>②</w:t>
            </w:r>
            <w:r>
              <w:rPr>
                <w:rFonts w:hint="eastAsia" w:ascii="宋体" w:hAnsi="宋体"/>
                <w:bCs/>
                <w:highlight w:val="none"/>
              </w:rPr>
              <w:t>具有公路工程相关专业工程师职称；</w:t>
            </w:r>
          </w:p>
          <w:p w14:paraId="29AF6EE4">
            <w:pPr>
              <w:spacing w:line="360" w:lineRule="exact"/>
              <w:ind w:firstLine="420" w:firstLineChars="200"/>
              <w:rPr>
                <w:rFonts w:hint="eastAsia" w:ascii="宋体" w:hAnsi="宋体"/>
                <w:bCs/>
                <w:highlight w:val="none"/>
              </w:rPr>
            </w:pPr>
            <w:r>
              <w:rPr>
                <w:rFonts w:hint="eastAsia"/>
                <w:bCs/>
                <w:highlight w:val="none"/>
                <w:lang w:val="zh-CN"/>
              </w:rPr>
              <w:t>③</w:t>
            </w:r>
            <w:r>
              <w:rPr>
                <w:rFonts w:hint="eastAsia" w:ascii="宋体" w:hAnsi="宋体"/>
                <w:bCs/>
                <w:highlight w:val="none"/>
              </w:rPr>
              <w:t>无在岗项目(指目前未在其他项目上任职，或虽在其他项目上任职但本项目中标后能够从该项目撤离)。</w:t>
            </w:r>
          </w:p>
          <w:p w14:paraId="00124D46">
            <w:pPr>
              <w:spacing w:line="360" w:lineRule="exact"/>
              <w:rPr>
                <w:bCs/>
                <w:highlight w:val="none"/>
              </w:rPr>
            </w:pPr>
            <w:r>
              <w:rPr>
                <w:rFonts w:ascii="楷体" w:hAnsi="楷体" w:eastAsia="楷体"/>
                <w:szCs w:val="21"/>
                <w:highlight w:val="none"/>
              </w:rPr>
              <w:t>注：</w:t>
            </w:r>
            <w:bookmarkStart w:id="102" w:name="OLE_LINK101"/>
            <w:r>
              <w:rPr>
                <w:rFonts w:hint="eastAsia"/>
                <w:bCs/>
                <w:highlight w:val="none"/>
              </w:rPr>
              <w:t>①</w:t>
            </w:r>
            <w:bookmarkEnd w:id="102"/>
            <w:r>
              <w:rPr>
                <w:rFonts w:hint="eastAsia"/>
                <w:bCs/>
                <w:highlight w:val="none"/>
              </w:rPr>
              <w:t>项目经理和项目总工不得兼职。</w:t>
            </w:r>
          </w:p>
          <w:p w14:paraId="592B354B">
            <w:pPr>
              <w:spacing w:line="360" w:lineRule="exact"/>
              <w:ind w:firstLine="420" w:firstLineChars="200"/>
              <w:rPr>
                <w:bCs/>
                <w:highlight w:val="none"/>
                <w:lang w:val="zh-CN"/>
              </w:rPr>
            </w:pPr>
            <w:bookmarkStart w:id="103" w:name="OLE_LINK102"/>
            <w:r>
              <w:rPr>
                <w:rFonts w:hint="eastAsia"/>
                <w:bCs/>
                <w:szCs w:val="21"/>
                <w:highlight w:val="none"/>
              </w:rPr>
              <w:t>②</w:t>
            </w:r>
            <w:bookmarkEnd w:id="103"/>
            <w:r>
              <w:rPr>
                <w:rFonts w:hint="eastAsia"/>
                <w:bCs/>
                <w:highlight w:val="none"/>
              </w:rPr>
              <w:t>“投标人自有人员”指投标人为其申报社会保险登记，并为其缴纳社会保险费的人员。</w:t>
            </w:r>
            <w:r>
              <w:rPr>
                <w:rFonts w:hint="eastAsia"/>
                <w:bCs/>
                <w:highlight w:val="none"/>
                <w:lang w:val="zh-CN"/>
              </w:rPr>
              <w:t>如果投标人属事业法人单位，则由投标人的上级行政主管部门出具拟委任的项目总工是投标人单位职工的有效书面证明材料。</w:t>
            </w:r>
          </w:p>
          <w:p w14:paraId="6B6DE52B">
            <w:pPr>
              <w:spacing w:line="360" w:lineRule="exact"/>
              <w:ind w:firstLine="420" w:firstLineChars="200"/>
              <w:rPr>
                <w:rFonts w:hint="eastAsia" w:ascii="宋体" w:hAnsi="宋体"/>
                <w:color w:val="000000"/>
                <w:szCs w:val="21"/>
                <w:highlight w:val="none"/>
              </w:rPr>
            </w:pPr>
            <w:bookmarkStart w:id="104" w:name="OLE_LINK103"/>
            <w:r>
              <w:rPr>
                <w:rFonts w:hint="eastAsia"/>
                <w:bCs/>
                <w:highlight w:val="none"/>
                <w:lang w:val="zh-CN"/>
              </w:rPr>
              <w:t>③</w:t>
            </w:r>
            <w:bookmarkEnd w:id="104"/>
            <w:r>
              <w:rPr>
                <w:rFonts w:hint="eastAsia"/>
                <w:bCs/>
                <w:highlight w:val="none"/>
                <w:lang w:val="zh-CN"/>
              </w:rPr>
              <w:t>公路工程相关专业职称包括公路工程、桥梁工程、公路与桥梁工程、交通土建、隧道（地下结构）工程、交通工程、土木工程等专业职称。如职称证中无专业，则在投标文件中必须附毕业证书，且毕业证上的专业为公路工程、桥梁工程、公路与桥梁工程、交通土建、隧道（地下结构）工程、交通工程、土木工程等专业。</w:t>
            </w:r>
          </w:p>
        </w:tc>
      </w:tr>
    </w:tbl>
    <w:p w14:paraId="26151BC0">
      <w:pPr>
        <w:spacing w:line="300" w:lineRule="exact"/>
        <w:rPr>
          <w:rFonts w:hint="eastAsia" w:ascii="宋体" w:hAnsi="宋体"/>
          <w:sz w:val="18"/>
          <w:szCs w:val="18"/>
          <w:highlight w:val="none"/>
        </w:rPr>
      </w:pPr>
    </w:p>
    <w:bookmarkEnd w:id="97"/>
    <w:p w14:paraId="32DABA26">
      <w:pPr>
        <w:rPr>
          <w:highlight w:val="none"/>
          <w:lang w:val="zh-CN"/>
        </w:rPr>
      </w:pPr>
    </w:p>
    <w:p w14:paraId="596D569C">
      <w:pPr>
        <w:pStyle w:val="26"/>
        <w:ind w:left="1260" w:hanging="420"/>
        <w:rPr>
          <w:bCs/>
          <w:highlight w:val="none"/>
          <w:lang w:val="zh-CN"/>
        </w:rPr>
      </w:pPr>
    </w:p>
    <w:p w14:paraId="5CB0BF03">
      <w:pPr>
        <w:pStyle w:val="26"/>
        <w:ind w:left="1260" w:hanging="420"/>
        <w:rPr>
          <w:bCs/>
          <w:highlight w:val="none"/>
          <w:lang w:val="zh-CN"/>
        </w:rPr>
      </w:pPr>
    </w:p>
    <w:p w14:paraId="2FE4AECD">
      <w:pPr>
        <w:pStyle w:val="26"/>
        <w:ind w:left="1260" w:hanging="420"/>
        <w:rPr>
          <w:bCs/>
          <w:highlight w:val="none"/>
          <w:lang w:val="zh-CN"/>
        </w:rPr>
      </w:pPr>
    </w:p>
    <w:p w14:paraId="335EEDF1">
      <w:pPr>
        <w:pStyle w:val="26"/>
        <w:ind w:left="1260" w:hanging="420"/>
        <w:rPr>
          <w:bCs/>
          <w:highlight w:val="none"/>
          <w:lang w:val="zh-CN"/>
        </w:rPr>
      </w:pPr>
    </w:p>
    <w:bookmarkEnd w:id="98"/>
    <w:bookmarkEnd w:id="99"/>
    <w:bookmarkEnd w:id="100"/>
    <w:p w14:paraId="1640C976">
      <w:pPr>
        <w:rPr>
          <w:bCs/>
          <w:highlight w:val="none"/>
          <w:lang w:val="zh-CN"/>
        </w:rPr>
      </w:pPr>
    </w:p>
    <w:bookmarkEnd w:id="89"/>
    <w:bookmarkEnd w:id="90"/>
    <w:bookmarkEnd w:id="91"/>
    <w:bookmarkEnd w:id="92"/>
    <w:bookmarkEnd w:id="93"/>
    <w:bookmarkEnd w:id="94"/>
    <w:bookmarkEnd w:id="95"/>
    <w:bookmarkEnd w:id="96"/>
    <w:bookmarkEnd w:id="101"/>
    <w:p w14:paraId="533DFE28">
      <w:pPr>
        <w:snapToGrid w:val="0"/>
        <w:spacing w:line="320" w:lineRule="atLeast"/>
        <w:ind w:firstLine="420" w:firstLineChars="200"/>
        <w:rPr>
          <w:rFonts w:hint="eastAsia" w:ascii="宋体" w:hAnsi="宋体"/>
          <w:bCs/>
          <w:szCs w:val="21"/>
          <w:highlight w:val="none"/>
        </w:rPr>
      </w:pPr>
      <w:bookmarkStart w:id="105" w:name="_Hlk175824638"/>
    </w:p>
    <w:bookmarkEnd w:id="105"/>
    <w:p w14:paraId="2C3ADC2A">
      <w:pPr>
        <w:pStyle w:val="4"/>
        <w:adjustRightInd w:val="0"/>
        <w:snapToGrid w:val="0"/>
        <w:spacing w:before="0" w:after="0" w:line="240" w:lineRule="auto"/>
        <w:rPr>
          <w:rFonts w:hint="eastAsia" w:ascii="宋体" w:hAnsi="宋体"/>
          <w:b w:val="0"/>
          <w:highlight w:val="none"/>
        </w:rPr>
      </w:pPr>
      <w:bookmarkStart w:id="106" w:name="_Toc195174382"/>
      <w:bookmarkStart w:id="107" w:name="_Toc258182506"/>
      <w:bookmarkStart w:id="108" w:name="_Toc197960547"/>
      <w:bookmarkStart w:id="109" w:name="_Toc197951590"/>
      <w:bookmarkStart w:id="110" w:name="_Toc197951556"/>
      <w:bookmarkStart w:id="111" w:name="_Toc197960495"/>
      <w:bookmarkStart w:id="112" w:name="_Toc197950684"/>
      <w:bookmarkStart w:id="113" w:name="_Toc197967127"/>
      <w:bookmarkStart w:id="114" w:name="_Toc197950805"/>
      <w:bookmarkStart w:id="115" w:name="_Toc355768878"/>
      <w:bookmarkStart w:id="116" w:name="_Toc197967273"/>
      <w:bookmarkStart w:id="117" w:name="_Toc197965611"/>
      <w:r>
        <w:rPr>
          <w:rFonts w:hint="eastAsia" w:ascii="黑体" w:hAnsi="黑体" w:eastAsia="黑体"/>
          <w:b w:val="0"/>
          <w:sz w:val="24"/>
          <w:szCs w:val="24"/>
          <w:highlight w:val="none"/>
          <w:lang w:val="en-US" w:eastAsia="zh-CN"/>
        </w:rPr>
        <w:t>10.</w:t>
      </w:r>
      <w:r>
        <w:rPr>
          <w:rFonts w:ascii="黑体" w:hAnsi="黑体" w:eastAsia="黑体"/>
          <w:b w:val="0"/>
          <w:sz w:val="24"/>
          <w:szCs w:val="24"/>
          <w:highlight w:val="none"/>
        </w:rPr>
        <w:t>评标办法前附表</w:t>
      </w:r>
      <w:r>
        <w:rPr>
          <w:rFonts w:ascii="宋体" w:hAnsi="宋体"/>
          <w:b w:val="0"/>
          <w:sz w:val="30"/>
          <w:szCs w:val="30"/>
          <w:highlight w:val="none"/>
          <w:vertAlign w:val="superscript"/>
        </w:rPr>
        <w:footnoteReference w:id="1"/>
      </w:r>
      <w:bookmarkEnd w:id="106"/>
      <w:bookmarkStart w:id="118" w:name="_Hlk175945297"/>
    </w:p>
    <w:tbl>
      <w:tblPr>
        <w:tblStyle w:val="55"/>
        <w:tblW w:w="96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1389"/>
        <w:gridCol w:w="7383"/>
      </w:tblGrid>
      <w:tr w14:paraId="3379B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25" w:hRule="atLeast"/>
          <w:tblHeader/>
          <w:jc w:val="center"/>
        </w:trPr>
        <w:tc>
          <w:tcPr>
            <w:tcW w:w="2245" w:type="dxa"/>
            <w:gridSpan w:val="2"/>
            <w:shd w:val="clear" w:color="auto" w:fill="auto"/>
            <w:vAlign w:val="center"/>
          </w:tcPr>
          <w:p w14:paraId="691D0E3F">
            <w:pPr>
              <w:jc w:val="center"/>
              <w:rPr>
                <w:bCs/>
                <w:highlight w:val="none"/>
              </w:rPr>
            </w:pPr>
            <w:r>
              <w:rPr>
                <w:bCs/>
                <w:highlight w:val="none"/>
              </w:rPr>
              <w:t>条款号</w:t>
            </w:r>
          </w:p>
        </w:tc>
        <w:tc>
          <w:tcPr>
            <w:tcW w:w="7383" w:type="dxa"/>
            <w:shd w:val="clear" w:color="auto" w:fill="auto"/>
            <w:vAlign w:val="center"/>
          </w:tcPr>
          <w:p w14:paraId="1AB882AC">
            <w:pPr>
              <w:jc w:val="center"/>
              <w:rPr>
                <w:bCs/>
                <w:highlight w:val="none"/>
              </w:rPr>
            </w:pPr>
            <w:r>
              <w:rPr>
                <w:bCs/>
                <w:highlight w:val="none"/>
              </w:rPr>
              <w:t>评审因素与评审标准</w:t>
            </w:r>
          </w:p>
        </w:tc>
      </w:tr>
      <w:tr w14:paraId="6AA68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0" w:hRule="atLeast"/>
          <w:jc w:val="center"/>
        </w:trPr>
        <w:tc>
          <w:tcPr>
            <w:tcW w:w="856" w:type="dxa"/>
            <w:shd w:val="clear" w:color="auto" w:fill="auto"/>
            <w:vAlign w:val="center"/>
          </w:tcPr>
          <w:p w14:paraId="5F613162">
            <w:pPr>
              <w:autoSpaceDE w:val="0"/>
              <w:autoSpaceDN w:val="0"/>
              <w:adjustRightInd w:val="0"/>
              <w:snapToGrid w:val="0"/>
              <w:spacing w:line="300" w:lineRule="auto"/>
              <w:ind w:firstLine="420" w:firstLineChars="200"/>
              <w:rPr>
                <w:rFonts w:hint="eastAsia" w:ascii="宋体" w:hAnsi="宋体"/>
                <w:bCs/>
                <w:szCs w:val="21"/>
                <w:highlight w:val="none"/>
              </w:rPr>
            </w:pPr>
            <w:r>
              <w:rPr>
                <w:rFonts w:hint="eastAsia" w:ascii="宋体" w:hAnsi="宋体"/>
                <w:bCs/>
                <w:szCs w:val="21"/>
                <w:highlight w:val="none"/>
              </w:rPr>
              <w:t>1</w:t>
            </w:r>
          </w:p>
        </w:tc>
        <w:tc>
          <w:tcPr>
            <w:tcW w:w="1389" w:type="dxa"/>
            <w:shd w:val="clear" w:color="auto" w:fill="auto"/>
            <w:vAlign w:val="center"/>
          </w:tcPr>
          <w:p w14:paraId="2EB05B16">
            <w:pPr>
              <w:adjustRightInd w:val="0"/>
              <w:snapToGrid w:val="0"/>
              <w:spacing w:line="300" w:lineRule="auto"/>
              <w:ind w:firstLine="210" w:firstLineChars="100"/>
              <w:rPr>
                <w:rFonts w:hint="eastAsia" w:ascii="宋体" w:hAnsi="宋体"/>
                <w:bCs/>
                <w:szCs w:val="21"/>
                <w:highlight w:val="none"/>
              </w:rPr>
            </w:pPr>
            <w:r>
              <w:rPr>
                <w:rFonts w:hint="eastAsia" w:ascii="宋体" w:hAnsi="宋体"/>
                <w:bCs/>
                <w:szCs w:val="21"/>
                <w:highlight w:val="none"/>
              </w:rPr>
              <w:t>评标方法</w:t>
            </w:r>
          </w:p>
        </w:tc>
        <w:tc>
          <w:tcPr>
            <w:tcW w:w="7383" w:type="dxa"/>
            <w:shd w:val="clear" w:color="auto" w:fill="auto"/>
            <w:vAlign w:val="center"/>
          </w:tcPr>
          <w:p w14:paraId="3A061EFC">
            <w:pPr>
              <w:adjustRightInd w:val="0"/>
              <w:snapToGrid w:val="0"/>
              <w:spacing w:line="360" w:lineRule="exact"/>
              <w:ind w:firstLine="420" w:firstLineChars="200"/>
              <w:jc w:val="left"/>
              <w:rPr>
                <w:rFonts w:hint="eastAsia" w:ascii="宋体" w:hAnsi="宋体"/>
                <w:bCs/>
                <w:szCs w:val="21"/>
                <w:highlight w:val="none"/>
              </w:rPr>
            </w:pPr>
            <w:r>
              <w:rPr>
                <w:rFonts w:hint="eastAsia" w:ascii="黑体" w:hAnsi="黑体" w:eastAsia="黑体"/>
                <w:bCs/>
                <w:szCs w:val="21"/>
                <w:highlight w:val="none"/>
              </w:rPr>
              <w:t>本次评标采用技术评分最低标价法</w:t>
            </w:r>
            <w:r>
              <w:rPr>
                <w:rFonts w:hint="eastAsia" w:ascii="宋体" w:hAnsi="宋体"/>
                <w:bCs/>
                <w:szCs w:val="21"/>
                <w:highlight w:val="none"/>
              </w:rPr>
              <w:t>。评标委员会对满足招标文件实质性要求投标文件的施工组织设计、主要人员、企业业绩、履约信誉等因素进行评分，按照得分由高到低排序，对排名在招标文件规定数量以内的投标人的报价文件进行评审，按照评标价由低到高的顺序推荐中标候选人，但投标报价低于其成本的除外。评标价相等时，投标文件第一个信封（商务及技术文件）排序在前的投标人优先。</w:t>
            </w:r>
          </w:p>
          <w:p w14:paraId="5AC5A061">
            <w:pPr>
              <w:adjustRightInd w:val="0"/>
              <w:snapToGrid w:val="0"/>
              <w:spacing w:line="400" w:lineRule="exact"/>
              <w:ind w:firstLine="420" w:firstLineChars="200"/>
              <w:rPr>
                <w:rFonts w:hint="eastAsia" w:ascii="楷体" w:hAnsi="楷体" w:eastAsia="楷体"/>
                <w:bCs/>
                <w:szCs w:val="21"/>
                <w:highlight w:val="none"/>
              </w:rPr>
            </w:pPr>
            <w:r>
              <w:rPr>
                <w:rFonts w:hint="eastAsia" w:ascii="宋体" w:hAnsi="宋体"/>
                <w:bCs/>
                <w:szCs w:val="21"/>
                <w:highlight w:val="none"/>
              </w:rPr>
              <w:t>每个投标人（包括联合体各成员）</w:t>
            </w:r>
            <w:r>
              <w:rPr>
                <w:rFonts w:hint="eastAsia" w:ascii="黑体" w:hAnsi="黑体" w:eastAsia="黑体"/>
                <w:bCs/>
                <w:szCs w:val="21"/>
                <w:highlight w:val="none"/>
              </w:rPr>
              <w:t>可对本次招标所有标段进行投标</w:t>
            </w:r>
            <w:r>
              <w:rPr>
                <w:rFonts w:hint="eastAsia" w:ascii="宋体" w:hAnsi="宋体"/>
                <w:bCs/>
                <w:szCs w:val="21"/>
                <w:highlight w:val="none"/>
              </w:rPr>
              <w:t>，每个投标人（包括联合体各成员）</w:t>
            </w:r>
            <w:r>
              <w:rPr>
                <w:rFonts w:hint="eastAsia" w:ascii="黑体" w:hAnsi="黑体" w:eastAsia="黑体"/>
                <w:bCs/>
                <w:szCs w:val="21"/>
                <w:highlight w:val="none"/>
              </w:rPr>
              <w:t>允许中1个标段</w:t>
            </w:r>
            <w:r>
              <w:rPr>
                <w:rFonts w:hint="eastAsia" w:ascii="宋体" w:hAnsi="宋体"/>
                <w:bCs/>
                <w:szCs w:val="21"/>
                <w:highlight w:val="none"/>
              </w:rPr>
              <w:t>，被推荐为评标顺序在前标段的中标候选人（包括联合体各方），将不再参与后续标段的中标候选人推荐。评标顺序为</w:t>
            </w:r>
            <w:r>
              <w:rPr>
                <w:rFonts w:hint="eastAsia" w:ascii="黑体" w:hAnsi="黑体" w:eastAsia="黑体"/>
                <w:bCs/>
                <w:szCs w:val="21"/>
                <w:highlight w:val="none"/>
              </w:rPr>
              <w:t>YB25SH01标段→YB25ZH01标段</w:t>
            </w:r>
            <w:r>
              <w:rPr>
                <w:rFonts w:hint="eastAsia" w:ascii="宋体" w:hAnsi="宋体"/>
                <w:bCs/>
                <w:szCs w:val="21"/>
                <w:highlight w:val="none"/>
              </w:rPr>
              <w:t xml:space="preserve">。  </w:t>
            </w:r>
            <w:bookmarkStart w:id="119" w:name="_Hlk186124453"/>
            <w:r>
              <w:rPr>
                <w:rFonts w:hint="eastAsia" w:ascii="宋体" w:hAnsi="宋体"/>
                <w:bCs/>
                <w:szCs w:val="21"/>
                <w:highlight w:val="none"/>
              </w:rPr>
              <w:t xml:space="preserve"> </w:t>
            </w:r>
            <w:bookmarkEnd w:id="119"/>
            <w:r>
              <w:rPr>
                <w:rFonts w:hint="eastAsia" w:ascii="宋体" w:hAnsi="宋体"/>
                <w:bCs/>
                <w:szCs w:val="21"/>
                <w:highlight w:val="none"/>
              </w:rPr>
              <w:t xml:space="preserve"> </w:t>
            </w:r>
          </w:p>
        </w:tc>
      </w:tr>
      <w:tr w14:paraId="4A36F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03" w:hRule="atLeast"/>
          <w:jc w:val="center"/>
        </w:trPr>
        <w:tc>
          <w:tcPr>
            <w:tcW w:w="856" w:type="dxa"/>
            <w:tcBorders>
              <w:bottom w:val="single" w:color="auto" w:sz="4" w:space="0"/>
            </w:tcBorders>
            <w:shd w:val="clear" w:color="auto" w:fill="auto"/>
            <w:vAlign w:val="center"/>
          </w:tcPr>
          <w:p w14:paraId="10A92BD2">
            <w:pPr>
              <w:autoSpaceDE w:val="0"/>
              <w:autoSpaceDN w:val="0"/>
              <w:adjustRightInd w:val="0"/>
              <w:snapToGrid w:val="0"/>
              <w:spacing w:line="300" w:lineRule="auto"/>
              <w:ind w:firstLine="210" w:firstLineChars="100"/>
              <w:rPr>
                <w:rFonts w:hint="eastAsia" w:ascii="宋体" w:hAnsi="宋体"/>
                <w:bCs/>
                <w:szCs w:val="21"/>
                <w:highlight w:val="none"/>
              </w:rPr>
            </w:pPr>
            <w:r>
              <w:rPr>
                <w:rFonts w:ascii="宋体" w:hAnsi="宋体"/>
                <w:bCs/>
                <w:szCs w:val="21"/>
                <w:highlight w:val="none"/>
              </w:rPr>
              <w:t>2.1.1</w:t>
            </w:r>
          </w:p>
          <w:p w14:paraId="4502D2DB">
            <w:pPr>
              <w:autoSpaceDE w:val="0"/>
              <w:autoSpaceDN w:val="0"/>
              <w:adjustRightInd w:val="0"/>
              <w:snapToGrid w:val="0"/>
              <w:spacing w:line="300" w:lineRule="auto"/>
              <w:ind w:firstLine="210" w:firstLineChars="100"/>
              <w:rPr>
                <w:rFonts w:hint="eastAsia" w:ascii="宋体" w:hAnsi="宋体"/>
                <w:bCs/>
                <w:szCs w:val="21"/>
                <w:highlight w:val="none"/>
              </w:rPr>
            </w:pPr>
            <w:r>
              <w:rPr>
                <w:rFonts w:ascii="宋体" w:hAnsi="宋体"/>
                <w:bCs/>
                <w:szCs w:val="21"/>
                <w:highlight w:val="none"/>
              </w:rPr>
              <w:t>2.1.3</w:t>
            </w:r>
          </w:p>
        </w:tc>
        <w:tc>
          <w:tcPr>
            <w:tcW w:w="1389" w:type="dxa"/>
            <w:tcBorders>
              <w:bottom w:val="single" w:color="auto" w:sz="4" w:space="0"/>
            </w:tcBorders>
            <w:shd w:val="clear" w:color="auto" w:fill="auto"/>
            <w:vAlign w:val="center"/>
          </w:tcPr>
          <w:p w14:paraId="186004E9">
            <w:pPr>
              <w:adjustRightInd w:val="0"/>
              <w:snapToGrid w:val="0"/>
              <w:spacing w:line="300" w:lineRule="auto"/>
              <w:ind w:firstLine="210" w:firstLineChars="100"/>
              <w:rPr>
                <w:rFonts w:hint="eastAsia" w:ascii="宋体" w:hAnsi="宋体"/>
                <w:bCs/>
                <w:szCs w:val="21"/>
                <w:highlight w:val="none"/>
              </w:rPr>
            </w:pPr>
            <w:r>
              <w:rPr>
                <w:rFonts w:hint="eastAsia" w:ascii="宋体" w:hAnsi="宋体"/>
                <w:bCs/>
                <w:szCs w:val="21"/>
                <w:highlight w:val="none"/>
              </w:rPr>
              <w:t>形式评审与</w:t>
            </w:r>
          </w:p>
          <w:p w14:paraId="36A920F5">
            <w:pPr>
              <w:adjustRightInd w:val="0"/>
              <w:snapToGrid w:val="0"/>
              <w:spacing w:line="300" w:lineRule="auto"/>
              <w:ind w:firstLine="210" w:firstLineChars="100"/>
              <w:rPr>
                <w:rFonts w:hint="eastAsia" w:ascii="宋体" w:hAnsi="宋体"/>
                <w:bCs/>
                <w:szCs w:val="21"/>
                <w:highlight w:val="none"/>
              </w:rPr>
            </w:pPr>
            <w:r>
              <w:rPr>
                <w:rFonts w:hint="eastAsia" w:ascii="宋体" w:hAnsi="宋体"/>
                <w:bCs/>
                <w:szCs w:val="21"/>
                <w:highlight w:val="none"/>
              </w:rPr>
              <w:t>响应性评审</w:t>
            </w:r>
          </w:p>
          <w:p w14:paraId="11622755">
            <w:pPr>
              <w:adjustRightInd w:val="0"/>
              <w:snapToGrid w:val="0"/>
              <w:spacing w:line="300" w:lineRule="auto"/>
              <w:ind w:firstLine="420" w:firstLineChars="200"/>
              <w:rPr>
                <w:rFonts w:hint="eastAsia" w:ascii="宋体" w:hAnsi="宋体"/>
                <w:bCs/>
                <w:szCs w:val="21"/>
                <w:highlight w:val="none"/>
              </w:rPr>
            </w:pPr>
            <w:r>
              <w:rPr>
                <w:rFonts w:hint="eastAsia" w:ascii="宋体" w:hAnsi="宋体"/>
                <w:bCs/>
                <w:szCs w:val="21"/>
                <w:highlight w:val="none"/>
              </w:rPr>
              <w:t>标准</w:t>
            </w:r>
          </w:p>
        </w:tc>
        <w:tc>
          <w:tcPr>
            <w:tcW w:w="7383" w:type="dxa"/>
            <w:tcBorders>
              <w:bottom w:val="single" w:color="auto" w:sz="4" w:space="0"/>
            </w:tcBorders>
            <w:shd w:val="clear" w:color="auto" w:fill="auto"/>
          </w:tcPr>
          <w:p w14:paraId="7D8B9090">
            <w:pPr>
              <w:spacing w:before="120" w:beforeLines="50" w:line="360" w:lineRule="exact"/>
              <w:ind w:firstLine="210" w:firstLineChars="100"/>
              <w:rPr>
                <w:rFonts w:hint="eastAsia" w:ascii="黑体" w:hAnsi="黑体" w:eastAsia="黑体"/>
                <w:bCs/>
                <w:highlight w:val="none"/>
              </w:rPr>
            </w:pPr>
            <w:r>
              <w:rPr>
                <w:rFonts w:hint="eastAsia" w:ascii="黑体" w:hAnsi="黑体" w:eastAsia="黑体"/>
                <w:bCs/>
                <w:highlight w:val="none"/>
              </w:rPr>
              <w:t>第一个信封（商务及技术文件）评审标准：</w:t>
            </w:r>
          </w:p>
          <w:p w14:paraId="6E35D65A">
            <w:pPr>
              <w:numPr>
                <w:ilvl w:val="0"/>
                <w:numId w:val="1"/>
              </w:numPr>
              <w:spacing w:line="360" w:lineRule="exact"/>
              <w:ind w:left="0" w:firstLine="210" w:firstLineChars="100"/>
              <w:rPr>
                <w:rFonts w:hint="eastAsia" w:ascii="宋体" w:hAnsi="宋体"/>
                <w:bCs/>
                <w:szCs w:val="21"/>
                <w:highlight w:val="none"/>
              </w:rPr>
            </w:pPr>
            <w:r>
              <w:rPr>
                <w:rFonts w:hint="eastAsia" w:ascii="宋体" w:hAnsi="宋体"/>
                <w:bCs/>
                <w:szCs w:val="21"/>
                <w:highlight w:val="none"/>
              </w:rPr>
              <w:t>投标文件按照招标文件规定的格式、内容填写，字迹清晰可辨：</w:t>
            </w:r>
          </w:p>
          <w:p w14:paraId="226D2638">
            <w:pPr>
              <w:spacing w:line="360" w:lineRule="exact"/>
              <w:ind w:firstLine="420" w:firstLineChars="200"/>
              <w:rPr>
                <w:rFonts w:hint="eastAsia" w:ascii="宋体" w:hAnsi="宋体"/>
                <w:bCs/>
                <w:szCs w:val="21"/>
                <w:highlight w:val="none"/>
              </w:rPr>
            </w:pPr>
            <w:r>
              <w:rPr>
                <w:rFonts w:hint="eastAsia" w:ascii="宋体" w:hAnsi="宋体"/>
                <w:bCs/>
                <w:szCs w:val="21"/>
                <w:highlight w:val="none"/>
              </w:rPr>
              <w:t>a.投标函按招标文件规定填报了项目名称、标段号、补遗书编号（如有）、工期、工程质量要求及安全目标；</w:t>
            </w:r>
          </w:p>
          <w:p w14:paraId="505FFEFF">
            <w:pPr>
              <w:spacing w:line="360" w:lineRule="exact"/>
              <w:ind w:firstLine="420" w:firstLineChars="200"/>
              <w:rPr>
                <w:rFonts w:hint="eastAsia" w:ascii="宋体" w:hAnsi="宋体"/>
                <w:bCs/>
                <w:szCs w:val="21"/>
                <w:highlight w:val="none"/>
              </w:rPr>
            </w:pPr>
            <w:r>
              <w:rPr>
                <w:rFonts w:hint="eastAsia" w:ascii="宋体" w:hAnsi="宋体"/>
                <w:bCs/>
                <w:szCs w:val="21"/>
                <w:highlight w:val="none"/>
              </w:rPr>
              <w:t>b.投标函附录的所有数据均符合招标文件规定；</w:t>
            </w:r>
          </w:p>
          <w:p w14:paraId="0DC64F83">
            <w:pPr>
              <w:spacing w:line="360" w:lineRule="exact"/>
              <w:ind w:firstLine="420" w:firstLineChars="200"/>
              <w:rPr>
                <w:rFonts w:hint="eastAsia" w:ascii="宋体" w:hAnsi="宋体"/>
                <w:bCs/>
                <w:szCs w:val="21"/>
                <w:highlight w:val="none"/>
              </w:rPr>
            </w:pPr>
            <w:r>
              <w:rPr>
                <w:rFonts w:hint="eastAsia" w:ascii="宋体" w:hAnsi="宋体"/>
                <w:bCs/>
                <w:szCs w:val="21"/>
                <w:highlight w:val="none"/>
              </w:rPr>
              <w:t xml:space="preserve">c.投标文件组成齐全完整，内容均按规定填写。 </w:t>
            </w:r>
          </w:p>
          <w:p w14:paraId="0BE50406">
            <w:pPr>
              <w:numPr>
                <w:ilvl w:val="0"/>
                <w:numId w:val="1"/>
              </w:numPr>
              <w:spacing w:line="360" w:lineRule="exact"/>
              <w:ind w:left="0" w:firstLine="210" w:firstLineChars="100"/>
              <w:rPr>
                <w:rFonts w:hint="eastAsia" w:ascii="宋体" w:hAnsi="宋体"/>
                <w:bCs/>
                <w:szCs w:val="21"/>
                <w:highlight w:val="none"/>
              </w:rPr>
            </w:pPr>
            <w:r>
              <w:rPr>
                <w:rFonts w:hint="eastAsia" w:ascii="宋体" w:hAnsi="宋体"/>
                <w:bCs/>
                <w:szCs w:val="21"/>
                <w:highlight w:val="none"/>
              </w:rPr>
              <w:t>投标文件上法定代表人或其授权代理人的签字、投标人的单位章盖章齐全，符合招标文件规定。</w:t>
            </w:r>
          </w:p>
          <w:p w14:paraId="58398DC9">
            <w:pPr>
              <w:numPr>
                <w:ilvl w:val="0"/>
                <w:numId w:val="1"/>
              </w:numPr>
              <w:spacing w:line="360" w:lineRule="exact"/>
              <w:ind w:left="0" w:firstLine="210" w:firstLineChars="100"/>
              <w:rPr>
                <w:rFonts w:hint="eastAsia" w:ascii="宋体" w:hAnsi="宋体"/>
                <w:bCs/>
                <w:szCs w:val="21"/>
                <w:highlight w:val="none"/>
              </w:rPr>
            </w:pPr>
            <w:r>
              <w:rPr>
                <w:rFonts w:hint="eastAsia" w:ascii="宋体" w:hAnsi="宋体"/>
                <w:bCs/>
                <w:szCs w:val="21"/>
                <w:highlight w:val="none"/>
              </w:rPr>
              <w:t>投标人按照招标文件的规定提供了投标保证金：</w:t>
            </w:r>
          </w:p>
          <w:p w14:paraId="330145A4">
            <w:pPr>
              <w:spacing w:line="360" w:lineRule="exact"/>
              <w:ind w:firstLine="420" w:firstLineChars="200"/>
              <w:rPr>
                <w:rFonts w:hint="eastAsia" w:ascii="宋体" w:hAnsi="宋体"/>
                <w:bCs/>
                <w:szCs w:val="21"/>
                <w:highlight w:val="none"/>
              </w:rPr>
            </w:pPr>
            <w:r>
              <w:rPr>
                <w:rFonts w:hint="eastAsia" w:ascii="宋体" w:hAnsi="宋体"/>
                <w:bCs/>
                <w:szCs w:val="21"/>
                <w:highlight w:val="none"/>
              </w:rPr>
              <w:t>a.投标保证金金额符合招标文件规定的金额，且投标保证金有效期不少于投标有效期；</w:t>
            </w:r>
          </w:p>
          <w:p w14:paraId="52D97473">
            <w:pPr>
              <w:spacing w:line="360" w:lineRule="exact"/>
              <w:ind w:firstLine="420" w:firstLineChars="200"/>
              <w:rPr>
                <w:rFonts w:hint="eastAsia" w:ascii="宋体" w:hAnsi="宋体"/>
                <w:bCs/>
                <w:szCs w:val="21"/>
                <w:highlight w:val="none"/>
              </w:rPr>
            </w:pPr>
            <w:r>
              <w:rPr>
                <w:rFonts w:hint="eastAsia" w:ascii="宋体" w:hAnsi="宋体"/>
                <w:bCs/>
                <w:szCs w:val="21"/>
                <w:highlight w:val="none"/>
              </w:rPr>
              <w:t>b.若投标保证金采用现金或支票形式提交，投标人应在递交投标文件截止时间之前，将投标保证金由投标人的基本账户转入招标人指定账户；</w:t>
            </w:r>
          </w:p>
          <w:p w14:paraId="7B5551BD">
            <w:pPr>
              <w:spacing w:line="360" w:lineRule="exact"/>
              <w:ind w:firstLine="420" w:firstLineChars="200"/>
              <w:rPr>
                <w:rFonts w:hint="eastAsia" w:ascii="宋体" w:hAnsi="宋体"/>
                <w:bCs/>
                <w:szCs w:val="21"/>
                <w:highlight w:val="none"/>
              </w:rPr>
            </w:pPr>
            <w:r>
              <w:rPr>
                <w:rFonts w:hint="eastAsia" w:ascii="宋体" w:hAnsi="宋体"/>
                <w:bCs/>
                <w:szCs w:val="21"/>
                <w:highlight w:val="none"/>
              </w:rPr>
              <w:t>c.若投标保证金采用电子保函形式提交，必须为按招标文件要求在吉林省公共资源交易一体化平台开展</w:t>
            </w:r>
            <w:bookmarkStart w:id="120" w:name="OLE_LINK105"/>
            <w:r>
              <w:rPr>
                <w:rFonts w:hint="eastAsia" w:ascii="宋体" w:hAnsi="宋体"/>
                <w:bCs/>
                <w:szCs w:val="21"/>
                <w:highlight w:val="none"/>
              </w:rPr>
              <w:t>电子保函担保</w:t>
            </w:r>
            <w:bookmarkEnd w:id="120"/>
            <w:r>
              <w:rPr>
                <w:rFonts w:hint="eastAsia" w:ascii="宋体" w:hAnsi="宋体"/>
                <w:bCs/>
                <w:szCs w:val="21"/>
                <w:highlight w:val="none"/>
              </w:rPr>
              <w:t>业务的第三方服务机构提供的电子保函。</w:t>
            </w:r>
          </w:p>
          <w:p w14:paraId="5A711920">
            <w:pPr>
              <w:numPr>
                <w:ilvl w:val="0"/>
                <w:numId w:val="1"/>
              </w:numPr>
              <w:spacing w:line="360" w:lineRule="exact"/>
              <w:ind w:left="0" w:firstLine="210" w:firstLineChars="100"/>
              <w:rPr>
                <w:rFonts w:hint="eastAsia" w:ascii="宋体" w:hAnsi="宋体"/>
                <w:bCs/>
                <w:szCs w:val="21"/>
                <w:highlight w:val="none"/>
              </w:rPr>
            </w:pPr>
            <w:r>
              <w:rPr>
                <w:rFonts w:hint="eastAsia" w:ascii="宋体" w:hAnsi="宋体"/>
                <w:bCs/>
                <w:szCs w:val="21"/>
                <w:highlight w:val="none"/>
              </w:rPr>
              <w:t>投标人</w:t>
            </w:r>
            <w:r>
              <w:rPr>
                <w:rFonts w:hint="eastAsia" w:ascii="宋体" w:hAnsi="宋体"/>
                <w:szCs w:val="21"/>
                <w:highlight w:val="none"/>
              </w:rPr>
              <w:t>法定代表人授权委托代理人签署投标文件的，须提交授权委托书，授权委托书符合招标文件规定。</w:t>
            </w:r>
          </w:p>
          <w:p w14:paraId="3FDDC10F">
            <w:pPr>
              <w:numPr>
                <w:ilvl w:val="0"/>
                <w:numId w:val="1"/>
              </w:numPr>
              <w:spacing w:line="360" w:lineRule="exact"/>
              <w:ind w:left="0" w:firstLine="210" w:firstLineChars="100"/>
              <w:rPr>
                <w:rFonts w:hint="eastAsia" w:ascii="宋体" w:hAnsi="宋体"/>
                <w:bCs/>
                <w:szCs w:val="21"/>
                <w:highlight w:val="none"/>
              </w:rPr>
            </w:pPr>
            <w:r>
              <w:rPr>
                <w:rFonts w:hint="eastAsia" w:ascii="宋体" w:hAnsi="宋体"/>
                <w:bCs/>
                <w:szCs w:val="21"/>
                <w:highlight w:val="none"/>
              </w:rPr>
              <w:t>投标人</w:t>
            </w:r>
            <w:r>
              <w:rPr>
                <w:rFonts w:hint="eastAsia" w:ascii="宋体" w:hAnsi="宋体"/>
                <w:szCs w:val="21"/>
                <w:highlight w:val="none"/>
              </w:rPr>
              <w:t>法定代表人亲自签署投标文件的，提供了法定代表人身份证明，法定代表人身份证明符合招标文件规定。</w:t>
            </w:r>
          </w:p>
          <w:p w14:paraId="040167EF">
            <w:pPr>
              <w:numPr>
                <w:ilvl w:val="0"/>
                <w:numId w:val="1"/>
              </w:numPr>
              <w:spacing w:line="360" w:lineRule="exact"/>
              <w:ind w:left="0" w:firstLine="210" w:firstLineChars="100"/>
              <w:rPr>
                <w:rFonts w:hint="eastAsia" w:ascii="宋体" w:hAnsi="宋体"/>
                <w:bCs/>
                <w:szCs w:val="21"/>
                <w:highlight w:val="none"/>
              </w:rPr>
            </w:pPr>
            <w:r>
              <w:rPr>
                <w:rFonts w:hint="eastAsia" w:ascii="黑体" w:hAnsi="黑体" w:eastAsia="黑体"/>
                <w:bCs/>
                <w:szCs w:val="21"/>
                <w:highlight w:val="none"/>
              </w:rPr>
              <w:t>YB25SH01标段：</w:t>
            </w:r>
            <w:r>
              <w:rPr>
                <w:rFonts w:hint="eastAsia" w:ascii="宋体" w:hAnsi="宋体"/>
                <w:bCs/>
                <w:szCs w:val="21"/>
                <w:highlight w:val="none"/>
              </w:rPr>
              <w:t>投标人以联合体形式投标时，联合体满足招标文件的要求：投标人按照招标文件提供的格式签订了联合体协议书，明确各方承担连带责任，并明确了联合体牵头人。</w:t>
            </w:r>
          </w:p>
          <w:p w14:paraId="536C6DD1">
            <w:pPr>
              <w:spacing w:line="360" w:lineRule="exact"/>
              <w:ind w:left="210" w:firstLine="210" w:firstLineChars="100"/>
              <w:rPr>
                <w:rFonts w:hint="eastAsia" w:ascii="宋体" w:hAnsi="宋体"/>
                <w:bCs/>
                <w:szCs w:val="21"/>
                <w:highlight w:val="none"/>
              </w:rPr>
            </w:pPr>
            <w:r>
              <w:rPr>
                <w:rFonts w:hint="eastAsia" w:ascii="黑体" w:hAnsi="黑体" w:eastAsia="黑体"/>
                <w:bCs/>
                <w:szCs w:val="21"/>
                <w:highlight w:val="none"/>
              </w:rPr>
              <w:t>YB25ZH01标段：</w:t>
            </w:r>
            <w:r>
              <w:rPr>
                <w:rFonts w:hint="eastAsia" w:ascii="宋体" w:hAnsi="宋体"/>
                <w:bCs/>
                <w:szCs w:val="21"/>
                <w:highlight w:val="none"/>
              </w:rPr>
              <w:t>投标人未以联合体形式投标。</w:t>
            </w:r>
          </w:p>
          <w:p w14:paraId="5A7647A9">
            <w:pPr>
              <w:numPr>
                <w:ilvl w:val="0"/>
                <w:numId w:val="1"/>
              </w:numPr>
              <w:spacing w:line="360" w:lineRule="exact"/>
              <w:ind w:left="0" w:firstLine="210" w:firstLineChars="100"/>
              <w:rPr>
                <w:rFonts w:hint="eastAsia" w:ascii="宋体" w:hAnsi="宋体"/>
                <w:bCs/>
                <w:szCs w:val="21"/>
                <w:highlight w:val="none"/>
              </w:rPr>
            </w:pPr>
            <w:r>
              <w:rPr>
                <w:rFonts w:hint="eastAsia" w:ascii="宋体" w:hAnsi="宋体"/>
                <w:bCs/>
                <w:szCs w:val="21"/>
                <w:highlight w:val="none"/>
              </w:rPr>
              <w:t>投标人如有分包计划，符合招标文件规定。</w:t>
            </w:r>
          </w:p>
          <w:p w14:paraId="357F69C5">
            <w:pPr>
              <w:numPr>
                <w:ilvl w:val="0"/>
                <w:numId w:val="1"/>
              </w:numPr>
              <w:spacing w:line="360" w:lineRule="exact"/>
              <w:ind w:left="0" w:firstLine="210" w:firstLineChars="100"/>
              <w:rPr>
                <w:rFonts w:hint="eastAsia" w:ascii="宋体" w:hAnsi="宋体"/>
                <w:bCs/>
                <w:szCs w:val="21"/>
                <w:highlight w:val="none"/>
              </w:rPr>
            </w:pPr>
            <w:r>
              <w:rPr>
                <w:rFonts w:hint="eastAsia" w:ascii="宋体" w:hAnsi="宋体"/>
                <w:bCs/>
                <w:szCs w:val="21"/>
                <w:highlight w:val="none"/>
              </w:rPr>
              <w:t>投标文件中未出现有关投标报价的内容。</w:t>
            </w:r>
          </w:p>
          <w:p w14:paraId="74097352">
            <w:pPr>
              <w:numPr>
                <w:ilvl w:val="0"/>
                <w:numId w:val="1"/>
              </w:numPr>
              <w:spacing w:line="360" w:lineRule="exact"/>
              <w:ind w:left="0" w:firstLine="210" w:firstLineChars="100"/>
              <w:rPr>
                <w:rFonts w:hint="eastAsia" w:ascii="宋体" w:hAnsi="宋体"/>
                <w:bCs/>
                <w:szCs w:val="21"/>
                <w:highlight w:val="none"/>
              </w:rPr>
            </w:pPr>
            <w:r>
              <w:rPr>
                <w:rFonts w:hint="eastAsia" w:ascii="宋体" w:hAnsi="宋体"/>
                <w:bCs/>
                <w:szCs w:val="21"/>
                <w:highlight w:val="none"/>
              </w:rPr>
              <w:t>投标文件载明的招标项目完成期限未超过招标文件规定的时限。</w:t>
            </w:r>
          </w:p>
          <w:p w14:paraId="2999F8F1">
            <w:pPr>
              <w:numPr>
                <w:ilvl w:val="0"/>
                <w:numId w:val="1"/>
              </w:numPr>
              <w:spacing w:line="360" w:lineRule="exact"/>
              <w:ind w:left="0" w:firstLine="210" w:firstLineChars="100"/>
              <w:rPr>
                <w:rFonts w:hint="eastAsia" w:ascii="宋体" w:hAnsi="宋体"/>
                <w:bCs/>
                <w:szCs w:val="21"/>
                <w:highlight w:val="none"/>
              </w:rPr>
            </w:pPr>
            <w:r>
              <w:rPr>
                <w:rFonts w:hint="eastAsia" w:ascii="宋体" w:hAnsi="宋体"/>
                <w:bCs/>
                <w:szCs w:val="21"/>
                <w:highlight w:val="none"/>
              </w:rPr>
              <w:t>投标文件对招标文件的实质性要求和条件作出响应。</w:t>
            </w:r>
          </w:p>
          <w:p w14:paraId="12EFFB9D">
            <w:pPr>
              <w:numPr>
                <w:ilvl w:val="0"/>
                <w:numId w:val="1"/>
              </w:numPr>
              <w:spacing w:line="360" w:lineRule="exact"/>
              <w:ind w:left="0" w:firstLine="210" w:firstLineChars="100"/>
              <w:rPr>
                <w:rFonts w:hint="eastAsia" w:ascii="宋体" w:hAnsi="宋体"/>
                <w:bCs/>
                <w:szCs w:val="21"/>
                <w:highlight w:val="none"/>
              </w:rPr>
            </w:pPr>
            <w:r>
              <w:rPr>
                <w:rFonts w:hint="eastAsia" w:ascii="宋体" w:hAnsi="宋体"/>
                <w:bCs/>
                <w:szCs w:val="21"/>
                <w:highlight w:val="none"/>
              </w:rPr>
              <w:t>权利义务符合招标文件规定：</w:t>
            </w:r>
          </w:p>
          <w:p w14:paraId="1B946325">
            <w:pPr>
              <w:spacing w:line="360" w:lineRule="exact"/>
              <w:ind w:firstLine="420" w:firstLineChars="200"/>
              <w:rPr>
                <w:rFonts w:hint="eastAsia" w:ascii="宋体" w:hAnsi="宋体"/>
                <w:bCs/>
                <w:szCs w:val="21"/>
                <w:highlight w:val="none"/>
              </w:rPr>
            </w:pPr>
            <w:r>
              <w:rPr>
                <w:rFonts w:hint="eastAsia" w:ascii="宋体" w:hAnsi="宋体"/>
                <w:bCs/>
                <w:szCs w:val="21"/>
                <w:highlight w:val="none"/>
              </w:rPr>
              <w:t>a.投标人应接受招标文件规定的风险划分原则，未提出新的风险划分办法；</w:t>
            </w:r>
          </w:p>
          <w:p w14:paraId="26AC4342">
            <w:pPr>
              <w:spacing w:line="360" w:lineRule="exact"/>
              <w:ind w:firstLine="420" w:firstLineChars="200"/>
              <w:rPr>
                <w:rFonts w:hint="eastAsia" w:ascii="宋体" w:hAnsi="宋体"/>
                <w:bCs/>
                <w:szCs w:val="21"/>
                <w:highlight w:val="none"/>
              </w:rPr>
            </w:pPr>
            <w:r>
              <w:rPr>
                <w:rFonts w:hint="eastAsia" w:ascii="宋体" w:hAnsi="宋体"/>
                <w:bCs/>
                <w:szCs w:val="21"/>
                <w:highlight w:val="none"/>
              </w:rPr>
              <w:t>b.投标人未增加发包人的责任范围，或减少投标人义务；</w:t>
            </w:r>
          </w:p>
          <w:p w14:paraId="399CF306">
            <w:pPr>
              <w:spacing w:line="360" w:lineRule="exact"/>
              <w:ind w:firstLine="420" w:firstLineChars="200"/>
              <w:rPr>
                <w:rFonts w:hint="eastAsia" w:ascii="宋体" w:hAnsi="宋体"/>
                <w:bCs/>
                <w:szCs w:val="21"/>
                <w:highlight w:val="none"/>
              </w:rPr>
            </w:pPr>
            <w:r>
              <w:rPr>
                <w:rFonts w:hint="eastAsia" w:ascii="宋体" w:hAnsi="宋体"/>
                <w:bCs/>
                <w:szCs w:val="21"/>
                <w:highlight w:val="none"/>
              </w:rPr>
              <w:t>c.投标人未提出不同的工程验收、计量、支付办法；</w:t>
            </w:r>
          </w:p>
          <w:p w14:paraId="552401EC">
            <w:pPr>
              <w:spacing w:line="360" w:lineRule="exact"/>
              <w:ind w:firstLine="420" w:firstLineChars="200"/>
              <w:rPr>
                <w:rFonts w:hint="eastAsia" w:ascii="宋体" w:hAnsi="宋体"/>
                <w:bCs/>
                <w:szCs w:val="21"/>
                <w:highlight w:val="none"/>
              </w:rPr>
            </w:pPr>
            <w:r>
              <w:rPr>
                <w:rFonts w:hint="eastAsia" w:ascii="宋体" w:hAnsi="宋体"/>
                <w:bCs/>
                <w:szCs w:val="21"/>
                <w:highlight w:val="none"/>
              </w:rPr>
              <w:t>d.投标人对合同纠纷、事故处理办法未提出异议；</w:t>
            </w:r>
          </w:p>
          <w:p w14:paraId="616AA548">
            <w:pPr>
              <w:spacing w:line="360" w:lineRule="exact"/>
              <w:ind w:firstLine="420" w:firstLineChars="200"/>
              <w:rPr>
                <w:rFonts w:hint="eastAsia" w:ascii="宋体" w:hAnsi="宋体"/>
                <w:bCs/>
                <w:szCs w:val="21"/>
                <w:highlight w:val="none"/>
              </w:rPr>
            </w:pPr>
            <w:r>
              <w:rPr>
                <w:rFonts w:hint="eastAsia" w:ascii="宋体" w:hAnsi="宋体"/>
                <w:bCs/>
                <w:szCs w:val="21"/>
                <w:highlight w:val="none"/>
              </w:rPr>
              <w:t>e.投标人在投标活动中无欺诈行为；</w:t>
            </w:r>
          </w:p>
          <w:p w14:paraId="5353A03C">
            <w:pPr>
              <w:spacing w:line="360" w:lineRule="exact"/>
              <w:ind w:firstLine="420" w:firstLineChars="200"/>
              <w:rPr>
                <w:rFonts w:hint="eastAsia" w:ascii="宋体" w:hAnsi="宋体"/>
                <w:bCs/>
                <w:szCs w:val="21"/>
                <w:highlight w:val="none"/>
              </w:rPr>
            </w:pPr>
            <w:r>
              <w:rPr>
                <w:rFonts w:hint="eastAsia" w:ascii="宋体" w:hAnsi="宋体"/>
                <w:bCs/>
                <w:szCs w:val="21"/>
                <w:highlight w:val="none"/>
              </w:rPr>
              <w:t>f.投标人未对合同条款有重要保留。</w:t>
            </w:r>
          </w:p>
        </w:tc>
      </w:tr>
      <w:tr w14:paraId="7DC8D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267" w:hRule="atLeast"/>
          <w:jc w:val="center"/>
        </w:trPr>
        <w:tc>
          <w:tcPr>
            <w:tcW w:w="856" w:type="dxa"/>
            <w:tcBorders>
              <w:top w:val="single" w:color="auto" w:sz="4" w:space="0"/>
            </w:tcBorders>
            <w:shd w:val="clear" w:color="auto" w:fill="auto"/>
            <w:vAlign w:val="center"/>
          </w:tcPr>
          <w:p w14:paraId="39F7D7B0">
            <w:pPr>
              <w:autoSpaceDE w:val="0"/>
              <w:autoSpaceDN w:val="0"/>
              <w:adjustRightInd w:val="0"/>
              <w:snapToGrid w:val="0"/>
              <w:spacing w:line="340" w:lineRule="exact"/>
              <w:ind w:firstLine="210" w:firstLineChars="100"/>
              <w:rPr>
                <w:rFonts w:hint="eastAsia" w:ascii="宋体" w:hAnsi="宋体"/>
                <w:bCs/>
                <w:szCs w:val="21"/>
                <w:highlight w:val="none"/>
              </w:rPr>
            </w:pPr>
            <w:r>
              <w:rPr>
                <w:rFonts w:ascii="宋体" w:hAnsi="宋体"/>
                <w:bCs/>
                <w:szCs w:val="21"/>
                <w:highlight w:val="none"/>
              </w:rPr>
              <w:t>2.1.1</w:t>
            </w:r>
          </w:p>
          <w:p w14:paraId="741A5AFE">
            <w:pPr>
              <w:autoSpaceDE w:val="0"/>
              <w:autoSpaceDN w:val="0"/>
              <w:adjustRightInd w:val="0"/>
              <w:snapToGrid w:val="0"/>
              <w:spacing w:line="340" w:lineRule="exact"/>
              <w:ind w:firstLine="210" w:firstLineChars="100"/>
              <w:rPr>
                <w:rFonts w:hint="eastAsia" w:ascii="宋体" w:hAnsi="宋体"/>
                <w:bCs/>
                <w:szCs w:val="21"/>
                <w:highlight w:val="none"/>
              </w:rPr>
            </w:pPr>
            <w:r>
              <w:rPr>
                <w:rFonts w:ascii="宋体" w:hAnsi="宋体"/>
                <w:bCs/>
                <w:szCs w:val="21"/>
                <w:highlight w:val="none"/>
              </w:rPr>
              <w:t>2.1.3</w:t>
            </w:r>
          </w:p>
        </w:tc>
        <w:tc>
          <w:tcPr>
            <w:tcW w:w="1389" w:type="dxa"/>
            <w:tcBorders>
              <w:top w:val="single" w:color="auto" w:sz="4" w:space="0"/>
            </w:tcBorders>
            <w:shd w:val="clear" w:color="auto" w:fill="auto"/>
            <w:vAlign w:val="center"/>
          </w:tcPr>
          <w:p w14:paraId="3221BD3B">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形式评审与</w:t>
            </w:r>
          </w:p>
          <w:p w14:paraId="53655D1E">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响应性评审</w:t>
            </w:r>
          </w:p>
          <w:p w14:paraId="72B23C2F">
            <w:pPr>
              <w:adjustRightInd w:val="0"/>
              <w:snapToGrid w:val="0"/>
              <w:spacing w:line="340" w:lineRule="exact"/>
              <w:ind w:firstLine="420" w:firstLineChars="200"/>
              <w:rPr>
                <w:rFonts w:hint="eastAsia" w:ascii="宋体" w:hAnsi="宋体"/>
                <w:bCs/>
                <w:szCs w:val="21"/>
                <w:highlight w:val="none"/>
              </w:rPr>
            </w:pPr>
            <w:r>
              <w:rPr>
                <w:rFonts w:hint="eastAsia" w:ascii="宋体" w:hAnsi="宋体"/>
                <w:bCs/>
                <w:szCs w:val="21"/>
                <w:highlight w:val="none"/>
              </w:rPr>
              <w:t>标准</w:t>
            </w:r>
          </w:p>
        </w:tc>
        <w:tc>
          <w:tcPr>
            <w:tcW w:w="7383" w:type="dxa"/>
            <w:tcBorders>
              <w:top w:val="single" w:color="auto" w:sz="4" w:space="0"/>
            </w:tcBorders>
            <w:shd w:val="clear" w:color="auto" w:fill="auto"/>
          </w:tcPr>
          <w:p w14:paraId="3ABBD3AE">
            <w:pPr>
              <w:adjustRightInd w:val="0"/>
              <w:snapToGrid w:val="0"/>
              <w:spacing w:line="340" w:lineRule="exact"/>
              <w:ind w:firstLine="210" w:firstLineChars="100"/>
              <w:rPr>
                <w:rFonts w:hint="eastAsia" w:ascii="黑体" w:hAnsi="黑体" w:eastAsia="黑体"/>
                <w:bCs/>
                <w:szCs w:val="21"/>
                <w:highlight w:val="none"/>
              </w:rPr>
            </w:pPr>
            <w:r>
              <w:rPr>
                <w:rFonts w:hint="eastAsia" w:ascii="黑体" w:hAnsi="黑体" w:eastAsia="黑体"/>
                <w:bCs/>
                <w:szCs w:val="21"/>
                <w:highlight w:val="none"/>
              </w:rPr>
              <w:t>第二个信封（报价文件）评审标准：</w:t>
            </w:r>
          </w:p>
          <w:p w14:paraId="52B496BF">
            <w:pPr>
              <w:numPr>
                <w:ilvl w:val="0"/>
                <w:numId w:val="2"/>
              </w:numPr>
              <w:adjustRightInd w:val="0"/>
              <w:snapToGrid w:val="0"/>
              <w:spacing w:line="340" w:lineRule="exact"/>
              <w:ind w:left="0" w:firstLine="210" w:firstLineChars="100"/>
              <w:rPr>
                <w:rFonts w:hint="eastAsia" w:ascii="宋体" w:hAnsi="宋体"/>
                <w:bCs/>
                <w:szCs w:val="21"/>
                <w:highlight w:val="none"/>
              </w:rPr>
            </w:pPr>
            <w:r>
              <w:rPr>
                <w:rFonts w:hint="eastAsia" w:ascii="宋体" w:hAnsi="宋体"/>
                <w:bCs/>
                <w:szCs w:val="21"/>
                <w:highlight w:val="none"/>
              </w:rPr>
              <w:t>投标文件按照招标文件规定的格式、内容填写，字迹清晰可辨：</w:t>
            </w:r>
          </w:p>
          <w:p w14:paraId="750803BC">
            <w:pPr>
              <w:adjustRightInd w:val="0"/>
              <w:snapToGrid w:val="0"/>
              <w:spacing w:line="340" w:lineRule="exact"/>
              <w:ind w:firstLine="420" w:firstLineChars="200"/>
              <w:rPr>
                <w:rFonts w:hint="eastAsia" w:ascii="宋体" w:hAnsi="宋体"/>
                <w:bCs/>
                <w:szCs w:val="21"/>
                <w:highlight w:val="none"/>
              </w:rPr>
            </w:pPr>
            <w:r>
              <w:rPr>
                <w:rFonts w:hint="eastAsia" w:ascii="宋体" w:hAnsi="宋体"/>
                <w:bCs/>
                <w:szCs w:val="21"/>
                <w:highlight w:val="none"/>
              </w:rPr>
              <w:t>a.投标函按招标文件规定填报了项目名称、标段号、补遗书编号（如有）、投标价（包括大写金额和小写金额）；</w:t>
            </w:r>
          </w:p>
          <w:p w14:paraId="4F844825">
            <w:pPr>
              <w:adjustRightInd w:val="0"/>
              <w:snapToGrid w:val="0"/>
              <w:spacing w:line="340" w:lineRule="exact"/>
              <w:ind w:firstLine="420" w:firstLineChars="200"/>
              <w:rPr>
                <w:rFonts w:hint="eastAsia" w:ascii="宋体" w:hAnsi="宋体"/>
                <w:bCs/>
                <w:szCs w:val="21"/>
                <w:highlight w:val="none"/>
              </w:rPr>
            </w:pPr>
            <w:r>
              <w:rPr>
                <w:rFonts w:hint="eastAsia" w:ascii="宋体" w:hAnsi="宋体"/>
                <w:bCs/>
                <w:szCs w:val="21"/>
                <w:highlight w:val="none"/>
              </w:rPr>
              <w:t>b.投标文件组成齐全完整，内容均按规定填写。</w:t>
            </w:r>
          </w:p>
          <w:p w14:paraId="20D08F3B">
            <w:pPr>
              <w:numPr>
                <w:ilvl w:val="0"/>
                <w:numId w:val="2"/>
              </w:numPr>
              <w:adjustRightInd w:val="0"/>
              <w:snapToGrid w:val="0"/>
              <w:spacing w:line="340" w:lineRule="exact"/>
              <w:ind w:left="0" w:firstLine="210" w:firstLineChars="100"/>
              <w:rPr>
                <w:rFonts w:hint="eastAsia" w:ascii="宋体" w:hAnsi="宋体"/>
                <w:bCs/>
                <w:szCs w:val="21"/>
                <w:highlight w:val="none"/>
              </w:rPr>
            </w:pPr>
            <w:r>
              <w:rPr>
                <w:rFonts w:hint="eastAsia" w:ascii="宋体" w:hAnsi="宋体"/>
                <w:bCs/>
                <w:szCs w:val="21"/>
                <w:highlight w:val="none"/>
              </w:rPr>
              <w:t>投标文件上法定代表人或其委托代理人的签字、投标人的单位章盖章齐全，符合招标文件规定。</w:t>
            </w:r>
          </w:p>
          <w:p w14:paraId="7C139176">
            <w:pPr>
              <w:numPr>
                <w:ilvl w:val="0"/>
                <w:numId w:val="2"/>
              </w:numPr>
              <w:adjustRightInd w:val="0"/>
              <w:snapToGrid w:val="0"/>
              <w:spacing w:line="340" w:lineRule="exact"/>
              <w:ind w:left="0" w:firstLine="210" w:firstLineChars="100"/>
              <w:rPr>
                <w:rFonts w:hint="eastAsia" w:ascii="宋体" w:hAnsi="宋体"/>
                <w:bCs/>
                <w:szCs w:val="21"/>
                <w:highlight w:val="none"/>
              </w:rPr>
            </w:pPr>
            <w:r>
              <w:rPr>
                <w:rFonts w:hint="eastAsia" w:ascii="宋体" w:hAnsi="宋体"/>
                <w:bCs/>
                <w:szCs w:val="21"/>
                <w:highlight w:val="none"/>
              </w:rPr>
              <w:t>投标报价未超过招标文件设定的最高投标限价。</w:t>
            </w:r>
          </w:p>
          <w:p w14:paraId="15C06391">
            <w:pPr>
              <w:numPr>
                <w:ilvl w:val="0"/>
                <w:numId w:val="2"/>
              </w:numPr>
              <w:adjustRightInd w:val="0"/>
              <w:snapToGrid w:val="0"/>
              <w:spacing w:line="340" w:lineRule="exact"/>
              <w:ind w:left="0" w:firstLine="210" w:firstLineChars="100"/>
              <w:rPr>
                <w:rFonts w:hint="eastAsia" w:ascii="宋体" w:hAnsi="宋体"/>
                <w:bCs/>
                <w:szCs w:val="21"/>
                <w:highlight w:val="none"/>
              </w:rPr>
            </w:pPr>
            <w:r>
              <w:rPr>
                <w:rFonts w:hint="eastAsia" w:ascii="宋体" w:hAnsi="宋体"/>
                <w:bCs/>
                <w:szCs w:val="21"/>
                <w:highlight w:val="none"/>
              </w:rPr>
              <w:t>投标报价的大写金额能够确定具体数值。</w:t>
            </w:r>
          </w:p>
          <w:p w14:paraId="10B8635B">
            <w:pPr>
              <w:numPr>
                <w:ilvl w:val="0"/>
                <w:numId w:val="2"/>
              </w:numPr>
              <w:adjustRightInd w:val="0"/>
              <w:snapToGrid w:val="0"/>
              <w:spacing w:line="340" w:lineRule="exact"/>
              <w:ind w:left="0" w:firstLine="210" w:firstLineChars="100"/>
              <w:rPr>
                <w:rFonts w:hint="eastAsia" w:ascii="宋体" w:hAnsi="宋体"/>
                <w:bCs/>
                <w:szCs w:val="21"/>
                <w:highlight w:val="none"/>
              </w:rPr>
            </w:pPr>
            <w:r>
              <w:rPr>
                <w:rFonts w:hint="eastAsia" w:ascii="宋体" w:hAnsi="宋体"/>
                <w:bCs/>
                <w:szCs w:val="21"/>
                <w:highlight w:val="none"/>
              </w:rPr>
              <w:t>同一投标人同一标段未提交两个以上不同的投标报价。</w:t>
            </w:r>
          </w:p>
          <w:p w14:paraId="0CC85DF2">
            <w:pPr>
              <w:numPr>
                <w:ilvl w:val="0"/>
                <w:numId w:val="2"/>
              </w:numPr>
              <w:adjustRightInd w:val="0"/>
              <w:snapToGrid w:val="0"/>
              <w:spacing w:line="340" w:lineRule="exact"/>
              <w:ind w:left="0" w:firstLine="210" w:firstLineChars="100"/>
              <w:rPr>
                <w:rFonts w:hint="eastAsia" w:ascii="宋体" w:hAnsi="宋体"/>
                <w:bCs/>
                <w:szCs w:val="21"/>
                <w:highlight w:val="none"/>
              </w:rPr>
            </w:pPr>
            <w:r>
              <w:rPr>
                <w:rFonts w:hint="eastAsia" w:ascii="宋体" w:hAnsi="宋体"/>
                <w:bCs/>
                <w:szCs w:val="21"/>
                <w:highlight w:val="none"/>
              </w:rPr>
              <w:t>投标人填写工程量固化清单，填写完毕的工程量固化清单未对工程量固化清单电子文件中的数据、格式和运算定义进行修改；工程量固化清单中的投标报价和投标函大写金额报价一致。</w:t>
            </w:r>
          </w:p>
        </w:tc>
      </w:tr>
      <w:tr w14:paraId="344F3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0" w:hRule="atLeast"/>
          <w:jc w:val="center"/>
        </w:trPr>
        <w:tc>
          <w:tcPr>
            <w:tcW w:w="856" w:type="dxa"/>
            <w:tcBorders>
              <w:bottom w:val="single" w:color="auto" w:sz="4" w:space="0"/>
            </w:tcBorders>
            <w:shd w:val="clear" w:color="auto" w:fill="auto"/>
            <w:vAlign w:val="center"/>
          </w:tcPr>
          <w:p w14:paraId="1CCB287F">
            <w:pPr>
              <w:autoSpaceDE w:val="0"/>
              <w:autoSpaceDN w:val="0"/>
              <w:adjustRightInd w:val="0"/>
              <w:snapToGrid w:val="0"/>
              <w:spacing w:line="340" w:lineRule="exact"/>
              <w:ind w:firstLine="210" w:firstLineChars="100"/>
              <w:rPr>
                <w:rFonts w:hint="eastAsia" w:ascii="宋体" w:hAnsi="宋体"/>
                <w:bCs/>
                <w:szCs w:val="21"/>
                <w:highlight w:val="none"/>
              </w:rPr>
            </w:pPr>
            <w:r>
              <w:rPr>
                <w:rFonts w:ascii="宋体" w:hAnsi="宋体"/>
                <w:bCs/>
                <w:szCs w:val="21"/>
                <w:highlight w:val="none"/>
              </w:rPr>
              <w:t>2.1.2</w:t>
            </w:r>
          </w:p>
        </w:tc>
        <w:tc>
          <w:tcPr>
            <w:tcW w:w="1389" w:type="dxa"/>
            <w:tcBorders>
              <w:bottom w:val="single" w:color="auto" w:sz="4" w:space="0"/>
            </w:tcBorders>
            <w:shd w:val="clear" w:color="auto" w:fill="auto"/>
            <w:vAlign w:val="center"/>
          </w:tcPr>
          <w:p w14:paraId="38DD63AF">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资格评审</w:t>
            </w:r>
          </w:p>
          <w:p w14:paraId="2045F85C">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标准</w:t>
            </w:r>
          </w:p>
        </w:tc>
        <w:tc>
          <w:tcPr>
            <w:tcW w:w="7383" w:type="dxa"/>
            <w:tcBorders>
              <w:bottom w:val="single" w:color="auto" w:sz="4" w:space="0"/>
            </w:tcBorders>
            <w:shd w:val="clear" w:color="auto" w:fill="auto"/>
          </w:tcPr>
          <w:p w14:paraId="19F82D51">
            <w:pPr>
              <w:numPr>
                <w:ilvl w:val="0"/>
                <w:numId w:val="3"/>
              </w:numPr>
              <w:adjustRightInd w:val="0"/>
              <w:snapToGrid w:val="0"/>
              <w:spacing w:line="340" w:lineRule="exact"/>
              <w:ind w:left="0" w:firstLine="210" w:firstLineChars="100"/>
              <w:rPr>
                <w:rFonts w:hint="eastAsia" w:ascii="宋体" w:hAnsi="宋体"/>
                <w:bCs/>
                <w:szCs w:val="21"/>
                <w:highlight w:val="none"/>
              </w:rPr>
            </w:pPr>
            <w:r>
              <w:rPr>
                <w:rFonts w:hint="eastAsia" w:ascii="宋体" w:hAnsi="宋体"/>
                <w:bCs/>
                <w:szCs w:val="21"/>
                <w:highlight w:val="none"/>
              </w:rPr>
              <w:t>投标人具备有效的营业执照、资质证书、安全生产许可证、基本账户开户许可证（或基本账户开户其他证明材料）。</w:t>
            </w:r>
          </w:p>
          <w:p w14:paraId="60EF3C90">
            <w:pPr>
              <w:numPr>
                <w:ilvl w:val="0"/>
                <w:numId w:val="3"/>
              </w:numPr>
              <w:adjustRightInd w:val="0"/>
              <w:snapToGrid w:val="0"/>
              <w:spacing w:line="340" w:lineRule="exact"/>
              <w:ind w:left="0" w:firstLine="210" w:firstLineChars="100"/>
              <w:rPr>
                <w:rFonts w:hint="eastAsia" w:ascii="宋体" w:hAnsi="宋体"/>
                <w:bCs/>
                <w:szCs w:val="21"/>
                <w:highlight w:val="none"/>
              </w:rPr>
            </w:pPr>
            <w:r>
              <w:rPr>
                <w:rFonts w:hint="eastAsia" w:ascii="宋体" w:hAnsi="宋体"/>
                <w:bCs/>
                <w:szCs w:val="21"/>
                <w:highlight w:val="none"/>
              </w:rPr>
              <w:t>投标人的资质等级符合招标文件规定。</w:t>
            </w:r>
          </w:p>
          <w:p w14:paraId="35E16013">
            <w:pPr>
              <w:numPr>
                <w:ilvl w:val="0"/>
                <w:numId w:val="3"/>
              </w:numPr>
              <w:adjustRightInd w:val="0"/>
              <w:snapToGrid w:val="0"/>
              <w:spacing w:line="340" w:lineRule="exact"/>
              <w:ind w:left="0" w:firstLine="210" w:firstLineChars="100"/>
              <w:rPr>
                <w:rFonts w:hint="eastAsia" w:ascii="宋体" w:hAnsi="宋体"/>
                <w:bCs/>
                <w:szCs w:val="21"/>
                <w:highlight w:val="none"/>
              </w:rPr>
            </w:pPr>
            <w:r>
              <w:rPr>
                <w:rFonts w:hint="eastAsia" w:ascii="宋体" w:hAnsi="宋体"/>
                <w:bCs/>
                <w:szCs w:val="21"/>
                <w:highlight w:val="none"/>
              </w:rPr>
              <w:t>投标人的财务状况符合招标文件规定。</w:t>
            </w:r>
          </w:p>
          <w:p w14:paraId="1570DC75">
            <w:pPr>
              <w:numPr>
                <w:ilvl w:val="0"/>
                <w:numId w:val="3"/>
              </w:numPr>
              <w:adjustRightInd w:val="0"/>
              <w:snapToGrid w:val="0"/>
              <w:spacing w:line="340" w:lineRule="exact"/>
              <w:ind w:left="0" w:firstLine="210" w:firstLineChars="100"/>
              <w:rPr>
                <w:rFonts w:hint="eastAsia" w:ascii="宋体" w:hAnsi="宋体"/>
                <w:bCs/>
                <w:szCs w:val="21"/>
                <w:highlight w:val="none"/>
              </w:rPr>
            </w:pPr>
            <w:r>
              <w:rPr>
                <w:rFonts w:ascii="宋体" w:hAnsi="宋体"/>
                <w:bCs/>
                <w:szCs w:val="21"/>
                <w:highlight w:val="none"/>
              </w:rPr>
              <w:t>投标人的类似项目业绩符合招标文件规定。</w:t>
            </w:r>
          </w:p>
          <w:p w14:paraId="4076BD25">
            <w:pPr>
              <w:numPr>
                <w:ilvl w:val="0"/>
                <w:numId w:val="3"/>
              </w:numPr>
              <w:adjustRightInd w:val="0"/>
              <w:snapToGrid w:val="0"/>
              <w:spacing w:line="340" w:lineRule="exact"/>
              <w:ind w:left="0" w:firstLine="210" w:firstLineChars="100"/>
              <w:rPr>
                <w:rFonts w:hint="eastAsia" w:ascii="宋体" w:hAnsi="宋体"/>
                <w:bCs/>
                <w:szCs w:val="21"/>
                <w:highlight w:val="none"/>
              </w:rPr>
            </w:pPr>
            <w:r>
              <w:rPr>
                <w:rFonts w:hint="eastAsia" w:ascii="宋体" w:hAnsi="宋体"/>
                <w:bCs/>
                <w:szCs w:val="21"/>
                <w:highlight w:val="none"/>
              </w:rPr>
              <w:t>投标人的信誉符合招标文件规定。</w:t>
            </w:r>
          </w:p>
          <w:p w14:paraId="01CBC537">
            <w:pPr>
              <w:numPr>
                <w:ilvl w:val="0"/>
                <w:numId w:val="3"/>
              </w:numPr>
              <w:adjustRightInd w:val="0"/>
              <w:snapToGrid w:val="0"/>
              <w:spacing w:line="340" w:lineRule="exact"/>
              <w:ind w:left="0" w:firstLine="210" w:firstLineChars="100"/>
              <w:rPr>
                <w:rFonts w:hint="eastAsia" w:ascii="宋体" w:hAnsi="宋体"/>
                <w:bCs/>
                <w:szCs w:val="21"/>
                <w:highlight w:val="none"/>
              </w:rPr>
            </w:pPr>
            <w:r>
              <w:rPr>
                <w:rFonts w:hint="eastAsia" w:ascii="宋体" w:hAnsi="宋体"/>
                <w:bCs/>
                <w:szCs w:val="21"/>
                <w:highlight w:val="none"/>
              </w:rPr>
              <w:t>投标人的项目经理和项目总工资格、在岗情况符合招标文件规定。</w:t>
            </w:r>
          </w:p>
          <w:p w14:paraId="4BF72219">
            <w:pPr>
              <w:numPr>
                <w:ilvl w:val="0"/>
                <w:numId w:val="3"/>
              </w:numPr>
              <w:adjustRightInd w:val="0"/>
              <w:snapToGrid w:val="0"/>
              <w:spacing w:line="340" w:lineRule="exact"/>
              <w:ind w:left="0" w:firstLine="210" w:firstLineChars="100"/>
              <w:rPr>
                <w:rFonts w:hint="eastAsia" w:ascii="宋体" w:hAnsi="宋体"/>
                <w:bCs/>
                <w:szCs w:val="21"/>
                <w:highlight w:val="none"/>
              </w:rPr>
            </w:pPr>
            <w:r>
              <w:rPr>
                <w:rFonts w:hint="eastAsia" w:ascii="宋体" w:hAnsi="宋体"/>
                <w:bCs/>
                <w:szCs w:val="21"/>
                <w:highlight w:val="none"/>
              </w:rPr>
              <w:t>投标人的其他要求符合招标文件规定。</w:t>
            </w:r>
          </w:p>
          <w:p w14:paraId="6FBE28C1">
            <w:pPr>
              <w:numPr>
                <w:ilvl w:val="0"/>
                <w:numId w:val="3"/>
              </w:numPr>
              <w:adjustRightInd w:val="0"/>
              <w:snapToGrid w:val="0"/>
              <w:spacing w:line="340" w:lineRule="exact"/>
              <w:ind w:left="0" w:firstLine="210" w:firstLineChars="100"/>
              <w:rPr>
                <w:rFonts w:hint="eastAsia" w:ascii="宋体" w:hAnsi="宋体"/>
                <w:bCs/>
                <w:szCs w:val="21"/>
                <w:highlight w:val="none"/>
              </w:rPr>
            </w:pPr>
            <w:r>
              <w:rPr>
                <w:rFonts w:hint="eastAsia" w:ascii="宋体" w:hAnsi="宋体"/>
                <w:bCs/>
                <w:szCs w:val="21"/>
                <w:highlight w:val="none"/>
              </w:rPr>
              <w:t>投标人不存在第二章“投标人须知”第1.4.3项或第1.4.4项规定的任何一种情形。</w:t>
            </w:r>
          </w:p>
          <w:p w14:paraId="4DB5035F">
            <w:pPr>
              <w:numPr>
                <w:ilvl w:val="0"/>
                <w:numId w:val="3"/>
              </w:numPr>
              <w:adjustRightInd w:val="0"/>
              <w:snapToGrid w:val="0"/>
              <w:spacing w:line="340" w:lineRule="exact"/>
              <w:ind w:left="0" w:firstLine="210" w:firstLineChars="100"/>
              <w:rPr>
                <w:rFonts w:hint="eastAsia" w:ascii="楷体" w:hAnsi="楷体" w:eastAsia="楷体"/>
                <w:bCs/>
                <w:szCs w:val="21"/>
                <w:highlight w:val="none"/>
              </w:rPr>
            </w:pPr>
            <w:r>
              <w:rPr>
                <w:rFonts w:hint="eastAsia" w:ascii="宋体" w:hAnsi="宋体"/>
                <w:bCs/>
                <w:szCs w:val="21"/>
                <w:highlight w:val="none"/>
              </w:rPr>
              <w:t>以联合体形式参与投标的，联合体各方均未再以自己名义单独或参加其他联合体在同一标段中投标；独立参与投标的，投标人未同时参加联合体在同一标段中投标。</w:t>
            </w:r>
          </w:p>
        </w:tc>
      </w:tr>
      <w:tr w14:paraId="07A77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auto" w:sz="4" w:space="0"/>
              <w:right w:val="single" w:color="000000" w:sz="4" w:space="0"/>
            </w:tcBorders>
            <w:shd w:val="clear" w:color="auto" w:fill="auto"/>
            <w:vAlign w:val="center"/>
          </w:tcPr>
          <w:p w14:paraId="5DED3775">
            <w:pPr>
              <w:autoSpaceDE w:val="0"/>
              <w:autoSpaceDN w:val="0"/>
              <w:adjustRightInd w:val="0"/>
              <w:snapToGrid w:val="0"/>
              <w:spacing w:line="340" w:lineRule="exact"/>
              <w:ind w:firstLine="210" w:firstLineChars="100"/>
              <w:rPr>
                <w:rFonts w:hint="eastAsia" w:ascii="宋体" w:hAnsi="宋体"/>
                <w:bCs/>
                <w:szCs w:val="21"/>
                <w:highlight w:val="none"/>
              </w:rPr>
            </w:pPr>
            <w:r>
              <w:rPr>
                <w:rFonts w:ascii="宋体" w:hAnsi="宋体"/>
                <w:bCs/>
                <w:szCs w:val="21"/>
                <w:highlight w:val="none"/>
              </w:rPr>
              <w:t>2.2.1</w:t>
            </w:r>
          </w:p>
        </w:tc>
        <w:tc>
          <w:tcPr>
            <w:tcW w:w="1389" w:type="dxa"/>
            <w:tcBorders>
              <w:top w:val="single" w:color="000000" w:sz="4" w:space="0"/>
              <w:left w:val="single" w:color="000000" w:sz="4" w:space="0"/>
              <w:bottom w:val="single" w:color="auto" w:sz="4" w:space="0"/>
              <w:right w:val="single" w:color="000000" w:sz="4" w:space="0"/>
            </w:tcBorders>
            <w:shd w:val="clear" w:color="auto" w:fill="auto"/>
            <w:vAlign w:val="center"/>
          </w:tcPr>
          <w:p w14:paraId="70757B16">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第一个信封</w:t>
            </w:r>
          </w:p>
          <w:p w14:paraId="65FFF74C">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评分分值构成（总分</w:t>
            </w:r>
            <w:r>
              <w:rPr>
                <w:rFonts w:ascii="宋体" w:hAnsi="宋体"/>
                <w:bCs/>
                <w:szCs w:val="21"/>
                <w:highlight w:val="none"/>
              </w:rPr>
              <w:t>100</w:t>
            </w:r>
            <w:r>
              <w:rPr>
                <w:rFonts w:hint="eastAsia" w:ascii="宋体" w:hAnsi="宋体"/>
                <w:bCs/>
                <w:szCs w:val="21"/>
                <w:highlight w:val="none"/>
              </w:rPr>
              <w:t>分）</w:t>
            </w:r>
          </w:p>
        </w:tc>
        <w:tc>
          <w:tcPr>
            <w:tcW w:w="7383" w:type="dxa"/>
            <w:tcBorders>
              <w:top w:val="single" w:color="000000" w:sz="4" w:space="0"/>
              <w:left w:val="single" w:color="000000" w:sz="4" w:space="0"/>
              <w:bottom w:val="single" w:color="auto" w:sz="4" w:space="0"/>
              <w:right w:val="single" w:color="000000" w:sz="4" w:space="0"/>
            </w:tcBorders>
            <w:shd w:val="clear" w:color="auto" w:fill="auto"/>
          </w:tcPr>
          <w:p w14:paraId="63840519">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施工组织设计：40分</w:t>
            </w:r>
          </w:p>
          <w:p w14:paraId="5AC47F59">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主要人员：25分</w:t>
            </w:r>
          </w:p>
          <w:p w14:paraId="2DA376CC">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企业业绩：20分</w:t>
            </w:r>
          </w:p>
          <w:p w14:paraId="3E421189">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履约信誉：15分</w:t>
            </w:r>
          </w:p>
        </w:tc>
      </w:tr>
      <w:tr w14:paraId="3F2F8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5" w:hRule="atLeast"/>
          <w:jc w:val="center"/>
        </w:trPr>
        <w:tc>
          <w:tcPr>
            <w:tcW w:w="856" w:type="dxa"/>
            <w:tcBorders>
              <w:top w:val="single" w:color="000000" w:sz="4" w:space="0"/>
              <w:left w:val="single" w:color="000000" w:sz="4" w:space="0"/>
              <w:bottom w:val="single" w:color="auto" w:sz="4" w:space="0"/>
              <w:right w:val="single" w:color="000000" w:sz="4" w:space="0"/>
            </w:tcBorders>
            <w:shd w:val="clear" w:color="auto" w:fill="auto"/>
            <w:vAlign w:val="center"/>
          </w:tcPr>
          <w:p w14:paraId="3F146B01">
            <w:pPr>
              <w:autoSpaceDE w:val="0"/>
              <w:autoSpaceDN w:val="0"/>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2.2.</w:t>
            </w:r>
            <w:r>
              <w:rPr>
                <w:rFonts w:ascii="宋体" w:hAnsi="宋体"/>
                <w:bCs/>
                <w:szCs w:val="21"/>
                <w:highlight w:val="none"/>
              </w:rPr>
              <w:t>3</w:t>
            </w:r>
          </w:p>
        </w:tc>
        <w:tc>
          <w:tcPr>
            <w:tcW w:w="1389" w:type="dxa"/>
            <w:tcBorders>
              <w:top w:val="single" w:color="000000" w:sz="4" w:space="0"/>
              <w:left w:val="single" w:color="000000" w:sz="4" w:space="0"/>
              <w:bottom w:val="single" w:color="auto" w:sz="4" w:space="0"/>
              <w:right w:val="single" w:color="000000" w:sz="4" w:space="0"/>
            </w:tcBorders>
            <w:shd w:val="clear" w:color="auto" w:fill="auto"/>
            <w:vAlign w:val="center"/>
          </w:tcPr>
          <w:p w14:paraId="0D59D6AA">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第二个信封</w:t>
            </w:r>
          </w:p>
          <w:p w14:paraId="4A8CEE4E">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详细评审标准</w:t>
            </w:r>
          </w:p>
        </w:tc>
        <w:tc>
          <w:tcPr>
            <w:tcW w:w="7383" w:type="dxa"/>
            <w:tcBorders>
              <w:top w:val="single" w:color="000000" w:sz="4" w:space="0"/>
              <w:left w:val="single" w:color="000000" w:sz="4" w:space="0"/>
              <w:bottom w:val="single" w:color="auto" w:sz="4" w:space="0"/>
              <w:right w:val="single" w:color="000000" w:sz="4" w:space="0"/>
            </w:tcBorders>
            <w:shd w:val="clear" w:color="auto" w:fill="auto"/>
            <w:vAlign w:val="center"/>
          </w:tcPr>
          <w:p w14:paraId="1B9F092B">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评标价计算公式：评标价=投标函文字报价-暂估价-暂列金额（不含计日工总额）</w:t>
            </w:r>
          </w:p>
        </w:tc>
      </w:tr>
      <w:tr w14:paraId="3399A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8C17">
            <w:pPr>
              <w:autoSpaceDE w:val="0"/>
              <w:autoSpaceDN w:val="0"/>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3.2.4</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FCCF">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通过第一个</w:t>
            </w:r>
          </w:p>
          <w:p w14:paraId="15BA82B8">
            <w:pPr>
              <w:adjustRightInd w:val="0"/>
              <w:snapToGrid w:val="0"/>
              <w:spacing w:line="340" w:lineRule="exact"/>
              <w:jc w:val="center"/>
              <w:rPr>
                <w:rFonts w:hint="eastAsia" w:ascii="宋体" w:hAnsi="宋体"/>
                <w:bCs/>
                <w:szCs w:val="21"/>
                <w:highlight w:val="none"/>
              </w:rPr>
            </w:pPr>
            <w:r>
              <w:rPr>
                <w:rFonts w:hint="eastAsia" w:ascii="宋体" w:hAnsi="宋体"/>
                <w:bCs/>
                <w:szCs w:val="21"/>
                <w:highlight w:val="none"/>
              </w:rPr>
              <w:t>信封详细评审的投标人数量</w:t>
            </w:r>
          </w:p>
        </w:tc>
        <w:tc>
          <w:tcPr>
            <w:tcW w:w="7383" w:type="dxa"/>
            <w:tcBorders>
              <w:top w:val="single" w:color="000000" w:sz="4" w:space="0"/>
              <w:left w:val="single" w:color="000000" w:sz="4" w:space="0"/>
              <w:bottom w:val="single" w:color="000000" w:sz="4" w:space="0"/>
              <w:right w:val="single" w:color="000000" w:sz="4" w:space="0"/>
            </w:tcBorders>
            <w:shd w:val="clear" w:color="auto" w:fill="auto"/>
          </w:tcPr>
          <w:p w14:paraId="2F358770">
            <w:pPr>
              <w:adjustRightInd w:val="0"/>
              <w:snapToGrid w:val="0"/>
              <w:spacing w:line="340" w:lineRule="exact"/>
              <w:ind w:firstLine="210" w:firstLineChars="100"/>
              <w:rPr>
                <w:rFonts w:hint="eastAsia" w:ascii="宋体" w:hAnsi="宋体"/>
                <w:bCs/>
                <w:szCs w:val="21"/>
                <w:highlight w:val="none"/>
              </w:rPr>
            </w:pPr>
            <w:r>
              <w:rPr>
                <w:rFonts w:hint="eastAsia" w:ascii="宋体" w:hAnsi="宋体"/>
                <w:bCs/>
                <w:szCs w:val="21"/>
                <w:highlight w:val="none"/>
              </w:rPr>
              <w:t>按照投标人的商务和技术得分由高到低排序，选择前3名通过第一个信封详细评审。如通过第一个信封详细评审的投标人数量不足3名时，由评标委员会根据法律、法规和部门规章的相关规定确定是否继续进行评标。</w:t>
            </w:r>
          </w:p>
        </w:tc>
      </w:tr>
    </w:tbl>
    <w:p w14:paraId="63609076">
      <w:pPr>
        <w:rPr>
          <w:bCs/>
          <w:szCs w:val="21"/>
          <w:highlight w:val="none"/>
        </w:rPr>
      </w:pPr>
      <w:r>
        <w:rPr>
          <w:bCs/>
          <w:highlight w:val="none"/>
        </w:rPr>
        <w:br w:type="page"/>
      </w:r>
      <w:r>
        <w:rPr>
          <w:bCs/>
          <w:highlight w:val="none"/>
        </w:rPr>
        <w:t>续上表</w:t>
      </w:r>
      <w:bookmarkEnd w:id="107"/>
      <w:bookmarkEnd w:id="108"/>
      <w:bookmarkEnd w:id="109"/>
      <w:bookmarkEnd w:id="110"/>
      <w:bookmarkEnd w:id="111"/>
      <w:bookmarkEnd w:id="112"/>
      <w:bookmarkEnd w:id="113"/>
      <w:bookmarkEnd w:id="114"/>
      <w:bookmarkEnd w:id="115"/>
      <w:bookmarkEnd w:id="116"/>
      <w:bookmarkEnd w:id="117"/>
    </w:p>
    <w:tbl>
      <w:tblPr>
        <w:tblStyle w:val="55"/>
        <w:tblW w:w="969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87"/>
        <w:gridCol w:w="1002"/>
        <w:gridCol w:w="993"/>
        <w:gridCol w:w="2266"/>
        <w:gridCol w:w="709"/>
        <w:gridCol w:w="4138"/>
      </w:tblGrid>
      <w:tr w14:paraId="57F0EE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0" w:hRule="atLeast"/>
          <w:tblHeader/>
        </w:trPr>
        <w:tc>
          <w:tcPr>
            <w:tcW w:w="587" w:type="dxa"/>
            <w:vMerge w:val="restart"/>
            <w:tcBorders>
              <w:top w:val="single" w:color="auto" w:sz="4" w:space="0"/>
              <w:left w:val="single" w:color="auto" w:sz="4" w:space="0"/>
              <w:right w:val="single" w:color="auto" w:sz="4" w:space="0"/>
            </w:tcBorders>
            <w:vAlign w:val="center"/>
          </w:tcPr>
          <w:p w14:paraId="0A92FBB4">
            <w:pPr>
              <w:adjustRightInd w:val="0"/>
              <w:snapToGrid w:val="0"/>
              <w:spacing w:before="24" w:beforeLines="10" w:after="24" w:afterLines="10"/>
              <w:jc w:val="center"/>
              <w:rPr>
                <w:rFonts w:hint="eastAsia" w:ascii="宋体" w:hAnsi="宋体"/>
                <w:bCs/>
                <w:highlight w:val="none"/>
              </w:rPr>
            </w:pPr>
            <w:r>
              <w:rPr>
                <w:rFonts w:ascii="宋体" w:hAnsi="宋体"/>
                <w:bCs/>
                <w:highlight w:val="none"/>
              </w:rPr>
              <w:t>条款</w:t>
            </w:r>
          </w:p>
          <w:p w14:paraId="43CECD08">
            <w:pPr>
              <w:adjustRightInd w:val="0"/>
              <w:snapToGrid w:val="0"/>
              <w:spacing w:before="24" w:beforeLines="10" w:after="24" w:afterLines="10"/>
              <w:jc w:val="center"/>
              <w:rPr>
                <w:rFonts w:hint="eastAsia" w:ascii="宋体" w:hAnsi="宋体"/>
                <w:bCs/>
                <w:highlight w:val="none"/>
              </w:rPr>
            </w:pPr>
            <w:r>
              <w:rPr>
                <w:rFonts w:ascii="宋体" w:hAnsi="宋体"/>
                <w:bCs/>
                <w:highlight w:val="none"/>
              </w:rPr>
              <w:t>号</w:t>
            </w:r>
          </w:p>
        </w:tc>
        <w:tc>
          <w:tcPr>
            <w:tcW w:w="4970" w:type="dxa"/>
            <w:gridSpan w:val="4"/>
            <w:tcBorders>
              <w:top w:val="single" w:color="auto" w:sz="4" w:space="0"/>
              <w:left w:val="single" w:color="auto" w:sz="4" w:space="0"/>
              <w:right w:val="single" w:color="auto" w:sz="4" w:space="0"/>
            </w:tcBorders>
            <w:vAlign w:val="center"/>
          </w:tcPr>
          <w:p w14:paraId="6F9C7EED">
            <w:pPr>
              <w:adjustRightInd w:val="0"/>
              <w:snapToGrid w:val="0"/>
              <w:spacing w:before="24" w:beforeLines="10" w:after="24" w:afterLines="10"/>
              <w:jc w:val="center"/>
              <w:rPr>
                <w:rFonts w:hint="eastAsia" w:ascii="宋体" w:hAnsi="宋体"/>
                <w:bCs/>
                <w:highlight w:val="none"/>
              </w:rPr>
            </w:pPr>
            <w:r>
              <w:rPr>
                <w:rFonts w:ascii="宋体" w:hAnsi="宋体"/>
                <w:bCs/>
                <w:highlight w:val="none"/>
              </w:rPr>
              <w:t>评分因素与拟定权重分值</w:t>
            </w:r>
          </w:p>
        </w:tc>
        <w:tc>
          <w:tcPr>
            <w:tcW w:w="4138" w:type="dxa"/>
            <w:vMerge w:val="restart"/>
            <w:tcBorders>
              <w:top w:val="single" w:color="auto" w:sz="4" w:space="0"/>
              <w:left w:val="single" w:color="auto" w:sz="4" w:space="0"/>
              <w:right w:val="single" w:color="auto" w:sz="4" w:space="0"/>
            </w:tcBorders>
            <w:vAlign w:val="center"/>
          </w:tcPr>
          <w:p w14:paraId="61BE2DD3">
            <w:pPr>
              <w:adjustRightInd w:val="0"/>
              <w:snapToGrid w:val="0"/>
              <w:spacing w:before="24" w:beforeLines="10" w:after="24" w:afterLines="10"/>
              <w:jc w:val="center"/>
              <w:rPr>
                <w:rFonts w:hint="eastAsia" w:ascii="宋体" w:hAnsi="宋体"/>
                <w:bCs/>
                <w:highlight w:val="none"/>
              </w:rPr>
            </w:pPr>
            <w:r>
              <w:rPr>
                <w:rFonts w:ascii="宋体" w:hAnsi="宋体"/>
                <w:bCs/>
                <w:highlight w:val="none"/>
              </w:rPr>
              <w:t>评分标准</w:t>
            </w:r>
          </w:p>
        </w:tc>
      </w:tr>
      <w:tr w14:paraId="524EB5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0" w:hRule="atLeast"/>
          <w:tblHeader/>
        </w:trPr>
        <w:tc>
          <w:tcPr>
            <w:tcW w:w="587" w:type="dxa"/>
            <w:vMerge w:val="continue"/>
            <w:tcBorders>
              <w:left w:val="single" w:color="auto" w:sz="4" w:space="0"/>
              <w:right w:val="single" w:color="auto" w:sz="4" w:space="0"/>
            </w:tcBorders>
            <w:vAlign w:val="center"/>
          </w:tcPr>
          <w:p w14:paraId="51086DC0">
            <w:pPr>
              <w:adjustRightInd w:val="0"/>
              <w:snapToGrid w:val="0"/>
              <w:spacing w:before="24" w:beforeLines="10" w:after="24" w:afterLines="10"/>
              <w:jc w:val="center"/>
              <w:rPr>
                <w:rFonts w:hint="eastAsia" w:ascii="宋体" w:hAnsi="宋体"/>
                <w:bCs/>
                <w:highlight w:val="none"/>
              </w:rPr>
            </w:pPr>
          </w:p>
        </w:tc>
        <w:tc>
          <w:tcPr>
            <w:tcW w:w="1002" w:type="dxa"/>
            <w:tcBorders>
              <w:left w:val="single" w:color="auto" w:sz="4" w:space="0"/>
            </w:tcBorders>
            <w:vAlign w:val="center"/>
          </w:tcPr>
          <w:p w14:paraId="4B6733F1">
            <w:pPr>
              <w:adjustRightInd w:val="0"/>
              <w:snapToGrid w:val="0"/>
              <w:spacing w:before="24" w:beforeLines="10" w:after="24" w:afterLines="10"/>
              <w:jc w:val="center"/>
              <w:rPr>
                <w:rFonts w:hint="eastAsia" w:ascii="宋体" w:hAnsi="宋体"/>
                <w:bCs/>
                <w:highlight w:val="none"/>
              </w:rPr>
            </w:pPr>
            <w:r>
              <w:rPr>
                <w:rFonts w:ascii="宋体" w:hAnsi="宋体"/>
                <w:bCs/>
                <w:highlight w:val="none"/>
              </w:rPr>
              <w:t>评分</w:t>
            </w:r>
            <w:r>
              <w:rPr>
                <w:rFonts w:ascii="宋体" w:hAnsi="宋体"/>
                <w:bCs/>
                <w:highlight w:val="none"/>
              </w:rPr>
              <w:br w:type="textWrapping"/>
            </w:r>
            <w:r>
              <w:rPr>
                <w:rFonts w:ascii="宋体" w:hAnsi="宋体"/>
                <w:bCs/>
                <w:highlight w:val="none"/>
              </w:rPr>
              <w:t>因素</w:t>
            </w:r>
          </w:p>
        </w:tc>
        <w:tc>
          <w:tcPr>
            <w:tcW w:w="993" w:type="dxa"/>
            <w:vAlign w:val="center"/>
          </w:tcPr>
          <w:p w14:paraId="5140928B">
            <w:pPr>
              <w:adjustRightInd w:val="0"/>
              <w:snapToGrid w:val="0"/>
              <w:spacing w:before="24" w:beforeLines="10" w:after="24" w:afterLines="10"/>
              <w:jc w:val="center"/>
              <w:rPr>
                <w:rFonts w:hint="eastAsia" w:ascii="宋体" w:hAnsi="宋体"/>
                <w:bCs/>
                <w:highlight w:val="none"/>
              </w:rPr>
            </w:pPr>
            <w:r>
              <w:rPr>
                <w:rFonts w:ascii="宋体" w:hAnsi="宋体"/>
                <w:bCs/>
                <w:highlight w:val="none"/>
              </w:rPr>
              <w:t>评分因素</w:t>
            </w:r>
            <w:r>
              <w:rPr>
                <w:rFonts w:ascii="宋体" w:hAnsi="宋体"/>
                <w:bCs/>
                <w:highlight w:val="none"/>
              </w:rPr>
              <w:br w:type="textWrapping"/>
            </w:r>
            <w:r>
              <w:rPr>
                <w:rFonts w:ascii="宋体" w:hAnsi="宋体"/>
                <w:bCs/>
                <w:highlight w:val="none"/>
              </w:rPr>
              <w:t>权重分值</w:t>
            </w:r>
          </w:p>
        </w:tc>
        <w:tc>
          <w:tcPr>
            <w:tcW w:w="2266" w:type="dxa"/>
            <w:vAlign w:val="center"/>
          </w:tcPr>
          <w:p w14:paraId="3542D136">
            <w:pPr>
              <w:adjustRightInd w:val="0"/>
              <w:snapToGrid w:val="0"/>
              <w:spacing w:before="24" w:beforeLines="10" w:after="24" w:afterLines="10"/>
              <w:jc w:val="center"/>
              <w:rPr>
                <w:rFonts w:hint="eastAsia" w:ascii="宋体" w:hAnsi="宋体"/>
                <w:bCs/>
                <w:highlight w:val="none"/>
              </w:rPr>
            </w:pPr>
            <w:r>
              <w:rPr>
                <w:rFonts w:ascii="宋体" w:hAnsi="宋体"/>
                <w:bCs/>
                <w:highlight w:val="none"/>
              </w:rPr>
              <w:t>各评分因</w:t>
            </w:r>
          </w:p>
          <w:p w14:paraId="5F60E1FA">
            <w:pPr>
              <w:adjustRightInd w:val="0"/>
              <w:snapToGrid w:val="0"/>
              <w:spacing w:before="24" w:beforeLines="10" w:after="24" w:afterLines="10"/>
              <w:jc w:val="center"/>
              <w:rPr>
                <w:rFonts w:hint="eastAsia" w:ascii="宋体" w:hAnsi="宋体"/>
                <w:bCs/>
                <w:highlight w:val="none"/>
              </w:rPr>
            </w:pPr>
            <w:r>
              <w:rPr>
                <w:rFonts w:ascii="宋体" w:hAnsi="宋体"/>
                <w:bCs/>
                <w:highlight w:val="none"/>
              </w:rPr>
              <w:t>素细分项</w:t>
            </w:r>
          </w:p>
        </w:tc>
        <w:tc>
          <w:tcPr>
            <w:tcW w:w="709" w:type="dxa"/>
            <w:tcBorders>
              <w:right w:val="single" w:color="auto" w:sz="4" w:space="0"/>
            </w:tcBorders>
            <w:vAlign w:val="center"/>
          </w:tcPr>
          <w:p w14:paraId="22CA1A19">
            <w:pPr>
              <w:adjustRightInd w:val="0"/>
              <w:snapToGrid w:val="0"/>
              <w:spacing w:before="24" w:beforeLines="10" w:after="24" w:afterLines="10"/>
              <w:jc w:val="center"/>
              <w:rPr>
                <w:rFonts w:hint="eastAsia" w:ascii="宋体" w:hAnsi="宋体"/>
                <w:bCs/>
                <w:highlight w:val="none"/>
              </w:rPr>
            </w:pPr>
            <w:r>
              <w:rPr>
                <w:rFonts w:ascii="宋体" w:hAnsi="宋体"/>
                <w:bCs/>
                <w:highlight w:val="none"/>
              </w:rPr>
              <w:t>分值</w:t>
            </w:r>
          </w:p>
        </w:tc>
        <w:tc>
          <w:tcPr>
            <w:tcW w:w="4138" w:type="dxa"/>
            <w:vMerge w:val="continue"/>
            <w:tcBorders>
              <w:left w:val="single" w:color="auto" w:sz="4" w:space="0"/>
              <w:right w:val="single" w:color="auto" w:sz="4" w:space="0"/>
            </w:tcBorders>
            <w:vAlign w:val="center"/>
          </w:tcPr>
          <w:p w14:paraId="3E580899">
            <w:pPr>
              <w:adjustRightInd w:val="0"/>
              <w:snapToGrid w:val="0"/>
              <w:spacing w:before="24" w:beforeLines="10" w:after="24" w:afterLines="10"/>
              <w:jc w:val="center"/>
              <w:rPr>
                <w:rFonts w:hint="eastAsia" w:ascii="宋体" w:hAnsi="宋体"/>
                <w:bCs/>
                <w:highlight w:val="none"/>
              </w:rPr>
            </w:pPr>
          </w:p>
        </w:tc>
      </w:tr>
      <w:tr w14:paraId="463CE9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10" w:hRule="atLeast"/>
        </w:trPr>
        <w:tc>
          <w:tcPr>
            <w:tcW w:w="587" w:type="dxa"/>
            <w:vMerge w:val="restart"/>
            <w:tcBorders>
              <w:left w:val="single" w:color="auto" w:sz="4" w:space="0"/>
            </w:tcBorders>
            <w:vAlign w:val="center"/>
          </w:tcPr>
          <w:p w14:paraId="30928990">
            <w:pPr>
              <w:adjustRightInd w:val="0"/>
              <w:snapToGrid w:val="0"/>
              <w:spacing w:before="24" w:beforeLines="10" w:after="24" w:afterLines="10"/>
              <w:jc w:val="center"/>
              <w:rPr>
                <w:rFonts w:hint="eastAsia" w:ascii="宋体" w:hAnsi="宋体"/>
                <w:bCs/>
                <w:highlight w:val="none"/>
              </w:rPr>
            </w:pPr>
            <w:bookmarkStart w:id="121" w:name="_Hlk186125429"/>
            <w:r>
              <w:rPr>
                <w:rFonts w:ascii="宋体" w:hAnsi="宋体"/>
                <w:bCs/>
                <w:highlight w:val="none"/>
              </w:rPr>
              <w:t>2.2.</w:t>
            </w:r>
            <w:r>
              <w:rPr>
                <w:rFonts w:hint="eastAsia" w:ascii="宋体" w:hAnsi="宋体"/>
                <w:bCs/>
                <w:highlight w:val="none"/>
              </w:rPr>
              <w:t>2</w:t>
            </w:r>
            <w:r>
              <w:rPr>
                <w:rFonts w:ascii="宋体" w:hAnsi="宋体"/>
                <w:bCs/>
                <w:highlight w:val="none"/>
              </w:rPr>
              <w:t>（1）</w:t>
            </w:r>
          </w:p>
        </w:tc>
        <w:tc>
          <w:tcPr>
            <w:tcW w:w="1002" w:type="dxa"/>
            <w:vMerge w:val="restart"/>
            <w:vAlign w:val="center"/>
          </w:tcPr>
          <w:p w14:paraId="00B41BEE">
            <w:pPr>
              <w:adjustRightInd w:val="0"/>
              <w:snapToGrid w:val="0"/>
              <w:spacing w:before="24" w:beforeLines="10" w:after="24" w:afterLines="10"/>
              <w:jc w:val="center"/>
              <w:rPr>
                <w:rFonts w:hint="eastAsia" w:ascii="宋体" w:hAnsi="宋体"/>
                <w:bCs/>
                <w:highlight w:val="none"/>
              </w:rPr>
            </w:pPr>
            <w:r>
              <w:rPr>
                <w:rFonts w:ascii="宋体" w:hAnsi="宋体"/>
                <w:bCs/>
                <w:highlight w:val="none"/>
              </w:rPr>
              <w:t>施工组织设计</w:t>
            </w:r>
          </w:p>
        </w:tc>
        <w:tc>
          <w:tcPr>
            <w:tcW w:w="993" w:type="dxa"/>
            <w:vMerge w:val="restart"/>
            <w:vAlign w:val="center"/>
          </w:tcPr>
          <w:p w14:paraId="18A018EF">
            <w:pPr>
              <w:adjustRightInd w:val="0"/>
              <w:snapToGrid w:val="0"/>
              <w:spacing w:before="24" w:beforeLines="10" w:after="24" w:afterLines="10"/>
              <w:jc w:val="center"/>
              <w:rPr>
                <w:rFonts w:hint="eastAsia" w:ascii="宋体" w:hAnsi="宋体"/>
                <w:bCs/>
                <w:highlight w:val="none"/>
              </w:rPr>
            </w:pPr>
            <w:r>
              <w:rPr>
                <w:rFonts w:hint="eastAsia" w:ascii="宋体" w:hAnsi="宋体"/>
                <w:bCs/>
                <w:highlight w:val="none"/>
              </w:rPr>
              <w:t>40</w:t>
            </w:r>
            <w:r>
              <w:rPr>
                <w:rFonts w:ascii="宋体" w:hAnsi="宋体"/>
                <w:bCs/>
                <w:highlight w:val="none"/>
              </w:rPr>
              <w:t>分</w:t>
            </w:r>
          </w:p>
        </w:tc>
        <w:tc>
          <w:tcPr>
            <w:tcW w:w="2266" w:type="dxa"/>
            <w:vAlign w:val="center"/>
          </w:tcPr>
          <w:p w14:paraId="50E94764">
            <w:pPr>
              <w:adjustRightInd w:val="0"/>
              <w:snapToGrid w:val="0"/>
              <w:spacing w:line="320" w:lineRule="exact"/>
              <w:jc w:val="left"/>
              <w:rPr>
                <w:rFonts w:hint="eastAsia" w:ascii="宋体" w:hAnsi="宋体"/>
                <w:bCs/>
                <w:highlight w:val="none"/>
              </w:rPr>
            </w:pPr>
            <w:r>
              <w:rPr>
                <w:rFonts w:hint="eastAsia" w:ascii="宋体" w:hAnsi="宋体"/>
                <w:bCs/>
                <w:szCs w:val="21"/>
                <w:highlight w:val="none"/>
              </w:rPr>
              <w:t>关键工程的施工方案、方法与技术措施</w:t>
            </w:r>
          </w:p>
        </w:tc>
        <w:tc>
          <w:tcPr>
            <w:tcW w:w="709" w:type="dxa"/>
            <w:tcBorders>
              <w:bottom w:val="single" w:color="auto" w:sz="4" w:space="0"/>
            </w:tcBorders>
            <w:vAlign w:val="center"/>
          </w:tcPr>
          <w:p w14:paraId="2064A002">
            <w:pPr>
              <w:adjustRightInd w:val="0"/>
              <w:snapToGrid w:val="0"/>
              <w:spacing w:line="320" w:lineRule="exact"/>
              <w:jc w:val="center"/>
              <w:rPr>
                <w:rFonts w:hint="eastAsia" w:ascii="宋体" w:hAnsi="宋体"/>
                <w:bCs/>
                <w:highlight w:val="none"/>
              </w:rPr>
            </w:pPr>
            <w:r>
              <w:rPr>
                <w:rFonts w:hint="eastAsia" w:ascii="宋体" w:hAnsi="宋体" w:cs="宋体"/>
                <w:bCs/>
                <w:szCs w:val="21"/>
                <w:highlight w:val="none"/>
              </w:rPr>
              <w:t>20</w:t>
            </w:r>
          </w:p>
        </w:tc>
        <w:tc>
          <w:tcPr>
            <w:tcW w:w="4138" w:type="dxa"/>
            <w:tcBorders>
              <w:bottom w:val="single" w:color="auto" w:sz="4" w:space="0"/>
              <w:right w:val="single" w:color="auto" w:sz="4" w:space="0"/>
            </w:tcBorders>
            <w:vAlign w:val="center"/>
          </w:tcPr>
          <w:p w14:paraId="16822CE0">
            <w:pPr>
              <w:spacing w:line="320" w:lineRule="exact"/>
              <w:jc w:val="left"/>
              <w:rPr>
                <w:rFonts w:hint="eastAsia" w:ascii="宋体" w:hAnsi="宋体"/>
                <w:bCs/>
                <w:kern w:val="0"/>
                <w:szCs w:val="21"/>
                <w:highlight w:val="none"/>
              </w:rPr>
            </w:pPr>
            <w:r>
              <w:rPr>
                <w:rFonts w:hint="eastAsia" w:ascii="宋体" w:hAnsi="宋体"/>
                <w:bCs/>
                <w:kern w:val="0"/>
                <w:szCs w:val="21"/>
                <w:highlight w:val="none"/>
              </w:rPr>
              <w:t>好，16-20 分；</w:t>
            </w:r>
          </w:p>
          <w:p w14:paraId="1B004294">
            <w:pPr>
              <w:spacing w:line="320" w:lineRule="exact"/>
              <w:jc w:val="left"/>
              <w:rPr>
                <w:rFonts w:hint="eastAsia" w:ascii="宋体" w:hAnsi="宋体"/>
                <w:bCs/>
                <w:kern w:val="0"/>
                <w:szCs w:val="21"/>
                <w:highlight w:val="none"/>
              </w:rPr>
            </w:pPr>
            <w:r>
              <w:rPr>
                <w:rFonts w:hint="eastAsia" w:ascii="宋体" w:hAnsi="宋体"/>
                <w:bCs/>
                <w:kern w:val="0"/>
                <w:szCs w:val="21"/>
                <w:highlight w:val="none"/>
              </w:rPr>
              <w:t>较好，12-16分；</w:t>
            </w:r>
          </w:p>
          <w:p w14:paraId="78A3FD64">
            <w:pPr>
              <w:adjustRightInd w:val="0"/>
              <w:snapToGrid w:val="0"/>
              <w:spacing w:line="320" w:lineRule="exact"/>
              <w:rPr>
                <w:rFonts w:hint="eastAsia" w:ascii="宋体" w:hAnsi="宋体"/>
                <w:bCs/>
                <w:szCs w:val="21"/>
                <w:highlight w:val="none"/>
              </w:rPr>
            </w:pPr>
            <w:r>
              <w:rPr>
                <w:rFonts w:hint="eastAsia" w:ascii="宋体" w:hAnsi="宋体"/>
                <w:bCs/>
                <w:kern w:val="0"/>
                <w:szCs w:val="21"/>
                <w:highlight w:val="none"/>
              </w:rPr>
              <w:t>一般，12分；</w:t>
            </w:r>
          </w:p>
        </w:tc>
      </w:tr>
      <w:tr w14:paraId="30EB00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10" w:hRule="atLeast"/>
        </w:trPr>
        <w:tc>
          <w:tcPr>
            <w:tcW w:w="587" w:type="dxa"/>
            <w:vMerge w:val="continue"/>
            <w:tcBorders>
              <w:left w:val="single" w:color="auto" w:sz="4" w:space="0"/>
            </w:tcBorders>
            <w:vAlign w:val="center"/>
          </w:tcPr>
          <w:p w14:paraId="29D0FDA2">
            <w:pPr>
              <w:adjustRightInd w:val="0"/>
              <w:snapToGrid w:val="0"/>
              <w:spacing w:before="24" w:beforeLines="10" w:after="24" w:afterLines="10"/>
              <w:jc w:val="center"/>
              <w:rPr>
                <w:rFonts w:hint="eastAsia" w:ascii="宋体" w:hAnsi="宋体"/>
                <w:bCs/>
                <w:highlight w:val="none"/>
              </w:rPr>
            </w:pPr>
          </w:p>
        </w:tc>
        <w:tc>
          <w:tcPr>
            <w:tcW w:w="1002" w:type="dxa"/>
            <w:vMerge w:val="continue"/>
            <w:vAlign w:val="center"/>
          </w:tcPr>
          <w:p w14:paraId="519F04D2">
            <w:pPr>
              <w:adjustRightInd w:val="0"/>
              <w:snapToGrid w:val="0"/>
              <w:spacing w:before="24" w:beforeLines="10" w:after="24" w:afterLines="10"/>
              <w:jc w:val="center"/>
              <w:rPr>
                <w:rFonts w:hint="eastAsia" w:ascii="宋体" w:hAnsi="宋体"/>
                <w:bCs/>
                <w:highlight w:val="none"/>
              </w:rPr>
            </w:pPr>
          </w:p>
        </w:tc>
        <w:tc>
          <w:tcPr>
            <w:tcW w:w="993" w:type="dxa"/>
            <w:vMerge w:val="continue"/>
            <w:vAlign w:val="center"/>
          </w:tcPr>
          <w:p w14:paraId="5C88C561">
            <w:pPr>
              <w:adjustRightInd w:val="0"/>
              <w:snapToGrid w:val="0"/>
              <w:spacing w:before="24" w:beforeLines="10" w:after="24" w:afterLines="10"/>
              <w:jc w:val="center"/>
              <w:rPr>
                <w:rFonts w:hint="eastAsia" w:ascii="宋体" w:hAnsi="宋体"/>
                <w:bCs/>
                <w:highlight w:val="none"/>
              </w:rPr>
            </w:pPr>
          </w:p>
        </w:tc>
        <w:tc>
          <w:tcPr>
            <w:tcW w:w="2266" w:type="dxa"/>
            <w:tcBorders>
              <w:top w:val="single" w:color="auto" w:sz="4" w:space="0"/>
            </w:tcBorders>
            <w:vAlign w:val="center"/>
          </w:tcPr>
          <w:p w14:paraId="0608F2F5">
            <w:pPr>
              <w:adjustRightInd w:val="0"/>
              <w:snapToGrid w:val="0"/>
              <w:spacing w:line="320" w:lineRule="exact"/>
              <w:jc w:val="left"/>
              <w:rPr>
                <w:rFonts w:hint="eastAsia" w:ascii="宋体" w:hAnsi="宋体"/>
                <w:bCs/>
                <w:highlight w:val="none"/>
              </w:rPr>
            </w:pPr>
            <w:r>
              <w:rPr>
                <w:rFonts w:hint="eastAsia" w:ascii="宋体" w:hAnsi="宋体"/>
                <w:bCs/>
                <w:szCs w:val="21"/>
                <w:highlight w:val="none"/>
              </w:rPr>
              <w:t>工期保证体系及保证措施</w:t>
            </w:r>
          </w:p>
        </w:tc>
        <w:tc>
          <w:tcPr>
            <w:tcW w:w="709" w:type="dxa"/>
            <w:tcBorders>
              <w:bottom w:val="single" w:color="auto" w:sz="4" w:space="0"/>
            </w:tcBorders>
            <w:vAlign w:val="center"/>
          </w:tcPr>
          <w:p w14:paraId="205D56E1">
            <w:pPr>
              <w:adjustRightInd w:val="0"/>
              <w:snapToGrid w:val="0"/>
              <w:spacing w:line="320" w:lineRule="exact"/>
              <w:jc w:val="center"/>
              <w:rPr>
                <w:rFonts w:hint="eastAsia" w:ascii="宋体" w:hAnsi="宋体"/>
                <w:bCs/>
                <w:highlight w:val="none"/>
              </w:rPr>
            </w:pPr>
            <w:r>
              <w:rPr>
                <w:rFonts w:hint="eastAsia" w:ascii="宋体" w:hAnsi="宋体" w:cs="宋体"/>
                <w:bCs/>
                <w:szCs w:val="21"/>
                <w:highlight w:val="none"/>
              </w:rPr>
              <w:t>3</w:t>
            </w:r>
          </w:p>
        </w:tc>
        <w:tc>
          <w:tcPr>
            <w:tcW w:w="4138" w:type="dxa"/>
            <w:tcBorders>
              <w:right w:val="single" w:color="auto" w:sz="4" w:space="0"/>
            </w:tcBorders>
            <w:vAlign w:val="center"/>
          </w:tcPr>
          <w:p w14:paraId="56545029">
            <w:pPr>
              <w:spacing w:line="320" w:lineRule="exact"/>
              <w:jc w:val="left"/>
              <w:rPr>
                <w:rFonts w:hint="eastAsia" w:ascii="宋体" w:hAnsi="宋体"/>
                <w:bCs/>
                <w:kern w:val="0"/>
                <w:szCs w:val="21"/>
                <w:highlight w:val="none"/>
              </w:rPr>
            </w:pPr>
            <w:r>
              <w:rPr>
                <w:rFonts w:hint="eastAsia" w:ascii="宋体" w:hAnsi="宋体"/>
                <w:bCs/>
                <w:kern w:val="0"/>
                <w:szCs w:val="21"/>
                <w:highlight w:val="none"/>
              </w:rPr>
              <w:t>好，2.4-3分；</w:t>
            </w:r>
          </w:p>
          <w:p w14:paraId="7B9419AB">
            <w:pPr>
              <w:spacing w:line="320" w:lineRule="exact"/>
              <w:jc w:val="left"/>
              <w:rPr>
                <w:rFonts w:hint="eastAsia" w:ascii="宋体" w:hAnsi="宋体"/>
                <w:bCs/>
                <w:kern w:val="0"/>
                <w:szCs w:val="21"/>
                <w:highlight w:val="none"/>
              </w:rPr>
            </w:pPr>
            <w:r>
              <w:rPr>
                <w:rFonts w:hint="eastAsia" w:ascii="宋体" w:hAnsi="宋体"/>
                <w:bCs/>
                <w:kern w:val="0"/>
                <w:szCs w:val="21"/>
                <w:highlight w:val="none"/>
              </w:rPr>
              <w:t>较好，1.8-2.4分；</w:t>
            </w:r>
          </w:p>
          <w:p w14:paraId="5E0CECF3">
            <w:pPr>
              <w:adjustRightInd w:val="0"/>
              <w:snapToGrid w:val="0"/>
              <w:spacing w:line="320" w:lineRule="exact"/>
              <w:rPr>
                <w:rFonts w:hint="eastAsia" w:ascii="宋体" w:hAnsi="宋体"/>
                <w:bCs/>
                <w:szCs w:val="21"/>
                <w:highlight w:val="none"/>
              </w:rPr>
            </w:pPr>
            <w:r>
              <w:rPr>
                <w:rFonts w:hint="eastAsia" w:ascii="宋体" w:hAnsi="宋体"/>
                <w:bCs/>
                <w:kern w:val="0"/>
                <w:szCs w:val="21"/>
                <w:highlight w:val="none"/>
              </w:rPr>
              <w:t>一般，1.8分；</w:t>
            </w:r>
          </w:p>
        </w:tc>
      </w:tr>
      <w:tr w14:paraId="202DA4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10" w:hRule="atLeast"/>
        </w:trPr>
        <w:tc>
          <w:tcPr>
            <w:tcW w:w="587" w:type="dxa"/>
            <w:vMerge w:val="continue"/>
            <w:tcBorders>
              <w:left w:val="single" w:color="auto" w:sz="4" w:space="0"/>
            </w:tcBorders>
            <w:vAlign w:val="center"/>
          </w:tcPr>
          <w:p w14:paraId="427EAFEC">
            <w:pPr>
              <w:adjustRightInd w:val="0"/>
              <w:snapToGrid w:val="0"/>
              <w:spacing w:before="24" w:beforeLines="10" w:after="24" w:afterLines="10"/>
              <w:jc w:val="center"/>
              <w:rPr>
                <w:rFonts w:hint="eastAsia" w:ascii="宋体" w:hAnsi="宋体"/>
                <w:bCs/>
                <w:highlight w:val="none"/>
              </w:rPr>
            </w:pPr>
          </w:p>
        </w:tc>
        <w:tc>
          <w:tcPr>
            <w:tcW w:w="1002" w:type="dxa"/>
            <w:vMerge w:val="continue"/>
            <w:vAlign w:val="center"/>
          </w:tcPr>
          <w:p w14:paraId="112FDBE3">
            <w:pPr>
              <w:adjustRightInd w:val="0"/>
              <w:snapToGrid w:val="0"/>
              <w:spacing w:before="24" w:beforeLines="10" w:after="24" w:afterLines="10"/>
              <w:jc w:val="center"/>
              <w:rPr>
                <w:rFonts w:hint="eastAsia" w:ascii="宋体" w:hAnsi="宋体"/>
                <w:bCs/>
                <w:highlight w:val="none"/>
              </w:rPr>
            </w:pPr>
          </w:p>
        </w:tc>
        <w:tc>
          <w:tcPr>
            <w:tcW w:w="993" w:type="dxa"/>
            <w:vMerge w:val="continue"/>
            <w:vAlign w:val="center"/>
          </w:tcPr>
          <w:p w14:paraId="74133D32">
            <w:pPr>
              <w:adjustRightInd w:val="0"/>
              <w:snapToGrid w:val="0"/>
              <w:spacing w:before="24" w:beforeLines="10" w:after="24" w:afterLines="10"/>
              <w:jc w:val="center"/>
              <w:rPr>
                <w:rFonts w:hint="eastAsia" w:ascii="宋体" w:hAnsi="宋体"/>
                <w:bCs/>
                <w:highlight w:val="none"/>
              </w:rPr>
            </w:pPr>
          </w:p>
        </w:tc>
        <w:tc>
          <w:tcPr>
            <w:tcW w:w="2266" w:type="dxa"/>
            <w:tcBorders>
              <w:top w:val="single" w:color="auto" w:sz="4" w:space="0"/>
            </w:tcBorders>
            <w:vAlign w:val="center"/>
          </w:tcPr>
          <w:p w14:paraId="211FAE0A">
            <w:pPr>
              <w:adjustRightInd w:val="0"/>
              <w:snapToGrid w:val="0"/>
              <w:spacing w:line="320" w:lineRule="exact"/>
              <w:jc w:val="left"/>
              <w:rPr>
                <w:rFonts w:hint="eastAsia" w:ascii="宋体" w:hAnsi="宋体"/>
                <w:bCs/>
                <w:highlight w:val="none"/>
              </w:rPr>
            </w:pPr>
            <w:r>
              <w:rPr>
                <w:rFonts w:hint="eastAsia" w:ascii="宋体" w:hAnsi="宋体"/>
                <w:bCs/>
                <w:szCs w:val="21"/>
                <w:highlight w:val="none"/>
              </w:rPr>
              <w:t>工程质量管理体系及保证措施</w:t>
            </w:r>
          </w:p>
        </w:tc>
        <w:tc>
          <w:tcPr>
            <w:tcW w:w="709" w:type="dxa"/>
            <w:tcBorders>
              <w:bottom w:val="single" w:color="auto" w:sz="4" w:space="0"/>
            </w:tcBorders>
            <w:vAlign w:val="center"/>
          </w:tcPr>
          <w:p w14:paraId="5764674F">
            <w:pPr>
              <w:adjustRightInd w:val="0"/>
              <w:snapToGrid w:val="0"/>
              <w:spacing w:line="320" w:lineRule="exact"/>
              <w:jc w:val="center"/>
              <w:rPr>
                <w:rFonts w:hint="eastAsia" w:ascii="宋体" w:hAnsi="宋体"/>
                <w:bCs/>
                <w:highlight w:val="none"/>
              </w:rPr>
            </w:pPr>
            <w:r>
              <w:rPr>
                <w:rFonts w:hint="eastAsia" w:ascii="宋体" w:hAnsi="宋体"/>
                <w:bCs/>
                <w:szCs w:val="21"/>
                <w:highlight w:val="none"/>
              </w:rPr>
              <w:t>5</w:t>
            </w:r>
          </w:p>
        </w:tc>
        <w:tc>
          <w:tcPr>
            <w:tcW w:w="4138" w:type="dxa"/>
            <w:tcBorders>
              <w:right w:val="single" w:color="auto" w:sz="4" w:space="0"/>
            </w:tcBorders>
            <w:vAlign w:val="center"/>
          </w:tcPr>
          <w:p w14:paraId="335FADED">
            <w:pPr>
              <w:spacing w:line="320" w:lineRule="exact"/>
              <w:jc w:val="left"/>
              <w:rPr>
                <w:rFonts w:hint="eastAsia" w:ascii="宋体" w:hAnsi="宋体"/>
                <w:bCs/>
                <w:kern w:val="0"/>
                <w:szCs w:val="21"/>
                <w:highlight w:val="none"/>
              </w:rPr>
            </w:pPr>
            <w:r>
              <w:rPr>
                <w:rFonts w:hint="eastAsia" w:ascii="宋体" w:hAnsi="宋体"/>
                <w:bCs/>
                <w:kern w:val="0"/>
                <w:szCs w:val="21"/>
                <w:highlight w:val="none"/>
              </w:rPr>
              <w:t>好，4-5分；</w:t>
            </w:r>
          </w:p>
          <w:p w14:paraId="78A03B48">
            <w:pPr>
              <w:spacing w:line="320" w:lineRule="exact"/>
              <w:jc w:val="left"/>
              <w:rPr>
                <w:rFonts w:hint="eastAsia" w:ascii="宋体" w:hAnsi="宋体"/>
                <w:bCs/>
                <w:kern w:val="0"/>
                <w:szCs w:val="21"/>
                <w:highlight w:val="none"/>
              </w:rPr>
            </w:pPr>
            <w:r>
              <w:rPr>
                <w:rFonts w:hint="eastAsia" w:ascii="宋体" w:hAnsi="宋体"/>
                <w:bCs/>
                <w:kern w:val="0"/>
                <w:szCs w:val="21"/>
                <w:highlight w:val="none"/>
              </w:rPr>
              <w:t>较好，3-4分；</w:t>
            </w:r>
          </w:p>
          <w:p w14:paraId="368ED27C">
            <w:pPr>
              <w:adjustRightInd w:val="0"/>
              <w:snapToGrid w:val="0"/>
              <w:spacing w:line="320" w:lineRule="exact"/>
              <w:rPr>
                <w:rFonts w:hint="eastAsia" w:ascii="宋体" w:hAnsi="宋体"/>
                <w:bCs/>
                <w:szCs w:val="21"/>
                <w:highlight w:val="none"/>
              </w:rPr>
            </w:pPr>
            <w:r>
              <w:rPr>
                <w:rFonts w:hint="eastAsia" w:ascii="宋体" w:hAnsi="宋体"/>
                <w:bCs/>
                <w:kern w:val="0"/>
                <w:szCs w:val="21"/>
                <w:highlight w:val="none"/>
              </w:rPr>
              <w:t>一般，3分；</w:t>
            </w:r>
          </w:p>
        </w:tc>
      </w:tr>
      <w:tr w14:paraId="6F01B4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10" w:hRule="atLeast"/>
        </w:trPr>
        <w:tc>
          <w:tcPr>
            <w:tcW w:w="587" w:type="dxa"/>
            <w:vMerge w:val="continue"/>
            <w:tcBorders>
              <w:left w:val="single" w:color="auto" w:sz="4" w:space="0"/>
            </w:tcBorders>
            <w:vAlign w:val="center"/>
          </w:tcPr>
          <w:p w14:paraId="61470998">
            <w:pPr>
              <w:adjustRightInd w:val="0"/>
              <w:snapToGrid w:val="0"/>
              <w:spacing w:before="24" w:beforeLines="10" w:after="24" w:afterLines="10"/>
              <w:jc w:val="center"/>
              <w:rPr>
                <w:rFonts w:hint="eastAsia" w:ascii="宋体" w:hAnsi="宋体"/>
                <w:bCs/>
                <w:highlight w:val="none"/>
              </w:rPr>
            </w:pPr>
          </w:p>
        </w:tc>
        <w:tc>
          <w:tcPr>
            <w:tcW w:w="1002" w:type="dxa"/>
            <w:vMerge w:val="continue"/>
            <w:vAlign w:val="center"/>
          </w:tcPr>
          <w:p w14:paraId="7D47EE4C">
            <w:pPr>
              <w:adjustRightInd w:val="0"/>
              <w:snapToGrid w:val="0"/>
              <w:spacing w:before="24" w:beforeLines="10" w:after="24" w:afterLines="10"/>
              <w:jc w:val="center"/>
              <w:rPr>
                <w:rFonts w:hint="eastAsia" w:ascii="宋体" w:hAnsi="宋体"/>
                <w:bCs/>
                <w:highlight w:val="none"/>
              </w:rPr>
            </w:pPr>
          </w:p>
        </w:tc>
        <w:tc>
          <w:tcPr>
            <w:tcW w:w="993" w:type="dxa"/>
            <w:vMerge w:val="continue"/>
            <w:vAlign w:val="center"/>
          </w:tcPr>
          <w:p w14:paraId="4B8DD0E5">
            <w:pPr>
              <w:adjustRightInd w:val="0"/>
              <w:snapToGrid w:val="0"/>
              <w:spacing w:before="24" w:beforeLines="10" w:after="24" w:afterLines="10"/>
              <w:jc w:val="center"/>
              <w:rPr>
                <w:rFonts w:hint="eastAsia" w:ascii="宋体" w:hAnsi="宋体"/>
                <w:bCs/>
                <w:highlight w:val="none"/>
              </w:rPr>
            </w:pPr>
          </w:p>
        </w:tc>
        <w:tc>
          <w:tcPr>
            <w:tcW w:w="2266" w:type="dxa"/>
            <w:tcBorders>
              <w:top w:val="single" w:color="auto" w:sz="4" w:space="0"/>
            </w:tcBorders>
            <w:vAlign w:val="center"/>
          </w:tcPr>
          <w:p w14:paraId="1A93C1A0">
            <w:pPr>
              <w:adjustRightInd w:val="0"/>
              <w:snapToGrid w:val="0"/>
              <w:spacing w:line="320" w:lineRule="exact"/>
              <w:jc w:val="left"/>
              <w:rPr>
                <w:rFonts w:hint="eastAsia" w:ascii="宋体" w:hAnsi="宋体"/>
                <w:bCs/>
                <w:highlight w:val="none"/>
              </w:rPr>
            </w:pPr>
            <w:r>
              <w:rPr>
                <w:rFonts w:hint="eastAsia" w:ascii="宋体" w:hAnsi="宋体"/>
                <w:bCs/>
                <w:szCs w:val="21"/>
                <w:highlight w:val="none"/>
              </w:rPr>
              <w:t>安全生产管理体系及保证措施</w:t>
            </w:r>
          </w:p>
        </w:tc>
        <w:tc>
          <w:tcPr>
            <w:tcW w:w="709" w:type="dxa"/>
            <w:tcBorders>
              <w:bottom w:val="single" w:color="auto" w:sz="4" w:space="0"/>
            </w:tcBorders>
            <w:vAlign w:val="center"/>
          </w:tcPr>
          <w:p w14:paraId="3177E833">
            <w:pPr>
              <w:adjustRightInd w:val="0"/>
              <w:snapToGrid w:val="0"/>
              <w:spacing w:line="320" w:lineRule="exact"/>
              <w:jc w:val="center"/>
              <w:rPr>
                <w:rFonts w:hint="eastAsia" w:ascii="宋体" w:hAnsi="宋体"/>
                <w:bCs/>
                <w:highlight w:val="none"/>
              </w:rPr>
            </w:pPr>
            <w:r>
              <w:rPr>
                <w:rFonts w:hint="eastAsia" w:ascii="宋体" w:hAnsi="宋体"/>
                <w:bCs/>
                <w:szCs w:val="21"/>
                <w:highlight w:val="none"/>
              </w:rPr>
              <w:t>5</w:t>
            </w:r>
          </w:p>
        </w:tc>
        <w:tc>
          <w:tcPr>
            <w:tcW w:w="4138" w:type="dxa"/>
            <w:tcBorders>
              <w:right w:val="single" w:color="auto" w:sz="4" w:space="0"/>
            </w:tcBorders>
            <w:vAlign w:val="center"/>
          </w:tcPr>
          <w:p w14:paraId="67AC842F">
            <w:pPr>
              <w:spacing w:line="320" w:lineRule="exact"/>
              <w:jc w:val="left"/>
              <w:rPr>
                <w:rFonts w:hint="eastAsia" w:ascii="宋体" w:hAnsi="宋体"/>
                <w:bCs/>
                <w:kern w:val="0"/>
                <w:szCs w:val="21"/>
                <w:highlight w:val="none"/>
              </w:rPr>
            </w:pPr>
            <w:r>
              <w:rPr>
                <w:rFonts w:hint="eastAsia" w:ascii="宋体" w:hAnsi="宋体"/>
                <w:bCs/>
                <w:kern w:val="0"/>
                <w:szCs w:val="21"/>
                <w:highlight w:val="none"/>
              </w:rPr>
              <w:t>好，4-5分；</w:t>
            </w:r>
          </w:p>
          <w:p w14:paraId="6057F981">
            <w:pPr>
              <w:spacing w:line="320" w:lineRule="exact"/>
              <w:jc w:val="left"/>
              <w:rPr>
                <w:rFonts w:hint="eastAsia" w:ascii="宋体" w:hAnsi="宋体"/>
                <w:bCs/>
                <w:kern w:val="0"/>
                <w:szCs w:val="21"/>
                <w:highlight w:val="none"/>
              </w:rPr>
            </w:pPr>
            <w:r>
              <w:rPr>
                <w:rFonts w:hint="eastAsia" w:ascii="宋体" w:hAnsi="宋体"/>
                <w:bCs/>
                <w:kern w:val="0"/>
                <w:szCs w:val="21"/>
                <w:highlight w:val="none"/>
              </w:rPr>
              <w:t>较好，3-4分；</w:t>
            </w:r>
          </w:p>
          <w:p w14:paraId="6013B488">
            <w:pPr>
              <w:adjustRightInd w:val="0"/>
              <w:snapToGrid w:val="0"/>
              <w:spacing w:line="320" w:lineRule="exact"/>
              <w:rPr>
                <w:rFonts w:hint="eastAsia" w:ascii="宋体" w:hAnsi="宋体"/>
                <w:bCs/>
                <w:szCs w:val="21"/>
                <w:highlight w:val="none"/>
              </w:rPr>
            </w:pPr>
            <w:r>
              <w:rPr>
                <w:rFonts w:hint="eastAsia" w:ascii="宋体" w:hAnsi="宋体"/>
                <w:bCs/>
                <w:kern w:val="0"/>
                <w:szCs w:val="21"/>
                <w:highlight w:val="none"/>
              </w:rPr>
              <w:t>一般，3分；</w:t>
            </w:r>
          </w:p>
        </w:tc>
      </w:tr>
      <w:tr w14:paraId="6A9FBC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10" w:hRule="atLeast"/>
        </w:trPr>
        <w:tc>
          <w:tcPr>
            <w:tcW w:w="587" w:type="dxa"/>
            <w:vMerge w:val="continue"/>
            <w:tcBorders>
              <w:left w:val="single" w:color="auto" w:sz="4" w:space="0"/>
            </w:tcBorders>
            <w:vAlign w:val="center"/>
          </w:tcPr>
          <w:p w14:paraId="2F7A40B4">
            <w:pPr>
              <w:adjustRightInd w:val="0"/>
              <w:snapToGrid w:val="0"/>
              <w:spacing w:before="24" w:beforeLines="10" w:after="24" w:afterLines="10"/>
              <w:jc w:val="center"/>
              <w:rPr>
                <w:rFonts w:hint="eastAsia" w:ascii="宋体" w:hAnsi="宋体"/>
                <w:bCs/>
                <w:highlight w:val="none"/>
              </w:rPr>
            </w:pPr>
          </w:p>
        </w:tc>
        <w:tc>
          <w:tcPr>
            <w:tcW w:w="1002" w:type="dxa"/>
            <w:vMerge w:val="continue"/>
            <w:vAlign w:val="center"/>
          </w:tcPr>
          <w:p w14:paraId="0010FB42">
            <w:pPr>
              <w:adjustRightInd w:val="0"/>
              <w:snapToGrid w:val="0"/>
              <w:spacing w:before="24" w:beforeLines="10" w:after="24" w:afterLines="10"/>
              <w:jc w:val="center"/>
              <w:rPr>
                <w:rFonts w:hint="eastAsia" w:ascii="宋体" w:hAnsi="宋体"/>
                <w:bCs/>
                <w:highlight w:val="none"/>
              </w:rPr>
            </w:pPr>
          </w:p>
        </w:tc>
        <w:tc>
          <w:tcPr>
            <w:tcW w:w="993" w:type="dxa"/>
            <w:vMerge w:val="continue"/>
            <w:vAlign w:val="center"/>
          </w:tcPr>
          <w:p w14:paraId="2683B97E">
            <w:pPr>
              <w:adjustRightInd w:val="0"/>
              <w:snapToGrid w:val="0"/>
              <w:spacing w:before="24" w:beforeLines="10" w:after="24" w:afterLines="10"/>
              <w:jc w:val="center"/>
              <w:rPr>
                <w:rFonts w:hint="eastAsia" w:ascii="宋体" w:hAnsi="宋体"/>
                <w:bCs/>
                <w:highlight w:val="none"/>
              </w:rPr>
            </w:pPr>
          </w:p>
        </w:tc>
        <w:tc>
          <w:tcPr>
            <w:tcW w:w="2266" w:type="dxa"/>
            <w:tcBorders>
              <w:top w:val="single" w:color="auto" w:sz="4" w:space="0"/>
            </w:tcBorders>
            <w:vAlign w:val="center"/>
          </w:tcPr>
          <w:p w14:paraId="266FD830">
            <w:pPr>
              <w:adjustRightInd w:val="0"/>
              <w:snapToGrid w:val="0"/>
              <w:spacing w:line="320" w:lineRule="exact"/>
              <w:jc w:val="left"/>
              <w:rPr>
                <w:rFonts w:hint="eastAsia" w:ascii="宋体" w:hAnsi="宋体"/>
                <w:bCs/>
                <w:highlight w:val="none"/>
              </w:rPr>
            </w:pPr>
            <w:r>
              <w:rPr>
                <w:rFonts w:hint="eastAsia" w:ascii="宋体" w:hAnsi="宋体"/>
                <w:bCs/>
                <w:szCs w:val="21"/>
                <w:highlight w:val="none"/>
              </w:rPr>
              <w:t>环境保护、水土保持、文明施工、文物保护保证体系及保证措施</w:t>
            </w:r>
          </w:p>
        </w:tc>
        <w:tc>
          <w:tcPr>
            <w:tcW w:w="709" w:type="dxa"/>
            <w:tcBorders>
              <w:bottom w:val="single" w:color="auto" w:sz="4" w:space="0"/>
            </w:tcBorders>
            <w:vAlign w:val="center"/>
          </w:tcPr>
          <w:p w14:paraId="2BC58081">
            <w:pPr>
              <w:adjustRightInd w:val="0"/>
              <w:snapToGrid w:val="0"/>
              <w:spacing w:line="320" w:lineRule="exact"/>
              <w:jc w:val="center"/>
              <w:rPr>
                <w:rFonts w:hint="eastAsia" w:ascii="宋体" w:hAnsi="宋体"/>
                <w:bCs/>
                <w:highlight w:val="none"/>
              </w:rPr>
            </w:pPr>
            <w:r>
              <w:rPr>
                <w:rFonts w:hint="eastAsia" w:ascii="宋体" w:hAnsi="宋体"/>
                <w:bCs/>
                <w:szCs w:val="21"/>
                <w:highlight w:val="none"/>
              </w:rPr>
              <w:t>5</w:t>
            </w:r>
          </w:p>
        </w:tc>
        <w:tc>
          <w:tcPr>
            <w:tcW w:w="4138" w:type="dxa"/>
            <w:tcBorders>
              <w:right w:val="single" w:color="auto" w:sz="4" w:space="0"/>
            </w:tcBorders>
            <w:vAlign w:val="center"/>
          </w:tcPr>
          <w:p w14:paraId="65E0813F">
            <w:pPr>
              <w:spacing w:line="320" w:lineRule="exact"/>
              <w:jc w:val="left"/>
              <w:rPr>
                <w:rFonts w:hint="eastAsia" w:ascii="宋体" w:hAnsi="宋体"/>
                <w:bCs/>
                <w:kern w:val="0"/>
                <w:szCs w:val="21"/>
                <w:highlight w:val="none"/>
              </w:rPr>
            </w:pPr>
            <w:r>
              <w:rPr>
                <w:rFonts w:hint="eastAsia" w:ascii="宋体" w:hAnsi="宋体"/>
                <w:bCs/>
                <w:kern w:val="0"/>
                <w:szCs w:val="21"/>
                <w:highlight w:val="none"/>
              </w:rPr>
              <w:t>好，4-5分；</w:t>
            </w:r>
          </w:p>
          <w:p w14:paraId="70CB4DF0">
            <w:pPr>
              <w:spacing w:line="320" w:lineRule="exact"/>
              <w:jc w:val="left"/>
              <w:rPr>
                <w:rFonts w:hint="eastAsia" w:ascii="宋体" w:hAnsi="宋体"/>
                <w:bCs/>
                <w:kern w:val="0"/>
                <w:szCs w:val="21"/>
                <w:highlight w:val="none"/>
              </w:rPr>
            </w:pPr>
            <w:r>
              <w:rPr>
                <w:rFonts w:hint="eastAsia" w:ascii="宋体" w:hAnsi="宋体"/>
                <w:bCs/>
                <w:kern w:val="0"/>
                <w:szCs w:val="21"/>
                <w:highlight w:val="none"/>
              </w:rPr>
              <w:t>较好，3-4分；</w:t>
            </w:r>
          </w:p>
          <w:p w14:paraId="52DFB140">
            <w:pPr>
              <w:adjustRightInd w:val="0"/>
              <w:snapToGrid w:val="0"/>
              <w:spacing w:line="320" w:lineRule="exact"/>
              <w:rPr>
                <w:rFonts w:hint="eastAsia" w:ascii="宋体" w:hAnsi="宋体"/>
                <w:bCs/>
                <w:szCs w:val="21"/>
                <w:highlight w:val="none"/>
              </w:rPr>
            </w:pPr>
            <w:r>
              <w:rPr>
                <w:rFonts w:hint="eastAsia" w:ascii="宋体" w:hAnsi="宋体"/>
                <w:bCs/>
                <w:kern w:val="0"/>
                <w:szCs w:val="21"/>
                <w:highlight w:val="none"/>
              </w:rPr>
              <w:t>一般，3分；</w:t>
            </w:r>
          </w:p>
        </w:tc>
      </w:tr>
      <w:tr w14:paraId="5A5E31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10" w:hRule="atLeast"/>
        </w:trPr>
        <w:tc>
          <w:tcPr>
            <w:tcW w:w="587" w:type="dxa"/>
            <w:vMerge w:val="continue"/>
            <w:tcBorders>
              <w:left w:val="single" w:color="auto" w:sz="4" w:space="0"/>
            </w:tcBorders>
            <w:vAlign w:val="center"/>
          </w:tcPr>
          <w:p w14:paraId="120431B4">
            <w:pPr>
              <w:adjustRightInd w:val="0"/>
              <w:snapToGrid w:val="0"/>
              <w:spacing w:before="24" w:beforeLines="10" w:after="24" w:afterLines="10"/>
              <w:jc w:val="center"/>
              <w:rPr>
                <w:rFonts w:hint="eastAsia" w:ascii="宋体" w:hAnsi="宋体"/>
                <w:bCs/>
                <w:highlight w:val="none"/>
              </w:rPr>
            </w:pPr>
          </w:p>
        </w:tc>
        <w:tc>
          <w:tcPr>
            <w:tcW w:w="1002" w:type="dxa"/>
            <w:vMerge w:val="continue"/>
            <w:vAlign w:val="center"/>
          </w:tcPr>
          <w:p w14:paraId="45F38E2C">
            <w:pPr>
              <w:adjustRightInd w:val="0"/>
              <w:snapToGrid w:val="0"/>
              <w:spacing w:before="24" w:beforeLines="10" w:after="24" w:afterLines="10"/>
              <w:jc w:val="center"/>
              <w:rPr>
                <w:rFonts w:hint="eastAsia" w:ascii="宋体" w:hAnsi="宋体"/>
                <w:bCs/>
                <w:highlight w:val="none"/>
              </w:rPr>
            </w:pPr>
          </w:p>
        </w:tc>
        <w:tc>
          <w:tcPr>
            <w:tcW w:w="993" w:type="dxa"/>
            <w:vMerge w:val="continue"/>
            <w:vAlign w:val="center"/>
          </w:tcPr>
          <w:p w14:paraId="2BA20846">
            <w:pPr>
              <w:adjustRightInd w:val="0"/>
              <w:snapToGrid w:val="0"/>
              <w:spacing w:before="24" w:beforeLines="10" w:after="24" w:afterLines="10"/>
              <w:jc w:val="center"/>
              <w:rPr>
                <w:rFonts w:hint="eastAsia" w:ascii="宋体" w:hAnsi="宋体"/>
                <w:bCs/>
                <w:highlight w:val="none"/>
              </w:rPr>
            </w:pPr>
          </w:p>
        </w:tc>
        <w:tc>
          <w:tcPr>
            <w:tcW w:w="2266" w:type="dxa"/>
            <w:tcBorders>
              <w:top w:val="single" w:color="auto" w:sz="4" w:space="0"/>
            </w:tcBorders>
            <w:vAlign w:val="center"/>
          </w:tcPr>
          <w:p w14:paraId="02243A8D">
            <w:pPr>
              <w:adjustRightInd w:val="0"/>
              <w:snapToGrid w:val="0"/>
              <w:spacing w:line="320" w:lineRule="exact"/>
              <w:jc w:val="left"/>
              <w:rPr>
                <w:rFonts w:hint="eastAsia" w:ascii="宋体" w:hAnsi="宋体"/>
                <w:bCs/>
                <w:highlight w:val="none"/>
              </w:rPr>
            </w:pPr>
            <w:r>
              <w:rPr>
                <w:rFonts w:hint="eastAsia" w:ascii="宋体" w:hAnsi="宋体"/>
                <w:bCs/>
                <w:szCs w:val="21"/>
                <w:highlight w:val="none"/>
              </w:rPr>
              <w:t>项目风险预测与防范，事故应急预案</w:t>
            </w:r>
          </w:p>
        </w:tc>
        <w:tc>
          <w:tcPr>
            <w:tcW w:w="709" w:type="dxa"/>
            <w:tcBorders>
              <w:bottom w:val="single" w:color="auto" w:sz="4" w:space="0"/>
            </w:tcBorders>
            <w:vAlign w:val="center"/>
          </w:tcPr>
          <w:p w14:paraId="42E6F3E3">
            <w:pPr>
              <w:adjustRightInd w:val="0"/>
              <w:snapToGrid w:val="0"/>
              <w:spacing w:line="320" w:lineRule="exact"/>
              <w:jc w:val="center"/>
              <w:rPr>
                <w:rFonts w:hint="eastAsia" w:ascii="宋体" w:hAnsi="宋体"/>
                <w:bCs/>
                <w:highlight w:val="none"/>
              </w:rPr>
            </w:pPr>
            <w:r>
              <w:rPr>
                <w:rFonts w:hint="eastAsia" w:ascii="宋体" w:hAnsi="宋体"/>
                <w:bCs/>
                <w:szCs w:val="21"/>
                <w:highlight w:val="none"/>
              </w:rPr>
              <w:t>2</w:t>
            </w:r>
          </w:p>
        </w:tc>
        <w:tc>
          <w:tcPr>
            <w:tcW w:w="4138" w:type="dxa"/>
            <w:tcBorders>
              <w:right w:val="single" w:color="auto" w:sz="4" w:space="0"/>
            </w:tcBorders>
            <w:vAlign w:val="center"/>
          </w:tcPr>
          <w:p w14:paraId="6BD8A1BC">
            <w:pPr>
              <w:spacing w:line="320" w:lineRule="exact"/>
              <w:jc w:val="left"/>
              <w:rPr>
                <w:rFonts w:hint="eastAsia" w:ascii="宋体" w:hAnsi="宋体"/>
                <w:bCs/>
                <w:kern w:val="0"/>
                <w:szCs w:val="21"/>
                <w:highlight w:val="none"/>
              </w:rPr>
            </w:pPr>
            <w:r>
              <w:rPr>
                <w:rFonts w:hint="eastAsia" w:ascii="宋体" w:hAnsi="宋体"/>
                <w:bCs/>
                <w:kern w:val="0"/>
                <w:szCs w:val="21"/>
                <w:highlight w:val="none"/>
              </w:rPr>
              <w:t>好，1.6-2分；</w:t>
            </w:r>
          </w:p>
          <w:p w14:paraId="70C19E7B">
            <w:pPr>
              <w:spacing w:line="320" w:lineRule="exact"/>
              <w:jc w:val="left"/>
              <w:rPr>
                <w:rFonts w:hint="eastAsia" w:ascii="宋体" w:hAnsi="宋体"/>
                <w:bCs/>
                <w:kern w:val="0"/>
                <w:szCs w:val="21"/>
                <w:highlight w:val="none"/>
              </w:rPr>
            </w:pPr>
            <w:r>
              <w:rPr>
                <w:rFonts w:hint="eastAsia" w:ascii="宋体" w:hAnsi="宋体"/>
                <w:bCs/>
                <w:kern w:val="0"/>
                <w:szCs w:val="21"/>
                <w:highlight w:val="none"/>
              </w:rPr>
              <w:t>较好，1.2-1.6分；</w:t>
            </w:r>
          </w:p>
          <w:p w14:paraId="4467BA2D">
            <w:pPr>
              <w:adjustRightInd w:val="0"/>
              <w:snapToGrid w:val="0"/>
              <w:spacing w:line="320" w:lineRule="exact"/>
              <w:rPr>
                <w:rFonts w:hint="eastAsia" w:ascii="宋体" w:hAnsi="宋体"/>
                <w:bCs/>
                <w:szCs w:val="21"/>
                <w:highlight w:val="none"/>
              </w:rPr>
            </w:pPr>
            <w:r>
              <w:rPr>
                <w:rFonts w:hint="eastAsia" w:ascii="宋体" w:hAnsi="宋体"/>
                <w:bCs/>
                <w:kern w:val="0"/>
                <w:szCs w:val="21"/>
                <w:highlight w:val="none"/>
              </w:rPr>
              <w:t>一般，1.2分；</w:t>
            </w:r>
          </w:p>
        </w:tc>
      </w:tr>
      <w:bookmarkEnd w:id="121"/>
      <w:tr w14:paraId="72EE6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7" w:hRule="atLeast"/>
        </w:trPr>
        <w:tc>
          <w:tcPr>
            <w:tcW w:w="587" w:type="dxa"/>
            <w:vMerge w:val="restart"/>
            <w:vAlign w:val="center"/>
          </w:tcPr>
          <w:p w14:paraId="6A8DB936">
            <w:pPr>
              <w:adjustRightInd w:val="0"/>
              <w:snapToGrid w:val="0"/>
              <w:spacing w:before="24" w:beforeLines="10" w:after="24" w:afterLines="10"/>
              <w:jc w:val="center"/>
              <w:rPr>
                <w:rFonts w:hint="eastAsia" w:ascii="宋体" w:hAnsi="宋体"/>
                <w:bCs/>
                <w:highlight w:val="none"/>
              </w:rPr>
            </w:pPr>
            <w:r>
              <w:rPr>
                <w:rFonts w:ascii="宋体" w:hAnsi="宋体"/>
                <w:bCs/>
                <w:highlight w:val="none"/>
              </w:rPr>
              <w:t>2.2.</w:t>
            </w:r>
            <w:r>
              <w:rPr>
                <w:rFonts w:hint="eastAsia" w:ascii="宋体" w:hAnsi="宋体"/>
                <w:bCs/>
                <w:highlight w:val="none"/>
              </w:rPr>
              <w:t>2</w:t>
            </w:r>
            <w:r>
              <w:rPr>
                <w:rFonts w:ascii="宋体" w:hAnsi="宋体"/>
                <w:bCs/>
                <w:highlight w:val="none"/>
              </w:rPr>
              <w:t>（2）</w:t>
            </w:r>
          </w:p>
        </w:tc>
        <w:tc>
          <w:tcPr>
            <w:tcW w:w="1002" w:type="dxa"/>
            <w:vMerge w:val="restart"/>
            <w:vAlign w:val="center"/>
          </w:tcPr>
          <w:p w14:paraId="5A072A80">
            <w:pPr>
              <w:adjustRightInd w:val="0"/>
              <w:snapToGrid w:val="0"/>
              <w:spacing w:before="24" w:beforeLines="10" w:after="24" w:afterLines="10"/>
              <w:jc w:val="center"/>
              <w:rPr>
                <w:rFonts w:hint="eastAsia" w:ascii="宋体" w:hAnsi="宋体"/>
                <w:bCs/>
                <w:highlight w:val="none"/>
              </w:rPr>
            </w:pPr>
            <w:r>
              <w:rPr>
                <w:rFonts w:hint="eastAsia" w:ascii="宋体" w:hAnsi="宋体"/>
                <w:bCs/>
                <w:highlight w:val="none"/>
              </w:rPr>
              <w:t>主要</w:t>
            </w:r>
            <w:r>
              <w:rPr>
                <w:rFonts w:ascii="宋体" w:hAnsi="宋体"/>
                <w:bCs/>
                <w:highlight w:val="none"/>
              </w:rPr>
              <w:br w:type="textWrapping"/>
            </w:r>
            <w:r>
              <w:rPr>
                <w:rFonts w:hint="eastAsia" w:ascii="宋体" w:hAnsi="宋体"/>
                <w:bCs/>
                <w:highlight w:val="none"/>
              </w:rPr>
              <w:t>人员</w:t>
            </w:r>
          </w:p>
        </w:tc>
        <w:tc>
          <w:tcPr>
            <w:tcW w:w="993" w:type="dxa"/>
            <w:vMerge w:val="restart"/>
            <w:vAlign w:val="center"/>
          </w:tcPr>
          <w:p w14:paraId="5FF66131">
            <w:pPr>
              <w:adjustRightInd w:val="0"/>
              <w:snapToGrid w:val="0"/>
              <w:spacing w:before="24" w:beforeLines="10" w:after="24" w:afterLines="10"/>
              <w:jc w:val="center"/>
              <w:rPr>
                <w:rFonts w:hint="eastAsia" w:ascii="宋体" w:hAnsi="宋体"/>
                <w:bCs/>
                <w:highlight w:val="none"/>
              </w:rPr>
            </w:pPr>
            <w:r>
              <w:rPr>
                <w:rFonts w:ascii="宋体" w:hAnsi="宋体"/>
                <w:bCs/>
                <w:highlight w:val="none"/>
              </w:rPr>
              <w:t>25分</w:t>
            </w:r>
          </w:p>
        </w:tc>
        <w:tc>
          <w:tcPr>
            <w:tcW w:w="2266" w:type="dxa"/>
            <w:vAlign w:val="center"/>
          </w:tcPr>
          <w:p w14:paraId="09FB75D6">
            <w:pPr>
              <w:adjustRightInd w:val="0"/>
              <w:snapToGrid w:val="0"/>
              <w:spacing w:before="24" w:beforeLines="10" w:after="24" w:afterLines="10" w:line="340" w:lineRule="exact"/>
              <w:jc w:val="left"/>
              <w:rPr>
                <w:rFonts w:hint="eastAsia" w:ascii="宋体" w:hAnsi="宋体"/>
                <w:bCs/>
                <w:highlight w:val="none"/>
              </w:rPr>
            </w:pPr>
            <w:r>
              <w:rPr>
                <w:rFonts w:ascii="宋体" w:hAnsi="宋体"/>
                <w:bCs/>
                <w:highlight w:val="none"/>
              </w:rPr>
              <w:t>项目经理任职</w:t>
            </w:r>
            <w:r>
              <w:rPr>
                <w:rFonts w:hint="eastAsia" w:ascii="宋体" w:hAnsi="宋体"/>
                <w:bCs/>
                <w:highlight w:val="none"/>
              </w:rPr>
              <w:t>资格与业绩</w:t>
            </w:r>
          </w:p>
        </w:tc>
        <w:tc>
          <w:tcPr>
            <w:tcW w:w="709" w:type="dxa"/>
            <w:vAlign w:val="center"/>
          </w:tcPr>
          <w:p w14:paraId="0EE44ED7">
            <w:pPr>
              <w:adjustRightInd w:val="0"/>
              <w:snapToGrid w:val="0"/>
              <w:spacing w:before="24" w:beforeLines="10" w:after="24" w:afterLines="10" w:line="340" w:lineRule="exact"/>
              <w:jc w:val="center"/>
              <w:rPr>
                <w:rFonts w:hint="eastAsia" w:ascii="宋体" w:hAnsi="宋体"/>
                <w:bCs/>
                <w:highlight w:val="none"/>
              </w:rPr>
            </w:pPr>
            <w:r>
              <w:rPr>
                <w:rFonts w:hint="eastAsia" w:ascii="宋体" w:hAnsi="宋体"/>
                <w:bCs/>
                <w:highlight w:val="none"/>
              </w:rPr>
              <w:t>15</w:t>
            </w:r>
          </w:p>
        </w:tc>
        <w:tc>
          <w:tcPr>
            <w:tcW w:w="4138" w:type="dxa"/>
            <w:vAlign w:val="center"/>
          </w:tcPr>
          <w:p w14:paraId="20C9574B">
            <w:pPr>
              <w:adjustRightInd w:val="0"/>
              <w:snapToGrid w:val="0"/>
              <w:spacing w:before="24" w:beforeLines="10" w:after="24" w:afterLines="10" w:line="340" w:lineRule="exact"/>
              <w:jc w:val="left"/>
              <w:rPr>
                <w:rFonts w:hint="eastAsia" w:ascii="宋体" w:hAnsi="宋体"/>
                <w:bCs/>
                <w:highlight w:val="none"/>
              </w:rPr>
            </w:pPr>
            <w:bookmarkStart w:id="122" w:name="OLE_LINK14"/>
            <w:r>
              <w:rPr>
                <w:rFonts w:hint="eastAsia" w:ascii="宋体" w:hAnsi="宋体"/>
                <w:bCs/>
                <w:highlight w:val="none"/>
              </w:rPr>
              <w:t>满足最低资格审查条件得9分，</w:t>
            </w:r>
            <w:r>
              <w:rPr>
                <w:rFonts w:hint="eastAsia"/>
                <w:bCs/>
                <w:color w:val="000000"/>
                <w:szCs w:val="21"/>
                <w:highlight w:val="none"/>
              </w:rPr>
              <w:t>担任过</w:t>
            </w:r>
            <w:r>
              <w:rPr>
                <w:rFonts w:hint="eastAsia" w:ascii="宋体" w:hAnsi="宋体"/>
                <w:bCs/>
                <w:highlight w:val="none"/>
              </w:rPr>
              <w:t>1项(指1个承包合同)二级或以上公路养护工程施工的项目经理任职经历加6分，最多加6分。</w:t>
            </w:r>
            <w:bookmarkEnd w:id="122"/>
          </w:p>
          <w:p w14:paraId="14509846">
            <w:pPr>
              <w:adjustRightInd w:val="0"/>
              <w:snapToGrid w:val="0"/>
              <w:spacing w:before="24" w:beforeLines="10" w:after="24" w:afterLines="10"/>
              <w:jc w:val="left"/>
              <w:rPr>
                <w:rFonts w:hint="eastAsia" w:ascii="宋体" w:hAnsi="宋体"/>
                <w:bCs/>
                <w:szCs w:val="21"/>
                <w:highlight w:val="none"/>
              </w:rPr>
            </w:pPr>
            <w:r>
              <w:rPr>
                <w:rFonts w:hint="eastAsia" w:ascii="楷体" w:hAnsi="楷体" w:eastAsia="楷体"/>
                <w:szCs w:val="21"/>
                <w:highlight w:val="none"/>
              </w:rPr>
              <w:t>注：小修养护和日常养护不计。</w:t>
            </w:r>
          </w:p>
        </w:tc>
      </w:tr>
      <w:tr w14:paraId="6C8C0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25" w:hRule="atLeast"/>
        </w:trPr>
        <w:tc>
          <w:tcPr>
            <w:tcW w:w="587" w:type="dxa"/>
            <w:vMerge w:val="continue"/>
            <w:vAlign w:val="center"/>
          </w:tcPr>
          <w:p w14:paraId="3E32E9DA">
            <w:pPr>
              <w:adjustRightInd w:val="0"/>
              <w:snapToGrid w:val="0"/>
              <w:spacing w:before="24" w:beforeLines="10" w:after="24" w:afterLines="10"/>
              <w:jc w:val="center"/>
              <w:rPr>
                <w:rFonts w:hint="eastAsia" w:ascii="宋体" w:hAnsi="宋体"/>
                <w:bCs/>
                <w:highlight w:val="none"/>
              </w:rPr>
            </w:pPr>
            <w:bookmarkStart w:id="123" w:name="_Hlk186124519"/>
          </w:p>
        </w:tc>
        <w:tc>
          <w:tcPr>
            <w:tcW w:w="1002" w:type="dxa"/>
            <w:vMerge w:val="continue"/>
            <w:vAlign w:val="center"/>
          </w:tcPr>
          <w:p w14:paraId="4242253D">
            <w:pPr>
              <w:adjustRightInd w:val="0"/>
              <w:snapToGrid w:val="0"/>
              <w:spacing w:before="24" w:beforeLines="10" w:after="24" w:afterLines="10"/>
              <w:jc w:val="center"/>
              <w:rPr>
                <w:rFonts w:hint="eastAsia" w:ascii="宋体" w:hAnsi="宋体"/>
                <w:bCs/>
                <w:highlight w:val="none"/>
              </w:rPr>
            </w:pPr>
          </w:p>
        </w:tc>
        <w:tc>
          <w:tcPr>
            <w:tcW w:w="993" w:type="dxa"/>
            <w:vMerge w:val="continue"/>
            <w:vAlign w:val="center"/>
          </w:tcPr>
          <w:p w14:paraId="7E9B7537">
            <w:pPr>
              <w:adjustRightInd w:val="0"/>
              <w:snapToGrid w:val="0"/>
              <w:spacing w:before="24" w:beforeLines="10" w:after="24" w:afterLines="10"/>
              <w:jc w:val="center"/>
              <w:rPr>
                <w:rFonts w:hint="eastAsia" w:ascii="宋体" w:hAnsi="宋体"/>
                <w:bCs/>
                <w:highlight w:val="none"/>
              </w:rPr>
            </w:pPr>
          </w:p>
        </w:tc>
        <w:tc>
          <w:tcPr>
            <w:tcW w:w="2266" w:type="dxa"/>
            <w:vAlign w:val="center"/>
          </w:tcPr>
          <w:p w14:paraId="10A608E1">
            <w:pPr>
              <w:adjustRightInd w:val="0"/>
              <w:snapToGrid w:val="0"/>
              <w:spacing w:before="24" w:beforeLines="10" w:after="24" w:afterLines="10" w:line="340" w:lineRule="exact"/>
              <w:jc w:val="left"/>
              <w:rPr>
                <w:rFonts w:hint="eastAsia" w:ascii="宋体" w:hAnsi="宋体"/>
                <w:bCs/>
                <w:highlight w:val="none"/>
              </w:rPr>
            </w:pPr>
            <w:r>
              <w:rPr>
                <w:rFonts w:ascii="宋体" w:hAnsi="宋体"/>
                <w:bCs/>
                <w:highlight w:val="none"/>
              </w:rPr>
              <w:t>项目</w:t>
            </w:r>
            <w:r>
              <w:rPr>
                <w:rFonts w:hint="eastAsia" w:ascii="宋体" w:hAnsi="宋体"/>
                <w:bCs/>
                <w:highlight w:val="none"/>
              </w:rPr>
              <w:t>总工</w:t>
            </w:r>
            <w:r>
              <w:rPr>
                <w:rFonts w:ascii="宋体" w:hAnsi="宋体"/>
                <w:bCs/>
                <w:highlight w:val="none"/>
              </w:rPr>
              <w:t>任职</w:t>
            </w:r>
            <w:r>
              <w:rPr>
                <w:rFonts w:hint="eastAsia" w:ascii="宋体" w:hAnsi="宋体"/>
                <w:bCs/>
                <w:highlight w:val="none"/>
              </w:rPr>
              <w:t>资格与业绩</w:t>
            </w:r>
          </w:p>
        </w:tc>
        <w:tc>
          <w:tcPr>
            <w:tcW w:w="709" w:type="dxa"/>
            <w:vAlign w:val="center"/>
          </w:tcPr>
          <w:p w14:paraId="4CAF474D">
            <w:pPr>
              <w:adjustRightInd w:val="0"/>
              <w:snapToGrid w:val="0"/>
              <w:spacing w:before="24" w:beforeLines="10" w:after="24" w:afterLines="10" w:line="340" w:lineRule="exact"/>
              <w:jc w:val="center"/>
              <w:rPr>
                <w:rFonts w:hint="eastAsia" w:ascii="宋体" w:hAnsi="宋体"/>
                <w:bCs/>
                <w:highlight w:val="none"/>
              </w:rPr>
            </w:pPr>
            <w:r>
              <w:rPr>
                <w:rFonts w:hint="eastAsia" w:ascii="宋体" w:hAnsi="宋体"/>
                <w:bCs/>
                <w:highlight w:val="none"/>
              </w:rPr>
              <w:t>10</w:t>
            </w:r>
          </w:p>
        </w:tc>
        <w:tc>
          <w:tcPr>
            <w:tcW w:w="4138" w:type="dxa"/>
            <w:vAlign w:val="center"/>
          </w:tcPr>
          <w:p w14:paraId="1F8B9083">
            <w:pPr>
              <w:adjustRightInd w:val="0"/>
              <w:snapToGrid w:val="0"/>
              <w:spacing w:before="24" w:beforeLines="10" w:after="24" w:afterLines="10" w:line="340" w:lineRule="exact"/>
              <w:jc w:val="left"/>
              <w:rPr>
                <w:rFonts w:hint="eastAsia" w:ascii="宋体" w:hAnsi="宋体"/>
                <w:bCs/>
                <w:highlight w:val="none"/>
              </w:rPr>
            </w:pPr>
            <w:r>
              <w:rPr>
                <w:rFonts w:hint="eastAsia" w:ascii="宋体" w:hAnsi="宋体"/>
                <w:bCs/>
                <w:highlight w:val="none"/>
              </w:rPr>
              <w:t>满足最低资格审查条件得6分，担任过1项(指1个承包合同)二级或以上公路养护工程施工的项目总工任职经历加4分，最多加4分。</w:t>
            </w:r>
          </w:p>
          <w:p w14:paraId="2739B972">
            <w:pPr>
              <w:adjustRightInd w:val="0"/>
              <w:snapToGrid w:val="0"/>
              <w:spacing w:before="24" w:beforeLines="10" w:after="24" w:afterLines="10" w:line="340" w:lineRule="exact"/>
              <w:jc w:val="left"/>
              <w:rPr>
                <w:rFonts w:hint="eastAsia" w:ascii="宋体" w:hAnsi="宋体"/>
                <w:bCs/>
                <w:szCs w:val="21"/>
                <w:highlight w:val="none"/>
              </w:rPr>
            </w:pPr>
            <w:r>
              <w:rPr>
                <w:rFonts w:hint="eastAsia" w:ascii="楷体" w:hAnsi="楷体" w:eastAsia="楷体"/>
                <w:szCs w:val="21"/>
                <w:highlight w:val="none"/>
              </w:rPr>
              <w:t>注：小修养护和日常养护不计。</w:t>
            </w:r>
          </w:p>
        </w:tc>
      </w:tr>
      <w:bookmarkEnd w:id="123"/>
    </w:tbl>
    <w:p w14:paraId="5366116A">
      <w:pPr>
        <w:rPr>
          <w:bCs/>
          <w:highlight w:val="none"/>
        </w:rPr>
      </w:pPr>
      <w:r>
        <w:rPr>
          <w:bCs/>
          <w:highlight w:val="none"/>
        </w:rPr>
        <w:br w:type="page"/>
      </w:r>
    </w:p>
    <w:p w14:paraId="0DB6EE5F">
      <w:pPr>
        <w:jc w:val="right"/>
        <w:rPr>
          <w:bCs/>
          <w:highlight w:val="none"/>
        </w:rPr>
      </w:pPr>
      <w:r>
        <w:rPr>
          <w:rFonts w:hint="eastAsia"/>
          <w:bCs/>
          <w:highlight w:val="none"/>
        </w:rPr>
        <w:t>续上表</w:t>
      </w:r>
    </w:p>
    <w:tbl>
      <w:tblPr>
        <w:tblStyle w:val="55"/>
        <w:tblW w:w="969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87"/>
        <w:gridCol w:w="500"/>
        <w:gridCol w:w="502"/>
        <w:gridCol w:w="993"/>
        <w:gridCol w:w="991"/>
        <w:gridCol w:w="851"/>
        <w:gridCol w:w="5271"/>
      </w:tblGrid>
      <w:tr w14:paraId="0950DB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0" w:hRule="atLeast"/>
          <w:tblHeader/>
        </w:trPr>
        <w:tc>
          <w:tcPr>
            <w:tcW w:w="587" w:type="dxa"/>
            <w:vMerge w:val="restart"/>
            <w:tcBorders>
              <w:top w:val="single" w:color="auto" w:sz="4" w:space="0"/>
              <w:left w:val="single" w:color="auto" w:sz="4" w:space="0"/>
              <w:right w:val="single" w:color="auto" w:sz="4" w:space="0"/>
            </w:tcBorders>
            <w:vAlign w:val="center"/>
          </w:tcPr>
          <w:p w14:paraId="3DE36457">
            <w:pPr>
              <w:adjustRightInd w:val="0"/>
              <w:snapToGrid w:val="0"/>
              <w:spacing w:before="24" w:beforeLines="10" w:after="24" w:afterLines="10"/>
              <w:jc w:val="center"/>
              <w:rPr>
                <w:rFonts w:hint="eastAsia" w:ascii="宋体" w:hAnsi="宋体"/>
                <w:bCs/>
                <w:highlight w:val="none"/>
              </w:rPr>
            </w:pPr>
            <w:r>
              <w:rPr>
                <w:rFonts w:ascii="宋体" w:hAnsi="宋体"/>
                <w:bCs/>
                <w:highlight w:val="none"/>
              </w:rPr>
              <w:t>条款</w:t>
            </w:r>
          </w:p>
          <w:p w14:paraId="578D2F6D">
            <w:pPr>
              <w:adjustRightInd w:val="0"/>
              <w:snapToGrid w:val="0"/>
              <w:spacing w:before="24" w:beforeLines="10" w:after="24" w:afterLines="10"/>
              <w:jc w:val="center"/>
              <w:rPr>
                <w:rFonts w:hint="eastAsia" w:ascii="宋体" w:hAnsi="宋体"/>
                <w:bCs/>
                <w:highlight w:val="none"/>
              </w:rPr>
            </w:pPr>
            <w:r>
              <w:rPr>
                <w:rFonts w:ascii="宋体" w:hAnsi="宋体"/>
                <w:bCs/>
                <w:highlight w:val="none"/>
              </w:rPr>
              <w:t>号</w:t>
            </w:r>
          </w:p>
        </w:tc>
        <w:tc>
          <w:tcPr>
            <w:tcW w:w="3837" w:type="dxa"/>
            <w:gridSpan w:val="5"/>
            <w:tcBorders>
              <w:top w:val="single" w:color="auto" w:sz="4" w:space="0"/>
              <w:left w:val="single" w:color="auto" w:sz="4" w:space="0"/>
              <w:right w:val="single" w:color="auto" w:sz="4" w:space="0"/>
            </w:tcBorders>
            <w:vAlign w:val="center"/>
          </w:tcPr>
          <w:p w14:paraId="5E614FEC">
            <w:pPr>
              <w:adjustRightInd w:val="0"/>
              <w:snapToGrid w:val="0"/>
              <w:spacing w:before="24" w:beforeLines="10" w:after="24" w:afterLines="10"/>
              <w:jc w:val="center"/>
              <w:rPr>
                <w:rFonts w:hint="eastAsia" w:ascii="宋体" w:hAnsi="宋体"/>
                <w:bCs/>
                <w:highlight w:val="none"/>
              </w:rPr>
            </w:pPr>
            <w:r>
              <w:rPr>
                <w:rFonts w:ascii="宋体" w:hAnsi="宋体"/>
                <w:bCs/>
                <w:highlight w:val="none"/>
              </w:rPr>
              <w:t>评分因素与拟定权重分值</w:t>
            </w:r>
          </w:p>
        </w:tc>
        <w:tc>
          <w:tcPr>
            <w:tcW w:w="5271" w:type="dxa"/>
            <w:vMerge w:val="restart"/>
            <w:tcBorders>
              <w:top w:val="single" w:color="auto" w:sz="4" w:space="0"/>
              <w:left w:val="single" w:color="auto" w:sz="4" w:space="0"/>
              <w:right w:val="single" w:color="auto" w:sz="4" w:space="0"/>
            </w:tcBorders>
            <w:vAlign w:val="center"/>
          </w:tcPr>
          <w:p w14:paraId="5643FD14">
            <w:pPr>
              <w:adjustRightInd w:val="0"/>
              <w:snapToGrid w:val="0"/>
              <w:spacing w:before="24" w:beforeLines="10" w:after="24" w:afterLines="10"/>
              <w:jc w:val="center"/>
              <w:rPr>
                <w:rFonts w:hint="eastAsia" w:ascii="宋体" w:hAnsi="宋体"/>
                <w:bCs/>
                <w:highlight w:val="none"/>
              </w:rPr>
            </w:pPr>
            <w:r>
              <w:rPr>
                <w:rFonts w:ascii="宋体" w:hAnsi="宋体"/>
                <w:bCs/>
                <w:highlight w:val="none"/>
              </w:rPr>
              <w:t>评分标准</w:t>
            </w:r>
          </w:p>
        </w:tc>
      </w:tr>
      <w:tr w14:paraId="463C6A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0" w:hRule="atLeast"/>
          <w:tblHeader/>
        </w:trPr>
        <w:tc>
          <w:tcPr>
            <w:tcW w:w="587" w:type="dxa"/>
            <w:vMerge w:val="continue"/>
            <w:tcBorders>
              <w:left w:val="single" w:color="auto" w:sz="4" w:space="0"/>
              <w:bottom w:val="single" w:color="auto" w:sz="4" w:space="0"/>
              <w:right w:val="single" w:color="auto" w:sz="4" w:space="0"/>
            </w:tcBorders>
            <w:vAlign w:val="center"/>
          </w:tcPr>
          <w:p w14:paraId="7DF36C48">
            <w:pPr>
              <w:adjustRightInd w:val="0"/>
              <w:snapToGrid w:val="0"/>
              <w:spacing w:before="24" w:beforeLines="10" w:after="24" w:afterLines="10"/>
              <w:jc w:val="center"/>
              <w:rPr>
                <w:rFonts w:hint="eastAsia" w:ascii="宋体" w:hAnsi="宋体"/>
                <w:bCs/>
                <w:highlight w:val="none"/>
              </w:rPr>
            </w:pPr>
          </w:p>
        </w:tc>
        <w:tc>
          <w:tcPr>
            <w:tcW w:w="1002" w:type="dxa"/>
            <w:gridSpan w:val="2"/>
            <w:tcBorders>
              <w:left w:val="single" w:color="auto" w:sz="4" w:space="0"/>
            </w:tcBorders>
            <w:vAlign w:val="center"/>
          </w:tcPr>
          <w:p w14:paraId="7E8E0A8D">
            <w:pPr>
              <w:adjustRightInd w:val="0"/>
              <w:snapToGrid w:val="0"/>
              <w:spacing w:before="24" w:beforeLines="10" w:after="24" w:afterLines="10"/>
              <w:jc w:val="center"/>
              <w:rPr>
                <w:rFonts w:hint="eastAsia" w:ascii="宋体" w:hAnsi="宋体"/>
                <w:bCs/>
                <w:highlight w:val="none"/>
              </w:rPr>
            </w:pPr>
            <w:r>
              <w:rPr>
                <w:rFonts w:ascii="宋体" w:hAnsi="宋体"/>
                <w:bCs/>
                <w:highlight w:val="none"/>
              </w:rPr>
              <w:t>评分</w:t>
            </w:r>
            <w:r>
              <w:rPr>
                <w:rFonts w:ascii="宋体" w:hAnsi="宋体"/>
                <w:bCs/>
                <w:highlight w:val="none"/>
              </w:rPr>
              <w:br w:type="textWrapping"/>
            </w:r>
            <w:r>
              <w:rPr>
                <w:rFonts w:ascii="宋体" w:hAnsi="宋体"/>
                <w:bCs/>
                <w:highlight w:val="none"/>
              </w:rPr>
              <w:t>因素</w:t>
            </w:r>
          </w:p>
        </w:tc>
        <w:tc>
          <w:tcPr>
            <w:tcW w:w="993" w:type="dxa"/>
            <w:vAlign w:val="center"/>
          </w:tcPr>
          <w:p w14:paraId="2A37C1EE">
            <w:pPr>
              <w:adjustRightInd w:val="0"/>
              <w:snapToGrid w:val="0"/>
              <w:spacing w:before="24" w:beforeLines="10" w:after="24" w:afterLines="10"/>
              <w:jc w:val="center"/>
              <w:rPr>
                <w:rFonts w:hint="eastAsia" w:ascii="宋体" w:hAnsi="宋体"/>
                <w:bCs/>
                <w:highlight w:val="none"/>
              </w:rPr>
            </w:pPr>
            <w:r>
              <w:rPr>
                <w:rFonts w:ascii="宋体" w:hAnsi="宋体"/>
                <w:bCs/>
                <w:highlight w:val="none"/>
              </w:rPr>
              <w:t>评分因素</w:t>
            </w:r>
            <w:r>
              <w:rPr>
                <w:rFonts w:ascii="宋体" w:hAnsi="宋体"/>
                <w:bCs/>
                <w:highlight w:val="none"/>
              </w:rPr>
              <w:br w:type="textWrapping"/>
            </w:r>
            <w:r>
              <w:rPr>
                <w:rFonts w:ascii="宋体" w:hAnsi="宋体"/>
                <w:bCs/>
                <w:highlight w:val="none"/>
              </w:rPr>
              <w:t>权重分值</w:t>
            </w:r>
          </w:p>
        </w:tc>
        <w:tc>
          <w:tcPr>
            <w:tcW w:w="991" w:type="dxa"/>
            <w:vAlign w:val="center"/>
          </w:tcPr>
          <w:p w14:paraId="381780EF">
            <w:pPr>
              <w:adjustRightInd w:val="0"/>
              <w:snapToGrid w:val="0"/>
              <w:spacing w:before="24" w:beforeLines="10" w:after="24" w:afterLines="10"/>
              <w:jc w:val="center"/>
              <w:rPr>
                <w:rFonts w:hint="eastAsia" w:ascii="宋体" w:hAnsi="宋体"/>
                <w:bCs/>
                <w:highlight w:val="none"/>
              </w:rPr>
            </w:pPr>
            <w:r>
              <w:rPr>
                <w:rFonts w:ascii="宋体" w:hAnsi="宋体"/>
                <w:bCs/>
                <w:highlight w:val="none"/>
              </w:rPr>
              <w:t>各评分因</w:t>
            </w:r>
          </w:p>
          <w:p w14:paraId="78BA1083">
            <w:pPr>
              <w:adjustRightInd w:val="0"/>
              <w:snapToGrid w:val="0"/>
              <w:spacing w:before="24" w:beforeLines="10" w:after="24" w:afterLines="10"/>
              <w:jc w:val="center"/>
              <w:rPr>
                <w:rFonts w:hint="eastAsia" w:ascii="宋体" w:hAnsi="宋体"/>
                <w:bCs/>
                <w:highlight w:val="none"/>
              </w:rPr>
            </w:pPr>
            <w:r>
              <w:rPr>
                <w:rFonts w:ascii="宋体" w:hAnsi="宋体"/>
                <w:bCs/>
                <w:highlight w:val="none"/>
              </w:rPr>
              <w:t>素细分项</w:t>
            </w:r>
          </w:p>
        </w:tc>
        <w:tc>
          <w:tcPr>
            <w:tcW w:w="851" w:type="dxa"/>
            <w:tcBorders>
              <w:right w:val="single" w:color="auto" w:sz="4" w:space="0"/>
            </w:tcBorders>
            <w:vAlign w:val="center"/>
          </w:tcPr>
          <w:p w14:paraId="15185A91">
            <w:pPr>
              <w:adjustRightInd w:val="0"/>
              <w:snapToGrid w:val="0"/>
              <w:spacing w:before="24" w:beforeLines="10" w:after="24" w:afterLines="10"/>
              <w:jc w:val="center"/>
              <w:rPr>
                <w:rFonts w:hint="eastAsia" w:ascii="宋体" w:hAnsi="宋体"/>
                <w:bCs/>
                <w:highlight w:val="none"/>
              </w:rPr>
            </w:pPr>
            <w:r>
              <w:rPr>
                <w:rFonts w:ascii="宋体" w:hAnsi="宋体"/>
                <w:bCs/>
                <w:highlight w:val="none"/>
              </w:rPr>
              <w:t>分值</w:t>
            </w:r>
          </w:p>
        </w:tc>
        <w:tc>
          <w:tcPr>
            <w:tcW w:w="5271" w:type="dxa"/>
            <w:vMerge w:val="continue"/>
            <w:tcBorders>
              <w:left w:val="single" w:color="auto" w:sz="4" w:space="0"/>
              <w:right w:val="single" w:color="auto" w:sz="4" w:space="0"/>
            </w:tcBorders>
            <w:vAlign w:val="center"/>
          </w:tcPr>
          <w:p w14:paraId="62573295">
            <w:pPr>
              <w:adjustRightInd w:val="0"/>
              <w:snapToGrid w:val="0"/>
              <w:spacing w:before="24" w:beforeLines="10" w:after="24" w:afterLines="10"/>
              <w:jc w:val="center"/>
              <w:rPr>
                <w:rFonts w:hint="eastAsia" w:ascii="宋体" w:hAnsi="宋体"/>
                <w:bCs/>
                <w:highlight w:val="none"/>
              </w:rPr>
            </w:pPr>
          </w:p>
        </w:tc>
      </w:tr>
      <w:tr w14:paraId="7A6CD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86" w:hRule="atLeast"/>
        </w:trPr>
        <w:tc>
          <w:tcPr>
            <w:tcW w:w="587" w:type="dxa"/>
            <w:vMerge w:val="restart"/>
            <w:vAlign w:val="center"/>
          </w:tcPr>
          <w:p w14:paraId="303E7286">
            <w:pPr>
              <w:adjustRightInd w:val="0"/>
              <w:snapToGrid w:val="0"/>
              <w:spacing w:before="48" w:beforeLines="20" w:after="48" w:afterLines="20"/>
              <w:jc w:val="center"/>
              <w:rPr>
                <w:rFonts w:hint="eastAsia" w:ascii="宋体" w:hAnsi="宋体"/>
                <w:bCs/>
                <w:highlight w:val="none"/>
              </w:rPr>
            </w:pPr>
            <w:r>
              <w:rPr>
                <w:rFonts w:ascii="宋体" w:hAnsi="宋体"/>
                <w:bCs/>
                <w:highlight w:val="none"/>
              </w:rPr>
              <w:t>2.2.</w:t>
            </w:r>
            <w:r>
              <w:rPr>
                <w:rFonts w:hint="eastAsia" w:ascii="宋体" w:hAnsi="宋体"/>
                <w:bCs/>
                <w:highlight w:val="none"/>
              </w:rPr>
              <w:t>2</w:t>
            </w:r>
            <w:r>
              <w:rPr>
                <w:rFonts w:ascii="宋体" w:hAnsi="宋体"/>
                <w:bCs/>
                <w:highlight w:val="none"/>
              </w:rPr>
              <w:t>（</w:t>
            </w:r>
            <w:r>
              <w:rPr>
                <w:rFonts w:hint="eastAsia" w:ascii="宋体" w:hAnsi="宋体"/>
                <w:bCs/>
                <w:highlight w:val="none"/>
              </w:rPr>
              <w:t>3</w:t>
            </w:r>
            <w:r>
              <w:rPr>
                <w:rFonts w:ascii="宋体" w:hAnsi="宋体"/>
                <w:bCs/>
                <w:highlight w:val="none"/>
              </w:rPr>
              <w:t>）</w:t>
            </w:r>
          </w:p>
        </w:tc>
        <w:tc>
          <w:tcPr>
            <w:tcW w:w="500" w:type="dxa"/>
            <w:vMerge w:val="restart"/>
            <w:vAlign w:val="center"/>
          </w:tcPr>
          <w:p w14:paraId="66BC5D50">
            <w:pPr>
              <w:adjustRightInd w:val="0"/>
              <w:snapToGrid w:val="0"/>
              <w:spacing w:before="48" w:beforeLines="20" w:after="48" w:afterLines="20"/>
              <w:ind w:left="113" w:right="113"/>
              <w:jc w:val="center"/>
              <w:rPr>
                <w:rFonts w:hint="eastAsia" w:ascii="宋体" w:hAnsi="宋体"/>
                <w:bCs/>
                <w:highlight w:val="none"/>
              </w:rPr>
            </w:pPr>
            <w:r>
              <w:rPr>
                <w:rFonts w:hint="eastAsia" w:ascii="宋体" w:hAnsi="宋体"/>
                <w:bCs/>
                <w:highlight w:val="none"/>
              </w:rPr>
              <w:t>其他因素</w:t>
            </w:r>
          </w:p>
        </w:tc>
        <w:tc>
          <w:tcPr>
            <w:tcW w:w="502" w:type="dxa"/>
            <w:vAlign w:val="center"/>
          </w:tcPr>
          <w:p w14:paraId="6354AFB6">
            <w:pPr>
              <w:adjustRightInd w:val="0"/>
              <w:snapToGrid w:val="0"/>
              <w:spacing w:before="48" w:beforeLines="20" w:after="48" w:afterLines="20"/>
              <w:ind w:left="113" w:right="113"/>
              <w:jc w:val="center"/>
              <w:rPr>
                <w:rFonts w:hint="eastAsia" w:ascii="宋体" w:hAnsi="宋体"/>
                <w:bCs/>
                <w:highlight w:val="none"/>
              </w:rPr>
            </w:pPr>
            <w:r>
              <w:rPr>
                <w:rFonts w:hint="eastAsia" w:ascii="宋体" w:hAnsi="宋体"/>
                <w:bCs/>
                <w:highlight w:val="none"/>
              </w:rPr>
              <w:t>企业业绩</w:t>
            </w:r>
          </w:p>
        </w:tc>
        <w:tc>
          <w:tcPr>
            <w:tcW w:w="993" w:type="dxa"/>
            <w:vAlign w:val="center"/>
          </w:tcPr>
          <w:p w14:paraId="42E5B74D">
            <w:pPr>
              <w:adjustRightInd w:val="0"/>
              <w:snapToGrid w:val="0"/>
              <w:spacing w:before="48" w:beforeLines="20" w:after="48" w:afterLines="20" w:line="340" w:lineRule="exact"/>
              <w:jc w:val="center"/>
              <w:rPr>
                <w:rFonts w:hint="eastAsia" w:ascii="宋体" w:hAnsi="宋体"/>
                <w:bCs/>
                <w:highlight w:val="none"/>
              </w:rPr>
            </w:pPr>
            <w:r>
              <w:rPr>
                <w:rFonts w:hint="eastAsia" w:ascii="宋体" w:hAnsi="宋体"/>
                <w:bCs/>
                <w:highlight w:val="none"/>
              </w:rPr>
              <w:t>2</w:t>
            </w:r>
            <w:r>
              <w:rPr>
                <w:rFonts w:ascii="宋体" w:hAnsi="宋体"/>
                <w:bCs/>
                <w:highlight w:val="none"/>
              </w:rPr>
              <w:t>0分</w:t>
            </w:r>
          </w:p>
        </w:tc>
        <w:tc>
          <w:tcPr>
            <w:tcW w:w="991" w:type="dxa"/>
            <w:vAlign w:val="center"/>
          </w:tcPr>
          <w:p w14:paraId="52929941">
            <w:pPr>
              <w:adjustRightInd w:val="0"/>
              <w:snapToGrid w:val="0"/>
              <w:spacing w:before="48" w:beforeLines="20" w:after="48" w:afterLines="20" w:line="340" w:lineRule="exact"/>
              <w:jc w:val="center"/>
              <w:rPr>
                <w:rFonts w:hint="eastAsia" w:ascii="宋体" w:hAnsi="宋体"/>
                <w:bCs/>
                <w:highlight w:val="none"/>
              </w:rPr>
            </w:pPr>
            <w:r>
              <w:rPr>
                <w:rFonts w:hint="eastAsia" w:ascii="宋体" w:hAnsi="宋体"/>
                <w:bCs/>
                <w:highlight w:val="none"/>
              </w:rPr>
              <w:t>企业</w:t>
            </w:r>
          </w:p>
          <w:p w14:paraId="01B5EB2E">
            <w:pPr>
              <w:adjustRightInd w:val="0"/>
              <w:snapToGrid w:val="0"/>
              <w:spacing w:before="48" w:beforeLines="20" w:after="48" w:afterLines="20" w:line="340" w:lineRule="exact"/>
              <w:jc w:val="center"/>
              <w:rPr>
                <w:rFonts w:hint="eastAsia" w:ascii="宋体" w:hAnsi="宋体"/>
                <w:bCs/>
                <w:szCs w:val="21"/>
                <w:highlight w:val="none"/>
              </w:rPr>
            </w:pPr>
            <w:r>
              <w:rPr>
                <w:rFonts w:hint="eastAsia" w:ascii="宋体" w:hAnsi="宋体"/>
                <w:bCs/>
                <w:highlight w:val="none"/>
              </w:rPr>
              <w:t>业绩</w:t>
            </w:r>
          </w:p>
        </w:tc>
        <w:tc>
          <w:tcPr>
            <w:tcW w:w="851" w:type="dxa"/>
            <w:vAlign w:val="center"/>
          </w:tcPr>
          <w:p w14:paraId="3B0BEDE5">
            <w:pPr>
              <w:adjustRightInd w:val="0"/>
              <w:snapToGrid w:val="0"/>
              <w:spacing w:before="48" w:beforeLines="20" w:after="48" w:afterLines="20" w:line="340" w:lineRule="exact"/>
              <w:jc w:val="center"/>
              <w:rPr>
                <w:rFonts w:hint="eastAsia" w:ascii="宋体" w:hAnsi="宋体"/>
                <w:bCs/>
                <w:szCs w:val="21"/>
                <w:highlight w:val="none"/>
              </w:rPr>
            </w:pPr>
            <w:r>
              <w:rPr>
                <w:rFonts w:hint="eastAsia" w:ascii="宋体" w:hAnsi="宋体"/>
                <w:bCs/>
                <w:highlight w:val="none"/>
              </w:rPr>
              <w:t>20</w:t>
            </w:r>
          </w:p>
        </w:tc>
        <w:tc>
          <w:tcPr>
            <w:tcW w:w="5271" w:type="dxa"/>
            <w:vAlign w:val="center"/>
          </w:tcPr>
          <w:p w14:paraId="43D1E9A7">
            <w:pPr>
              <w:pStyle w:val="26"/>
              <w:spacing w:line="320" w:lineRule="exact"/>
              <w:rPr>
                <w:bCs/>
                <w:highlight w:val="none"/>
              </w:rPr>
            </w:pPr>
            <w:bookmarkStart w:id="124" w:name="OLE_LINK18"/>
            <w:r>
              <w:rPr>
                <w:rFonts w:hint="eastAsia"/>
                <w:bCs/>
                <w:highlight w:val="none"/>
              </w:rPr>
              <w:t>投标人通过形式评审与响应性评审、资格评审得12分；2020年1月1日后（两阶段验收工程以交工时间为准，一阶段验收工程以交工或竣工时间为准），完成过</w:t>
            </w:r>
            <w:r>
              <w:rPr>
                <w:rFonts w:hint="eastAsia" w:hAnsi="宋体"/>
                <w:bCs/>
                <w:highlight w:val="none"/>
              </w:rPr>
              <w:t>1项(指1个承包合同)二级或以上公路养护工程施工</w:t>
            </w:r>
            <w:r>
              <w:rPr>
                <w:rFonts w:hint="eastAsia"/>
                <w:bCs/>
                <w:highlight w:val="none"/>
              </w:rPr>
              <w:t>业绩加4分，最多加8分。</w:t>
            </w:r>
          </w:p>
          <w:p w14:paraId="54A16F0B">
            <w:pPr>
              <w:adjustRightInd w:val="0"/>
              <w:snapToGrid w:val="0"/>
              <w:spacing w:before="48" w:beforeLines="20" w:after="48" w:afterLines="20"/>
              <w:jc w:val="left"/>
              <w:rPr>
                <w:rFonts w:hint="eastAsia" w:ascii="楷体" w:hAnsi="楷体" w:eastAsia="楷体"/>
                <w:szCs w:val="21"/>
                <w:highlight w:val="none"/>
              </w:rPr>
            </w:pPr>
            <w:r>
              <w:rPr>
                <w:rFonts w:hint="eastAsia" w:ascii="楷体" w:hAnsi="楷体" w:eastAsia="楷体"/>
                <w:bCs/>
                <w:highlight w:val="none"/>
              </w:rPr>
              <w:t>注：</w:t>
            </w:r>
            <w:r>
              <w:rPr>
                <w:rFonts w:hint="eastAsia" w:ascii="楷体" w:hAnsi="楷体" w:eastAsia="楷体"/>
                <w:szCs w:val="21"/>
                <w:highlight w:val="none"/>
              </w:rPr>
              <w:t xml:space="preserve"> </w:t>
            </w:r>
          </w:p>
          <w:p w14:paraId="502DDD1A">
            <w:pPr>
              <w:adjustRightInd w:val="0"/>
              <w:snapToGrid w:val="0"/>
              <w:spacing w:before="48" w:beforeLines="20" w:after="48" w:afterLines="20"/>
              <w:jc w:val="left"/>
              <w:rPr>
                <w:rFonts w:hint="eastAsia" w:ascii="楷体" w:hAnsi="楷体" w:eastAsia="楷体"/>
                <w:szCs w:val="21"/>
                <w:highlight w:val="none"/>
              </w:rPr>
            </w:pPr>
            <w:r>
              <w:rPr>
                <w:rFonts w:hint="eastAsia" w:ascii="楷体" w:hAnsi="楷体" w:eastAsia="楷体"/>
                <w:szCs w:val="21"/>
                <w:highlight w:val="none"/>
              </w:rPr>
              <w:t>①小修养护和日常养护不计。</w:t>
            </w:r>
          </w:p>
          <w:p w14:paraId="53B24E26">
            <w:pPr>
              <w:adjustRightInd w:val="0"/>
              <w:snapToGrid w:val="0"/>
              <w:spacing w:before="48" w:beforeLines="20" w:after="48" w:afterLines="20"/>
              <w:jc w:val="left"/>
              <w:rPr>
                <w:rFonts w:hint="eastAsia" w:hAnsi="宋体"/>
                <w:bCs/>
                <w:highlight w:val="none"/>
              </w:rPr>
            </w:pPr>
            <w:r>
              <w:rPr>
                <w:rFonts w:hint="eastAsia" w:ascii="楷体" w:hAnsi="楷体" w:eastAsia="楷体"/>
                <w:szCs w:val="21"/>
                <w:highlight w:val="none"/>
              </w:rPr>
              <w:t>②以联合体形式参与投标的，只计算联合体牵头人业绩。</w:t>
            </w:r>
            <w:bookmarkEnd w:id="124"/>
          </w:p>
        </w:tc>
      </w:tr>
      <w:tr w14:paraId="77DBA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587" w:type="dxa"/>
            <w:vMerge w:val="continue"/>
            <w:vAlign w:val="center"/>
          </w:tcPr>
          <w:p w14:paraId="42413FA8">
            <w:pPr>
              <w:adjustRightInd w:val="0"/>
              <w:snapToGrid w:val="0"/>
              <w:spacing w:before="48" w:beforeLines="20" w:after="48" w:afterLines="20"/>
              <w:jc w:val="center"/>
              <w:rPr>
                <w:rFonts w:hint="eastAsia" w:ascii="宋体" w:hAnsi="宋体"/>
                <w:bCs/>
                <w:highlight w:val="none"/>
              </w:rPr>
            </w:pPr>
          </w:p>
        </w:tc>
        <w:tc>
          <w:tcPr>
            <w:tcW w:w="500" w:type="dxa"/>
            <w:vMerge w:val="continue"/>
            <w:vAlign w:val="center"/>
          </w:tcPr>
          <w:p w14:paraId="5C33E872">
            <w:pPr>
              <w:adjustRightInd w:val="0"/>
              <w:snapToGrid w:val="0"/>
              <w:spacing w:before="48" w:beforeLines="20" w:after="48" w:afterLines="20"/>
              <w:ind w:left="113" w:right="113"/>
              <w:jc w:val="center"/>
              <w:rPr>
                <w:rFonts w:hint="eastAsia" w:ascii="宋体" w:hAnsi="宋体"/>
                <w:bCs/>
                <w:highlight w:val="none"/>
              </w:rPr>
            </w:pPr>
          </w:p>
        </w:tc>
        <w:tc>
          <w:tcPr>
            <w:tcW w:w="502" w:type="dxa"/>
            <w:vMerge w:val="restart"/>
            <w:vAlign w:val="center"/>
          </w:tcPr>
          <w:p w14:paraId="4E694424">
            <w:pPr>
              <w:adjustRightInd w:val="0"/>
              <w:snapToGrid w:val="0"/>
              <w:spacing w:before="48" w:beforeLines="20" w:after="48" w:afterLines="20"/>
              <w:ind w:left="113" w:right="113"/>
              <w:jc w:val="center"/>
              <w:rPr>
                <w:rFonts w:hint="eastAsia" w:ascii="宋体" w:hAnsi="宋体"/>
                <w:bCs/>
                <w:highlight w:val="none"/>
              </w:rPr>
            </w:pPr>
            <w:r>
              <w:rPr>
                <w:rFonts w:hint="eastAsia" w:ascii="宋体" w:hAnsi="宋体"/>
                <w:bCs/>
                <w:highlight w:val="none"/>
              </w:rPr>
              <w:t>履约信誉</w:t>
            </w:r>
          </w:p>
        </w:tc>
        <w:tc>
          <w:tcPr>
            <w:tcW w:w="993" w:type="dxa"/>
            <w:vAlign w:val="center"/>
          </w:tcPr>
          <w:p w14:paraId="3767F40B">
            <w:pPr>
              <w:adjustRightInd w:val="0"/>
              <w:snapToGrid w:val="0"/>
              <w:spacing w:before="48" w:beforeLines="20" w:after="48" w:afterLines="20" w:line="340" w:lineRule="exact"/>
              <w:jc w:val="center"/>
              <w:rPr>
                <w:rFonts w:hint="eastAsia" w:ascii="宋体" w:hAnsi="宋体"/>
                <w:bCs/>
                <w:highlight w:val="none"/>
              </w:rPr>
            </w:pPr>
            <w:r>
              <w:rPr>
                <w:rFonts w:hint="eastAsia" w:ascii="宋体" w:hAnsi="宋体"/>
                <w:bCs/>
                <w:highlight w:val="none"/>
              </w:rPr>
              <w:t>15分</w:t>
            </w:r>
          </w:p>
        </w:tc>
        <w:tc>
          <w:tcPr>
            <w:tcW w:w="991" w:type="dxa"/>
            <w:vAlign w:val="center"/>
          </w:tcPr>
          <w:p w14:paraId="2A0A111B">
            <w:pPr>
              <w:adjustRightInd w:val="0"/>
              <w:snapToGrid w:val="0"/>
              <w:spacing w:before="48" w:beforeLines="20" w:after="48" w:afterLines="20" w:line="340" w:lineRule="exact"/>
              <w:jc w:val="left"/>
              <w:rPr>
                <w:rFonts w:hint="eastAsia" w:ascii="宋体" w:hAnsi="宋体"/>
                <w:bCs/>
                <w:highlight w:val="none"/>
              </w:rPr>
            </w:pPr>
            <w:r>
              <w:rPr>
                <w:rFonts w:hint="eastAsia" w:ascii="宋体" w:hAnsi="宋体"/>
                <w:bCs/>
                <w:highlight w:val="none"/>
              </w:rPr>
              <w:t>投标人企业信用等级</w:t>
            </w:r>
          </w:p>
        </w:tc>
        <w:tc>
          <w:tcPr>
            <w:tcW w:w="851" w:type="dxa"/>
            <w:vAlign w:val="center"/>
          </w:tcPr>
          <w:p w14:paraId="5F3EFABE">
            <w:pPr>
              <w:adjustRightInd w:val="0"/>
              <w:snapToGrid w:val="0"/>
              <w:spacing w:before="48" w:beforeLines="20" w:after="48" w:afterLines="20" w:line="340" w:lineRule="exact"/>
              <w:jc w:val="center"/>
              <w:rPr>
                <w:rFonts w:hint="eastAsia" w:ascii="宋体" w:hAnsi="宋体"/>
                <w:bCs/>
                <w:highlight w:val="none"/>
              </w:rPr>
            </w:pPr>
            <w:r>
              <w:rPr>
                <w:rFonts w:hint="eastAsia" w:ascii="宋体" w:hAnsi="宋体"/>
                <w:bCs/>
                <w:highlight w:val="none"/>
              </w:rPr>
              <w:t xml:space="preserve">15 </w:t>
            </w:r>
          </w:p>
        </w:tc>
        <w:tc>
          <w:tcPr>
            <w:tcW w:w="5271" w:type="dxa"/>
            <w:vAlign w:val="center"/>
          </w:tcPr>
          <w:p w14:paraId="2C7FE401">
            <w:pPr>
              <w:adjustRightInd w:val="0"/>
              <w:snapToGrid w:val="0"/>
              <w:spacing w:before="48" w:beforeLines="20" w:after="48" w:afterLines="20"/>
              <w:jc w:val="left"/>
              <w:rPr>
                <w:rFonts w:hint="eastAsia" w:ascii="宋体" w:hAnsi="宋体"/>
                <w:highlight w:val="none"/>
              </w:rPr>
            </w:pPr>
            <w:bookmarkStart w:id="125" w:name="OLE_LINK60"/>
            <w:r>
              <w:rPr>
                <w:rFonts w:hint="eastAsia" w:ascii="宋体" w:hAnsi="宋体"/>
                <w:highlight w:val="none"/>
              </w:rPr>
              <w:t>信用评价AA级得15分；</w:t>
            </w:r>
          </w:p>
          <w:p w14:paraId="415AB93A">
            <w:pPr>
              <w:adjustRightInd w:val="0"/>
              <w:snapToGrid w:val="0"/>
              <w:spacing w:before="48" w:beforeLines="20" w:after="48" w:afterLines="20"/>
              <w:jc w:val="left"/>
              <w:rPr>
                <w:rFonts w:hint="eastAsia" w:ascii="宋体" w:hAnsi="宋体"/>
                <w:highlight w:val="none"/>
              </w:rPr>
            </w:pPr>
            <w:r>
              <w:rPr>
                <w:rFonts w:hint="eastAsia" w:ascii="宋体" w:hAnsi="宋体"/>
                <w:highlight w:val="none"/>
              </w:rPr>
              <w:t>信用评价A级得12分；</w:t>
            </w:r>
          </w:p>
          <w:p w14:paraId="5080CF1E">
            <w:pPr>
              <w:adjustRightInd w:val="0"/>
              <w:snapToGrid w:val="0"/>
              <w:spacing w:before="48" w:beforeLines="20" w:after="48" w:afterLines="20"/>
              <w:jc w:val="left"/>
              <w:rPr>
                <w:rFonts w:hint="eastAsia" w:ascii="宋体" w:hAnsi="宋体"/>
                <w:highlight w:val="none"/>
              </w:rPr>
            </w:pPr>
            <w:r>
              <w:rPr>
                <w:rFonts w:hint="eastAsia" w:ascii="宋体" w:hAnsi="宋体"/>
                <w:highlight w:val="none"/>
              </w:rPr>
              <w:t>信用评价B 级得9分；</w:t>
            </w:r>
          </w:p>
          <w:p w14:paraId="7896A50F">
            <w:pPr>
              <w:adjustRightInd w:val="0"/>
              <w:snapToGrid w:val="0"/>
              <w:spacing w:before="48" w:beforeLines="20" w:after="48" w:afterLines="20"/>
              <w:jc w:val="left"/>
              <w:rPr>
                <w:rFonts w:hint="eastAsia" w:ascii="宋体" w:hAnsi="宋体"/>
                <w:highlight w:val="none"/>
              </w:rPr>
            </w:pPr>
            <w:r>
              <w:rPr>
                <w:rFonts w:hint="eastAsia" w:ascii="宋体" w:hAnsi="宋体"/>
                <w:highlight w:val="none"/>
              </w:rPr>
              <w:t>信用评价C级得6分；</w:t>
            </w:r>
          </w:p>
          <w:p w14:paraId="38A6F396">
            <w:pPr>
              <w:adjustRightInd w:val="0"/>
              <w:snapToGrid w:val="0"/>
              <w:spacing w:before="48" w:beforeLines="20" w:after="48" w:afterLines="20" w:line="340" w:lineRule="exact"/>
              <w:jc w:val="left"/>
              <w:rPr>
                <w:rFonts w:hint="eastAsia" w:ascii="宋体" w:hAnsi="宋体"/>
                <w:bCs/>
                <w:highlight w:val="none"/>
              </w:rPr>
            </w:pPr>
            <w:r>
              <w:rPr>
                <w:rFonts w:hint="eastAsia" w:ascii="宋体" w:hAnsi="宋体"/>
                <w:highlight w:val="none"/>
              </w:rPr>
              <w:t>信用评价D级：拒绝投标。</w:t>
            </w:r>
            <w:bookmarkEnd w:id="125"/>
          </w:p>
        </w:tc>
      </w:tr>
      <w:tr w14:paraId="35D4E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587" w:type="dxa"/>
            <w:vMerge w:val="continue"/>
            <w:vAlign w:val="center"/>
          </w:tcPr>
          <w:p w14:paraId="3FCBB313">
            <w:pPr>
              <w:adjustRightInd w:val="0"/>
              <w:snapToGrid w:val="0"/>
              <w:spacing w:before="48" w:beforeLines="20" w:after="48" w:afterLines="20"/>
              <w:jc w:val="center"/>
              <w:rPr>
                <w:rFonts w:hint="eastAsia" w:ascii="楷体" w:hAnsi="楷体" w:eastAsia="楷体"/>
                <w:bCs/>
                <w:highlight w:val="none"/>
              </w:rPr>
            </w:pPr>
          </w:p>
        </w:tc>
        <w:tc>
          <w:tcPr>
            <w:tcW w:w="500" w:type="dxa"/>
            <w:vMerge w:val="continue"/>
            <w:vAlign w:val="center"/>
          </w:tcPr>
          <w:p w14:paraId="04A1C4D6">
            <w:pPr>
              <w:adjustRightInd w:val="0"/>
              <w:snapToGrid w:val="0"/>
              <w:spacing w:before="48" w:beforeLines="20" w:after="48" w:afterLines="20"/>
              <w:jc w:val="center"/>
              <w:rPr>
                <w:rFonts w:hint="eastAsia" w:ascii="楷体" w:hAnsi="楷体" w:eastAsia="楷体"/>
                <w:bCs/>
                <w:highlight w:val="none"/>
              </w:rPr>
            </w:pPr>
          </w:p>
        </w:tc>
        <w:tc>
          <w:tcPr>
            <w:tcW w:w="502" w:type="dxa"/>
            <w:vMerge w:val="continue"/>
            <w:vAlign w:val="center"/>
          </w:tcPr>
          <w:p w14:paraId="4D08EC8E">
            <w:pPr>
              <w:adjustRightInd w:val="0"/>
              <w:snapToGrid w:val="0"/>
              <w:spacing w:before="48" w:beforeLines="20" w:after="48" w:afterLines="20"/>
              <w:jc w:val="center"/>
              <w:rPr>
                <w:rFonts w:hint="eastAsia" w:ascii="楷体" w:hAnsi="楷体" w:eastAsia="楷体"/>
                <w:bCs/>
                <w:highlight w:val="none"/>
              </w:rPr>
            </w:pPr>
          </w:p>
        </w:tc>
        <w:tc>
          <w:tcPr>
            <w:tcW w:w="8106" w:type="dxa"/>
            <w:gridSpan w:val="4"/>
            <w:vAlign w:val="center"/>
          </w:tcPr>
          <w:p w14:paraId="3D6A0786">
            <w:pPr>
              <w:spacing w:line="277" w:lineRule="auto"/>
              <w:ind w:firstLine="420" w:firstLineChars="200"/>
              <w:rPr>
                <w:rFonts w:hint="eastAsia" w:ascii="宋体" w:hAnsi="宋体"/>
                <w:szCs w:val="21"/>
                <w:highlight w:val="none"/>
              </w:rPr>
            </w:pPr>
            <w:bookmarkStart w:id="126" w:name="OLE_LINK20"/>
            <w:r>
              <w:rPr>
                <w:rFonts w:hint="eastAsia" w:ascii="宋体" w:hAnsi="宋体"/>
                <w:bCs/>
                <w:szCs w:val="21"/>
                <w:highlight w:val="none"/>
              </w:rPr>
              <w:t>注：</w:t>
            </w:r>
            <w:r>
              <w:rPr>
                <w:rFonts w:ascii="宋体" w:hAnsi="宋体" w:cs="楷体"/>
                <w:szCs w:val="21"/>
                <w:highlight w:val="none"/>
              </w:rPr>
              <w:t xml:space="preserve">投标人的信用评价等级按照以下原则认定（如无前一条的信用评价结果，则依次应用下一条的信用评价结果）： </w:t>
            </w:r>
          </w:p>
          <w:p w14:paraId="27AF831D">
            <w:pPr>
              <w:widowControl/>
              <w:spacing w:line="360" w:lineRule="exact"/>
              <w:ind w:firstLine="420" w:firstLineChars="200"/>
              <w:jc w:val="left"/>
              <w:rPr>
                <w:rFonts w:hint="eastAsia" w:ascii="宋体" w:hAnsi="宋体" w:cs="楷体"/>
                <w:szCs w:val="21"/>
                <w:highlight w:val="none"/>
              </w:rPr>
            </w:pPr>
            <w:r>
              <w:rPr>
                <w:rFonts w:hint="eastAsia" w:ascii="宋体" w:hAnsi="宋体" w:cs="楷体"/>
                <w:szCs w:val="21"/>
                <w:highlight w:val="none"/>
              </w:rPr>
              <w:t>（1）</w:t>
            </w:r>
            <w:r>
              <w:rPr>
                <w:rFonts w:ascii="宋体" w:hAnsi="宋体" w:cs="楷体"/>
                <w:szCs w:val="21"/>
                <w:highlight w:val="none"/>
              </w:rPr>
              <w:t>《吉林省公路管理局 2024 年度普通干线公路养护工程企业信用评价公告》及《吉林省公路管理局2024年度普通干线公路养护工程企业信用评价调整结果公告》中投标人的信用等级。</w:t>
            </w:r>
          </w:p>
          <w:p w14:paraId="1345A470">
            <w:pPr>
              <w:widowControl/>
              <w:spacing w:line="360" w:lineRule="exact"/>
              <w:ind w:firstLine="420" w:firstLineChars="200"/>
              <w:jc w:val="left"/>
              <w:rPr>
                <w:rFonts w:hint="eastAsia" w:ascii="宋体" w:hAnsi="宋体" w:cs="楷体"/>
                <w:szCs w:val="21"/>
                <w:highlight w:val="none"/>
              </w:rPr>
            </w:pPr>
            <w:r>
              <w:rPr>
                <w:rFonts w:hint="eastAsia" w:ascii="宋体" w:hAnsi="宋体" w:cs="楷体"/>
                <w:szCs w:val="21"/>
                <w:highlight w:val="none"/>
              </w:rPr>
              <w:t>（2）</w:t>
            </w:r>
            <w:r>
              <w:rPr>
                <w:rFonts w:ascii="宋体" w:hAnsi="宋体" w:cs="楷体"/>
                <w:szCs w:val="21"/>
                <w:highlight w:val="none"/>
              </w:rPr>
              <w:t xml:space="preserve">《吉林省公路管理局 2023 年普通国省干线公路养护工程施工企业信用评价结果公告》中投标人的信用等级。 </w:t>
            </w:r>
          </w:p>
          <w:p w14:paraId="71C2194D">
            <w:pPr>
              <w:widowControl/>
              <w:spacing w:line="360" w:lineRule="exact"/>
              <w:ind w:firstLine="420" w:firstLineChars="200"/>
              <w:jc w:val="left"/>
              <w:rPr>
                <w:rFonts w:hint="eastAsia" w:ascii="宋体" w:hAnsi="宋体" w:cs="楷体"/>
                <w:szCs w:val="21"/>
                <w:highlight w:val="none"/>
              </w:rPr>
            </w:pPr>
            <w:r>
              <w:rPr>
                <w:rFonts w:hint="eastAsia" w:ascii="宋体" w:hAnsi="宋体" w:cs="楷体"/>
                <w:szCs w:val="21"/>
                <w:highlight w:val="none"/>
              </w:rPr>
              <w:t>（3）</w:t>
            </w:r>
            <w:r>
              <w:rPr>
                <w:rFonts w:ascii="宋体" w:hAnsi="宋体" w:cs="楷体"/>
                <w:szCs w:val="21"/>
                <w:highlight w:val="none"/>
              </w:rPr>
              <w:t xml:space="preserve">“全国公路建设市场监督管理系统/全国公路从业单位信用评价结果”中，投标人以施工企业获得的2023年度信用等级。但不得高于其原吉林省普通国省干线公路养护工程施工企业信用评价等级（如有）的上一等级。 </w:t>
            </w:r>
          </w:p>
          <w:p w14:paraId="5C06B683">
            <w:pPr>
              <w:widowControl/>
              <w:spacing w:line="360" w:lineRule="exact"/>
              <w:ind w:firstLine="420" w:firstLineChars="200"/>
              <w:jc w:val="left"/>
              <w:rPr>
                <w:rFonts w:hint="eastAsia" w:ascii="宋体" w:hAnsi="宋体" w:cs="楷体"/>
                <w:szCs w:val="21"/>
                <w:highlight w:val="none"/>
              </w:rPr>
            </w:pPr>
            <w:r>
              <w:rPr>
                <w:rFonts w:hint="eastAsia" w:ascii="宋体" w:hAnsi="宋体" w:cs="楷体"/>
                <w:szCs w:val="21"/>
                <w:highlight w:val="none"/>
              </w:rPr>
              <w:t>（4）</w:t>
            </w:r>
            <w:r>
              <w:rPr>
                <w:rFonts w:ascii="宋体" w:hAnsi="宋体" w:cs="楷体"/>
                <w:szCs w:val="21"/>
                <w:highlight w:val="none"/>
              </w:rPr>
              <w:t>无以上综合评价结果的，根据“全国公路建设市场监督管理系统/不良行为记录”查询结果，若无不良信用记录，按A级对待；若有不良信用记录，视其严重程度按B级及以下对待。</w:t>
            </w:r>
          </w:p>
          <w:p w14:paraId="2E2AAA52">
            <w:pPr>
              <w:widowControl/>
              <w:spacing w:line="296" w:lineRule="auto"/>
              <w:ind w:firstLine="420" w:firstLineChars="200"/>
              <w:jc w:val="left"/>
              <w:rPr>
                <w:rFonts w:hint="eastAsia" w:ascii="楷体" w:hAnsi="楷体" w:eastAsia="楷体"/>
                <w:bCs/>
                <w:szCs w:val="21"/>
                <w:highlight w:val="none"/>
              </w:rPr>
            </w:pPr>
            <w:r>
              <w:rPr>
                <w:rFonts w:ascii="宋体" w:hAnsi="宋体" w:cs="楷体"/>
                <w:szCs w:val="21"/>
                <w:highlight w:val="none"/>
              </w:rPr>
              <w:t>联合体参与投标的，其信用等级按照联合体中最低等级方认定</w:t>
            </w:r>
            <w:bookmarkEnd w:id="126"/>
            <w:r>
              <w:rPr>
                <w:rFonts w:hint="eastAsia" w:ascii="宋体" w:hAnsi="宋体" w:cs="楷体"/>
                <w:szCs w:val="21"/>
                <w:highlight w:val="none"/>
              </w:rPr>
              <w:t>。</w:t>
            </w:r>
          </w:p>
        </w:tc>
      </w:tr>
      <w:tr w14:paraId="2F97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9695" w:type="dxa"/>
            <w:gridSpan w:val="7"/>
            <w:vAlign w:val="center"/>
          </w:tcPr>
          <w:p w14:paraId="43BF200E">
            <w:pPr>
              <w:adjustRightInd w:val="0"/>
              <w:snapToGrid w:val="0"/>
              <w:spacing w:before="48" w:beforeLines="20" w:after="48" w:afterLines="20" w:line="340" w:lineRule="exact"/>
              <w:jc w:val="left"/>
              <w:rPr>
                <w:rFonts w:hint="eastAsia" w:ascii="楷体" w:hAnsi="楷体" w:eastAsia="楷体"/>
                <w:bCs/>
                <w:highlight w:val="none"/>
              </w:rPr>
            </w:pPr>
            <w:r>
              <w:rPr>
                <w:rFonts w:hint="eastAsia" w:ascii="楷体" w:hAnsi="楷体" w:eastAsia="楷体"/>
                <w:bCs/>
                <w:highlight w:val="none"/>
              </w:rPr>
              <w:t>需要补充的其他内容：</w:t>
            </w:r>
          </w:p>
          <w:p w14:paraId="50A7CB80">
            <w:pPr>
              <w:adjustRightInd w:val="0"/>
              <w:snapToGrid w:val="0"/>
              <w:spacing w:line="360" w:lineRule="exact"/>
              <w:ind w:firstLine="210" w:firstLineChars="100"/>
              <w:rPr>
                <w:rFonts w:hint="eastAsia" w:ascii="宋体" w:hAnsi="宋体"/>
                <w:bCs/>
                <w:szCs w:val="21"/>
                <w:highlight w:val="none"/>
              </w:rPr>
            </w:pPr>
            <w:r>
              <w:rPr>
                <w:rFonts w:hint="eastAsia" w:ascii="宋体" w:hAnsi="宋体"/>
                <w:bCs/>
                <w:szCs w:val="21"/>
                <w:highlight w:val="none"/>
              </w:rPr>
              <w:t>一、</w:t>
            </w:r>
            <w:r>
              <w:rPr>
                <w:rFonts w:ascii="宋体" w:hAnsi="宋体"/>
                <w:bCs/>
                <w:szCs w:val="21"/>
                <w:highlight w:val="none"/>
              </w:rPr>
              <w:t>如同一标段出现多名投标人的</w:t>
            </w:r>
            <w:r>
              <w:rPr>
                <w:rFonts w:hint="eastAsia" w:ascii="宋体" w:hAnsi="宋体"/>
                <w:bCs/>
                <w:szCs w:val="21"/>
                <w:highlight w:val="none"/>
              </w:rPr>
              <w:t>商务和技术得分</w:t>
            </w:r>
            <w:r>
              <w:rPr>
                <w:rFonts w:ascii="宋体" w:hAnsi="宋体"/>
                <w:bCs/>
                <w:szCs w:val="21"/>
                <w:highlight w:val="none"/>
              </w:rPr>
              <w:t>相等时，则按照以下</w:t>
            </w:r>
            <w:r>
              <w:rPr>
                <w:rFonts w:hint="eastAsia" w:ascii="宋体" w:hAnsi="宋体"/>
                <w:bCs/>
                <w:szCs w:val="21"/>
                <w:highlight w:val="none"/>
              </w:rPr>
              <w:t>优先顺序进行</w:t>
            </w:r>
            <w:r>
              <w:rPr>
                <w:rFonts w:ascii="宋体" w:hAnsi="宋体"/>
                <w:bCs/>
                <w:szCs w:val="21"/>
                <w:highlight w:val="none"/>
              </w:rPr>
              <w:t>排序：</w:t>
            </w:r>
          </w:p>
          <w:p w14:paraId="5036BF65">
            <w:pPr>
              <w:adjustRightInd w:val="0"/>
              <w:snapToGrid w:val="0"/>
              <w:spacing w:line="360" w:lineRule="exact"/>
              <w:ind w:firstLine="210" w:firstLineChars="100"/>
              <w:rPr>
                <w:rFonts w:hint="eastAsia" w:ascii="宋体" w:hAnsi="宋体"/>
                <w:bCs/>
                <w:szCs w:val="21"/>
                <w:highlight w:val="none"/>
              </w:rPr>
            </w:pPr>
            <w:r>
              <w:rPr>
                <w:rFonts w:hint="eastAsia" w:ascii="宋体" w:hAnsi="宋体"/>
                <w:bCs/>
                <w:szCs w:val="21"/>
                <w:highlight w:val="none"/>
              </w:rPr>
              <w:t>a</w:t>
            </w:r>
            <w:r>
              <w:rPr>
                <w:rFonts w:ascii="宋体" w:hAnsi="宋体"/>
                <w:bCs/>
                <w:szCs w:val="21"/>
                <w:highlight w:val="none"/>
              </w:rPr>
              <w:t>.</w:t>
            </w:r>
            <w:r>
              <w:rPr>
                <w:rFonts w:hint="eastAsia" w:ascii="宋体" w:hAnsi="宋体"/>
                <w:bCs/>
                <w:szCs w:val="21"/>
                <w:highlight w:val="none"/>
              </w:rPr>
              <w:t>履约信誉得分较高的投标人；</w:t>
            </w:r>
          </w:p>
          <w:p w14:paraId="5F5973FC">
            <w:pPr>
              <w:adjustRightInd w:val="0"/>
              <w:snapToGrid w:val="0"/>
              <w:spacing w:line="360" w:lineRule="exact"/>
              <w:ind w:firstLine="210" w:firstLineChars="100"/>
              <w:rPr>
                <w:rFonts w:hint="eastAsia" w:ascii="宋体" w:hAnsi="宋体"/>
                <w:bCs/>
                <w:szCs w:val="21"/>
                <w:highlight w:val="none"/>
              </w:rPr>
            </w:pPr>
            <w:r>
              <w:rPr>
                <w:rFonts w:hint="eastAsia" w:ascii="宋体" w:hAnsi="宋体"/>
                <w:bCs/>
                <w:szCs w:val="21"/>
                <w:highlight w:val="none"/>
              </w:rPr>
              <w:t>b</w:t>
            </w:r>
            <w:r>
              <w:rPr>
                <w:rFonts w:ascii="宋体" w:hAnsi="宋体"/>
                <w:bCs/>
                <w:szCs w:val="21"/>
                <w:highlight w:val="none"/>
              </w:rPr>
              <w:t>.施工组织设计得分较高</w:t>
            </w:r>
            <w:r>
              <w:rPr>
                <w:rFonts w:hint="eastAsia" w:ascii="宋体" w:hAnsi="宋体"/>
                <w:bCs/>
                <w:szCs w:val="21"/>
                <w:highlight w:val="none"/>
              </w:rPr>
              <w:t>的投标人</w:t>
            </w:r>
            <w:r>
              <w:rPr>
                <w:rFonts w:ascii="宋体" w:hAnsi="宋体"/>
                <w:bCs/>
                <w:szCs w:val="21"/>
                <w:highlight w:val="none"/>
              </w:rPr>
              <w:t>；</w:t>
            </w:r>
          </w:p>
          <w:p w14:paraId="05C372C7">
            <w:pPr>
              <w:adjustRightInd w:val="0"/>
              <w:snapToGrid w:val="0"/>
              <w:spacing w:line="360" w:lineRule="exact"/>
              <w:ind w:firstLine="210" w:firstLineChars="100"/>
              <w:rPr>
                <w:rFonts w:hint="eastAsia" w:ascii="宋体" w:hAnsi="宋体"/>
                <w:bCs/>
                <w:szCs w:val="21"/>
                <w:highlight w:val="none"/>
              </w:rPr>
            </w:pPr>
            <w:r>
              <w:rPr>
                <w:rFonts w:hint="eastAsia" w:ascii="宋体" w:hAnsi="宋体"/>
                <w:bCs/>
                <w:szCs w:val="21"/>
                <w:highlight w:val="none"/>
              </w:rPr>
              <w:t>c</w:t>
            </w:r>
            <w:r>
              <w:rPr>
                <w:rFonts w:ascii="宋体" w:hAnsi="宋体"/>
                <w:bCs/>
                <w:szCs w:val="21"/>
                <w:highlight w:val="none"/>
              </w:rPr>
              <w:t>.</w:t>
            </w:r>
            <w:r>
              <w:rPr>
                <w:rFonts w:hint="eastAsia" w:ascii="宋体" w:hAnsi="宋体"/>
                <w:bCs/>
                <w:szCs w:val="21"/>
                <w:highlight w:val="none"/>
              </w:rPr>
              <w:t>主要人员</w:t>
            </w:r>
            <w:r>
              <w:rPr>
                <w:rFonts w:ascii="宋体" w:hAnsi="宋体"/>
                <w:bCs/>
                <w:szCs w:val="21"/>
                <w:highlight w:val="none"/>
              </w:rPr>
              <w:t>得分较高</w:t>
            </w:r>
            <w:r>
              <w:rPr>
                <w:rFonts w:hint="eastAsia" w:ascii="宋体" w:hAnsi="宋体"/>
                <w:bCs/>
                <w:szCs w:val="21"/>
                <w:highlight w:val="none"/>
              </w:rPr>
              <w:t>的投标人</w:t>
            </w:r>
            <w:r>
              <w:rPr>
                <w:rFonts w:ascii="宋体" w:hAnsi="宋体"/>
                <w:bCs/>
                <w:szCs w:val="21"/>
                <w:highlight w:val="none"/>
              </w:rPr>
              <w:t>。</w:t>
            </w:r>
          </w:p>
          <w:p w14:paraId="3616E2CF">
            <w:pPr>
              <w:adjustRightInd w:val="0"/>
              <w:snapToGrid w:val="0"/>
              <w:spacing w:before="48" w:beforeLines="20" w:after="48" w:afterLines="20" w:line="360" w:lineRule="exact"/>
              <w:jc w:val="left"/>
              <w:rPr>
                <w:rFonts w:hint="eastAsia" w:ascii="宋体" w:hAnsi="宋体"/>
                <w:bCs/>
                <w:szCs w:val="21"/>
                <w:highlight w:val="none"/>
              </w:rPr>
            </w:pPr>
            <w:r>
              <w:rPr>
                <w:rFonts w:ascii="宋体" w:hAnsi="宋体"/>
                <w:bCs/>
                <w:szCs w:val="21"/>
                <w:highlight w:val="none"/>
              </w:rPr>
              <w:t>若以上各项评分因素得分都相等，则通过评委会投票表决，推荐票数多的投标人</w:t>
            </w:r>
            <w:r>
              <w:rPr>
                <w:rFonts w:hint="eastAsia" w:ascii="宋体" w:hAnsi="宋体"/>
                <w:bCs/>
                <w:szCs w:val="21"/>
                <w:highlight w:val="none"/>
              </w:rPr>
              <w:t>商务和技术得分</w:t>
            </w:r>
            <w:r>
              <w:rPr>
                <w:rFonts w:ascii="宋体" w:hAnsi="宋体"/>
                <w:bCs/>
                <w:szCs w:val="21"/>
                <w:highlight w:val="none"/>
              </w:rPr>
              <w:t>排序在先</w:t>
            </w:r>
            <w:r>
              <w:rPr>
                <w:rFonts w:hint="eastAsia" w:ascii="宋体" w:hAnsi="宋体"/>
                <w:bCs/>
                <w:szCs w:val="21"/>
                <w:highlight w:val="none"/>
              </w:rPr>
              <w:t>。</w:t>
            </w:r>
          </w:p>
          <w:p w14:paraId="2707E09D">
            <w:pPr>
              <w:adjustRightInd w:val="0"/>
              <w:snapToGrid w:val="0"/>
              <w:spacing w:before="48" w:beforeLines="20" w:after="48" w:afterLines="20" w:line="360" w:lineRule="exact"/>
              <w:ind w:firstLine="210" w:firstLineChars="100"/>
              <w:jc w:val="left"/>
              <w:rPr>
                <w:rFonts w:hint="eastAsia" w:ascii="宋体" w:hAnsi="宋体"/>
                <w:bCs/>
                <w:szCs w:val="21"/>
                <w:highlight w:val="none"/>
              </w:rPr>
            </w:pPr>
            <w:r>
              <w:rPr>
                <w:rFonts w:hint="eastAsia" w:ascii="宋体" w:hAnsi="宋体"/>
                <w:bCs/>
                <w:szCs w:val="21"/>
                <w:highlight w:val="none"/>
              </w:rPr>
              <w:t>二、各评分因素（履约信誉评分项除外）得分一般不得低于其权重分值的60%，且各评分因素得分应以评标委员会各成员的打分平均值确定，评标委员会成员总数为七人以上时，该平均值以去掉一个最高分和一个最低分后计算。评标委员会成员对某一项评分因素的评分低于权重分值60%的，应在评标报告中作出说明。所有评分分值均保留至小数点后两位，小数点后第三位四舍五入。</w:t>
            </w:r>
          </w:p>
          <w:p w14:paraId="3248D81B">
            <w:pPr>
              <w:widowControl/>
              <w:shd w:val="clear" w:color="auto" w:fill="FFFFFF"/>
              <w:adjustRightInd w:val="0"/>
              <w:spacing w:line="360" w:lineRule="exact"/>
              <w:ind w:firstLine="210" w:firstLineChars="100"/>
              <w:jc w:val="left"/>
              <w:rPr>
                <w:rFonts w:hint="eastAsia" w:ascii="黑体" w:hAnsi="黑体" w:eastAsia="黑体"/>
                <w:bCs/>
                <w:szCs w:val="21"/>
                <w:highlight w:val="none"/>
              </w:rPr>
            </w:pPr>
            <w:r>
              <w:rPr>
                <w:rFonts w:hint="eastAsia" w:ascii="黑体" w:hAnsi="黑体" w:eastAsia="黑体"/>
                <w:bCs/>
                <w:szCs w:val="21"/>
                <w:highlight w:val="none"/>
              </w:rPr>
              <w:t>三、</w:t>
            </w:r>
            <w:r>
              <w:rPr>
                <w:rFonts w:ascii="黑体" w:hAnsi="黑体" w:eastAsia="黑体" w:cs="楷体"/>
                <w:bCs/>
                <w:szCs w:val="21"/>
                <w:highlight w:val="none"/>
              </w:rPr>
              <w:t>技术文件（施工组织设计）采用“暗标”评审，如果某投标人的施工组织设计没有按照招标文件规定的格式、内容编制，</w:t>
            </w:r>
            <w:r>
              <w:rPr>
                <w:rFonts w:ascii="黑体" w:hAnsi="黑体" w:eastAsia="黑体" w:cs="楷体"/>
                <w:bCs/>
                <w:szCs w:val="21"/>
                <w:highlight w:val="none"/>
                <w:shd w:val="clear" w:fill="FFFFFF" w:themeFill="background1"/>
              </w:rPr>
              <w:t>且经评标委员会认定会暴露投标人身份的，评标委员会应一致将其施工组织设计部分评为 0 分，随后在详细评审汇总步骤否决其投标，并在评标报告中作出说明。</w:t>
            </w:r>
          </w:p>
        </w:tc>
      </w:tr>
    </w:tbl>
    <w:p w14:paraId="14393A82">
      <w:pPr>
        <w:pStyle w:val="322"/>
        <w:keepNext/>
        <w:keepLines/>
        <w:shd w:val="clear" w:color="auto" w:fill="auto"/>
        <w:spacing w:before="120" w:beforeLines="50" w:after="120" w:afterLines="50" w:line="400" w:lineRule="exact"/>
        <w:jc w:val="left"/>
        <w:rPr>
          <w:rFonts w:hint="eastAsia" w:ascii="黑体" w:hAnsi="黑体" w:eastAsia="黑体"/>
          <w:color w:val="auto"/>
          <w:sz w:val="28"/>
          <w:szCs w:val="28"/>
          <w:highlight w:val="none"/>
        </w:rPr>
      </w:pPr>
      <w:r>
        <w:rPr>
          <w:rFonts w:hint="eastAsia" w:ascii="黑体" w:hAnsi="黑体" w:eastAsia="黑体"/>
          <w:color w:val="auto"/>
          <w:sz w:val="28"/>
          <w:szCs w:val="28"/>
          <w:highlight w:val="none"/>
        </w:rPr>
        <w:t>1</w:t>
      </w:r>
      <w:r>
        <w:rPr>
          <w:rFonts w:hint="eastAsia" w:ascii="黑体" w:hAnsi="黑体" w:eastAsia="黑体"/>
          <w:color w:val="auto"/>
          <w:sz w:val="28"/>
          <w:szCs w:val="28"/>
          <w:highlight w:val="none"/>
          <w:lang w:val="en-US" w:eastAsia="zh-CN"/>
        </w:rPr>
        <w:t>1</w:t>
      </w:r>
      <w:r>
        <w:rPr>
          <w:rFonts w:hint="eastAsia" w:ascii="黑体" w:hAnsi="黑体" w:eastAsia="黑体"/>
          <w:color w:val="auto"/>
          <w:sz w:val="28"/>
          <w:szCs w:val="28"/>
          <w:highlight w:val="none"/>
        </w:rPr>
        <w:t>.公开时间</w:t>
      </w:r>
    </w:p>
    <w:p w14:paraId="06A2C6A8">
      <w:pPr>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招标文件关键内容信息公开时间至</w:t>
      </w:r>
      <w:r>
        <w:rPr>
          <w:rFonts w:hint="eastAsia" w:ascii="宋体" w:hAnsi="宋体" w:eastAsia="宋体" w:cs="宋体"/>
          <w:color w:val="auto"/>
          <w:szCs w:val="21"/>
          <w:highlight w:val="none"/>
          <w:lang w:val="en-US" w:eastAsia="zh-CN"/>
        </w:rPr>
        <w:t>投标截止前10天</w:t>
      </w:r>
      <w:r>
        <w:rPr>
          <w:rFonts w:hint="eastAsia" w:ascii="宋体" w:hAnsi="宋体" w:eastAsia="宋体" w:cs="宋体"/>
          <w:color w:val="auto"/>
          <w:szCs w:val="21"/>
          <w:highlight w:val="none"/>
        </w:rPr>
        <w:t>。</w:t>
      </w:r>
    </w:p>
    <w:p w14:paraId="08B88BFA">
      <w:pPr>
        <w:adjustRightInd w:val="0"/>
        <w:snapToGrid w:val="0"/>
        <w:spacing w:before="120" w:beforeLines="50" w:after="120" w:afterLines="50" w:line="400" w:lineRule="exact"/>
        <w:rPr>
          <w:rFonts w:hint="eastAsia" w:ascii="黑体" w:hAnsi="黑体" w:eastAsia="黑体"/>
          <w:bCs/>
          <w:sz w:val="28"/>
          <w:szCs w:val="28"/>
          <w:highlight w:val="none"/>
        </w:rPr>
      </w:pPr>
      <w:r>
        <w:rPr>
          <w:rFonts w:hint="eastAsia" w:ascii="黑体" w:hAnsi="黑体" w:eastAsia="黑体"/>
          <w:bCs/>
          <w:sz w:val="28"/>
          <w:szCs w:val="28"/>
          <w:highlight w:val="none"/>
          <w:lang w:val="en-US" w:eastAsia="zh-CN"/>
        </w:rPr>
        <w:t>12</w:t>
      </w:r>
      <w:r>
        <w:rPr>
          <w:rFonts w:hint="eastAsia" w:ascii="黑体" w:hAnsi="黑体" w:eastAsia="黑体"/>
          <w:bCs/>
          <w:sz w:val="28"/>
          <w:szCs w:val="28"/>
          <w:highlight w:val="none"/>
        </w:rPr>
        <w:t>．联系方式</w:t>
      </w:r>
    </w:p>
    <w:p w14:paraId="1CE046E9">
      <w:pPr>
        <w:adjustRightInd w:val="0"/>
        <w:snapToGrid w:val="0"/>
        <w:spacing w:line="20" w:lineRule="exact"/>
        <w:rPr>
          <w:bCs/>
          <w:highlight w:val="none"/>
        </w:rPr>
      </w:pPr>
    </w:p>
    <w:bookmarkEnd w:id="118"/>
    <w:p w14:paraId="0F6D1908">
      <w:pPr>
        <w:keepNext w:val="0"/>
        <w:keepLines w:val="0"/>
        <w:pageBreakBefore w:val="0"/>
        <w:widowControl w:val="0"/>
        <w:kinsoku/>
        <w:wordWrap/>
        <w:overflowPunct/>
        <w:topLinePunct w:val="0"/>
        <w:autoSpaceDE/>
        <w:autoSpaceDN/>
        <w:bidi w:val="0"/>
        <w:adjustRightInd/>
        <w:snapToGrid w:val="0"/>
        <w:spacing w:line="360" w:lineRule="auto"/>
        <w:ind w:firstLine="210" w:firstLineChars="100"/>
        <w:textAlignment w:val="auto"/>
        <w:rPr>
          <w:rFonts w:hint="eastAsia" w:ascii="黑体" w:hAnsi="黑体" w:eastAsia="黑体" w:cs="黑体"/>
          <w:color w:val="auto"/>
          <w:szCs w:val="21"/>
          <w:highlight w:val="none"/>
        </w:rPr>
      </w:pPr>
      <w:r>
        <w:rPr>
          <w:rFonts w:hint="eastAsia" w:ascii="黑体" w:hAnsi="黑体" w:eastAsia="黑体" w:cs="黑体"/>
          <w:color w:val="auto"/>
          <w:szCs w:val="21"/>
          <w:highlight w:val="none"/>
        </w:rPr>
        <w:t>招标人：延边州公路养护工程项目管理办公室</w:t>
      </w:r>
    </w:p>
    <w:p w14:paraId="514F465A">
      <w:pPr>
        <w:keepNext w:val="0"/>
        <w:keepLines w:val="0"/>
        <w:pageBreakBefore w:val="0"/>
        <w:widowControl w:val="0"/>
        <w:kinsoku/>
        <w:wordWrap/>
        <w:overflowPunct/>
        <w:topLinePunct w:val="0"/>
        <w:autoSpaceDE/>
        <w:autoSpaceDN/>
        <w:bidi w:val="0"/>
        <w:adjustRightInd/>
        <w:snapToGrid w:val="0"/>
        <w:spacing w:line="360" w:lineRule="auto"/>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 延吉市公园路5568号</w:t>
      </w:r>
    </w:p>
    <w:p w14:paraId="181F0997">
      <w:pPr>
        <w:keepNext w:val="0"/>
        <w:keepLines w:val="0"/>
        <w:pageBreakBefore w:val="0"/>
        <w:widowControl w:val="0"/>
        <w:kinsoku/>
        <w:wordWrap/>
        <w:overflowPunct/>
        <w:topLinePunct w:val="0"/>
        <w:autoSpaceDE/>
        <w:autoSpaceDN/>
        <w:bidi w:val="0"/>
        <w:adjustRightInd/>
        <w:snapToGrid w:val="0"/>
        <w:spacing w:line="360" w:lineRule="auto"/>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 程龙</w:t>
      </w:r>
    </w:p>
    <w:p w14:paraId="6D71DFE6">
      <w:pPr>
        <w:keepNext w:val="0"/>
        <w:keepLines w:val="0"/>
        <w:pageBreakBefore w:val="0"/>
        <w:widowControl w:val="0"/>
        <w:kinsoku/>
        <w:wordWrap/>
        <w:overflowPunct/>
        <w:topLinePunct w:val="0"/>
        <w:autoSpaceDE/>
        <w:autoSpaceDN/>
        <w:bidi w:val="0"/>
        <w:adjustRightInd/>
        <w:snapToGrid w:val="0"/>
        <w:spacing w:line="360" w:lineRule="auto"/>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 0433-2705321</w:t>
      </w:r>
    </w:p>
    <w:p w14:paraId="1451032E">
      <w:pPr>
        <w:keepNext w:val="0"/>
        <w:keepLines w:val="0"/>
        <w:pageBreakBefore w:val="0"/>
        <w:widowControl w:val="0"/>
        <w:kinsoku/>
        <w:wordWrap/>
        <w:overflowPunct/>
        <w:topLinePunct w:val="0"/>
        <w:autoSpaceDE/>
        <w:autoSpaceDN/>
        <w:bidi w:val="0"/>
        <w:adjustRightInd/>
        <w:snapToGrid w:val="0"/>
        <w:spacing w:line="360" w:lineRule="auto"/>
        <w:ind w:firstLine="210" w:firstLineChars="100"/>
        <w:textAlignment w:val="auto"/>
        <w:rPr>
          <w:rFonts w:hint="eastAsia" w:ascii="黑体" w:hAnsi="黑体" w:eastAsia="黑体" w:cs="黑体"/>
          <w:color w:val="auto"/>
          <w:szCs w:val="21"/>
          <w:highlight w:val="none"/>
        </w:rPr>
      </w:pPr>
      <w:r>
        <w:rPr>
          <w:rFonts w:hint="eastAsia" w:ascii="黑体" w:hAnsi="黑体" w:eastAsia="黑体" w:cs="黑体"/>
          <w:color w:val="auto"/>
          <w:szCs w:val="21"/>
          <w:highlight w:val="none"/>
        </w:rPr>
        <w:t>招标代理机构：吉林省伟邦公路技术有限公司</w:t>
      </w:r>
    </w:p>
    <w:p w14:paraId="697F1507">
      <w:pPr>
        <w:keepNext w:val="0"/>
        <w:keepLines w:val="0"/>
        <w:pageBreakBefore w:val="0"/>
        <w:widowControl w:val="0"/>
        <w:kinsoku/>
        <w:wordWrap/>
        <w:overflowPunct/>
        <w:topLinePunct w:val="0"/>
        <w:autoSpaceDE/>
        <w:autoSpaceDN/>
        <w:bidi w:val="0"/>
        <w:adjustRightInd/>
        <w:snapToGrid w:val="0"/>
        <w:spacing w:line="360" w:lineRule="auto"/>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址：长春净月高新技术产业开发区擎天树街855号</w:t>
      </w:r>
    </w:p>
    <w:p w14:paraId="2128E7D0">
      <w:pPr>
        <w:keepNext w:val="0"/>
        <w:keepLines w:val="0"/>
        <w:pageBreakBefore w:val="0"/>
        <w:widowControl w:val="0"/>
        <w:kinsoku/>
        <w:wordWrap/>
        <w:overflowPunct/>
        <w:topLinePunct w:val="0"/>
        <w:autoSpaceDE/>
        <w:autoSpaceDN/>
        <w:bidi w:val="0"/>
        <w:adjustRightInd/>
        <w:snapToGrid w:val="0"/>
        <w:spacing w:line="360" w:lineRule="auto"/>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邮政编码：130117</w:t>
      </w:r>
    </w:p>
    <w:p w14:paraId="458946EA">
      <w:pPr>
        <w:keepNext w:val="0"/>
        <w:keepLines w:val="0"/>
        <w:pageBreakBefore w:val="0"/>
        <w:widowControl w:val="0"/>
        <w:kinsoku/>
        <w:wordWrap/>
        <w:overflowPunct/>
        <w:topLinePunct w:val="0"/>
        <w:autoSpaceDE/>
        <w:autoSpaceDN/>
        <w:bidi w:val="0"/>
        <w:adjustRightInd/>
        <w:snapToGrid w:val="0"/>
        <w:spacing w:line="360" w:lineRule="auto"/>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联系人：赵鑫、刘世远</w:t>
      </w:r>
    </w:p>
    <w:p w14:paraId="39A75342">
      <w:pPr>
        <w:keepNext w:val="0"/>
        <w:keepLines w:val="0"/>
        <w:pageBreakBefore w:val="0"/>
        <w:widowControl w:val="0"/>
        <w:kinsoku/>
        <w:wordWrap/>
        <w:overflowPunct/>
        <w:topLinePunct w:val="0"/>
        <w:autoSpaceDE/>
        <w:autoSpaceDN/>
        <w:bidi w:val="0"/>
        <w:adjustRightInd/>
        <w:snapToGrid w:val="0"/>
        <w:spacing w:line="360" w:lineRule="auto"/>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话：0431- 88655555</w:t>
      </w:r>
    </w:p>
    <w:p w14:paraId="7CB35112">
      <w:pPr>
        <w:keepNext w:val="0"/>
        <w:keepLines w:val="0"/>
        <w:pageBreakBefore w:val="0"/>
        <w:widowControl w:val="0"/>
        <w:kinsoku/>
        <w:wordWrap/>
        <w:overflowPunct/>
        <w:topLinePunct w:val="0"/>
        <w:autoSpaceDE/>
        <w:autoSpaceDN/>
        <w:bidi w:val="0"/>
        <w:adjustRightInd/>
        <w:snapToGrid w:val="0"/>
        <w:spacing w:line="360" w:lineRule="auto"/>
        <w:ind w:firstLine="210" w:firstLineChars="100"/>
        <w:textAlignment w:val="auto"/>
        <w:rPr>
          <w:rFonts w:hint="eastAsia" w:ascii="黑体" w:hAnsi="黑体" w:eastAsia="黑体" w:cs="黑体"/>
          <w:color w:val="auto"/>
          <w:szCs w:val="21"/>
          <w:highlight w:val="none"/>
        </w:rPr>
      </w:pPr>
      <w:r>
        <w:rPr>
          <w:rFonts w:hint="eastAsia" w:ascii="黑体" w:hAnsi="黑体" w:eastAsia="黑体" w:cs="黑体"/>
          <w:color w:val="auto"/>
          <w:szCs w:val="21"/>
          <w:highlight w:val="none"/>
        </w:rPr>
        <w:t>监督部门：吉林省交通运输厅</w:t>
      </w:r>
    </w:p>
    <w:p w14:paraId="5BDC8C94">
      <w:pPr>
        <w:keepNext w:val="0"/>
        <w:keepLines w:val="0"/>
        <w:pageBreakBefore w:val="0"/>
        <w:widowControl w:val="0"/>
        <w:kinsoku/>
        <w:wordWrap/>
        <w:overflowPunct/>
        <w:topLinePunct w:val="0"/>
        <w:autoSpaceDE/>
        <w:autoSpaceDN/>
        <w:bidi w:val="0"/>
        <w:adjustRightInd/>
        <w:snapToGrid w:val="0"/>
        <w:spacing w:line="360" w:lineRule="auto"/>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地址：长春市解放大路2518号交通大厦</w:t>
      </w:r>
    </w:p>
    <w:p w14:paraId="100989C9">
      <w:pPr>
        <w:keepNext w:val="0"/>
        <w:keepLines w:val="0"/>
        <w:pageBreakBefore w:val="0"/>
        <w:widowControl w:val="0"/>
        <w:kinsoku/>
        <w:wordWrap/>
        <w:overflowPunct/>
        <w:topLinePunct w:val="0"/>
        <w:autoSpaceDE/>
        <w:autoSpaceDN/>
        <w:bidi w:val="0"/>
        <w:adjustRightInd/>
        <w:snapToGrid w:val="0"/>
        <w:spacing w:line="360" w:lineRule="auto"/>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电话：0431-85097540</w:t>
      </w:r>
    </w:p>
    <w:p w14:paraId="7DE26FEF">
      <w:pPr>
        <w:keepNext w:val="0"/>
        <w:keepLines w:val="0"/>
        <w:pageBreakBefore w:val="0"/>
        <w:widowControl w:val="0"/>
        <w:kinsoku/>
        <w:wordWrap/>
        <w:overflowPunct/>
        <w:topLinePunct w:val="0"/>
        <w:autoSpaceDE/>
        <w:autoSpaceDN/>
        <w:bidi w:val="0"/>
        <w:adjustRightInd/>
        <w:snapToGrid w:val="0"/>
        <w:spacing w:line="360" w:lineRule="auto"/>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邮编：130021</w:t>
      </w:r>
    </w:p>
    <w:p w14:paraId="6B5EA2A4">
      <w:pPr>
        <w:ind w:firstLine="360" w:firstLineChars="100"/>
        <w:rPr>
          <w:rFonts w:hint="eastAsia" w:ascii="Times New Roman" w:hAnsi="Times New Roman" w:eastAsia="黑体"/>
          <w:bCs/>
          <w:kern w:val="0"/>
          <w:sz w:val="36"/>
          <w:szCs w:val="36"/>
          <w:highlight w:val="none"/>
        </w:rPr>
      </w:pPr>
    </w:p>
    <w:p w14:paraId="21D68A34">
      <w:pPr>
        <w:ind w:firstLine="360" w:firstLineChars="100"/>
        <w:rPr>
          <w:rFonts w:hint="eastAsia" w:ascii="Times New Roman" w:hAnsi="Times New Roman" w:eastAsia="黑体"/>
          <w:bCs/>
          <w:kern w:val="0"/>
          <w:sz w:val="36"/>
          <w:szCs w:val="36"/>
          <w:highlight w:val="none"/>
        </w:rPr>
      </w:pPr>
    </w:p>
    <w:p w14:paraId="4564C9FC">
      <w:pPr>
        <w:ind w:firstLine="360" w:firstLineChars="100"/>
        <w:rPr>
          <w:rFonts w:hint="eastAsia" w:ascii="Times New Roman" w:hAnsi="Times New Roman" w:eastAsia="黑体"/>
          <w:bCs/>
          <w:kern w:val="0"/>
          <w:sz w:val="36"/>
          <w:szCs w:val="36"/>
          <w:highlight w:val="none"/>
        </w:rPr>
      </w:pPr>
    </w:p>
    <w:sectPr>
      <w:headerReference r:id="rId4" w:type="default"/>
      <w:footerReference r:id="rId5" w:type="default"/>
      <w:footnotePr>
        <w:numFmt w:val="decimalEnclosedCircleChinese"/>
        <w:numRestart w:val="eachPage"/>
      </w:footnotePr>
      <w:pgSz w:w="11907" w:h="16840"/>
      <w:pgMar w:top="1134" w:right="1134" w:bottom="1134" w:left="1134" w:header="0" w:footer="567"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Sylfaen">
    <w:panose1 w:val="010A0502050306030303"/>
    <w:charset w:val="00"/>
    <w:family w:val="roman"/>
    <w:pitch w:val="default"/>
    <w:sig w:usb0="04000687" w:usb1="00000000" w:usb2="00000000" w:usb3="00000000" w:csb0="2000009F" w:csb1="00000000"/>
  </w:font>
  <w:font w:name="Lucida Sans Unicode">
    <w:panose1 w:val="020B0602030504020204"/>
    <w:charset w:val="00"/>
    <w:family w:val="swiss"/>
    <w:pitch w:val="default"/>
    <w:sig w:usb0="80001AFF" w:usb1="0000396B" w:usb2="00000000" w:usb3="00000000" w:csb0="200000BF" w:csb1="D7F7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SJQY">
    <w:altName w:val="@微软雅黑"/>
    <w:panose1 w:val="02010600030101010101"/>
    <w:charset w:val="86"/>
    <w:family w:val="auto"/>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Consolas">
    <w:panose1 w:val="020B0609020204030204"/>
    <w:charset w:val="00"/>
    <w:family w:val="modern"/>
    <w:pitch w:val="default"/>
    <w:sig w:usb0="E00006FF" w:usb1="0000FCFF" w:usb2="00000001" w:usb3="00000000" w:csb0="6000019F" w:csb1="DFD70000"/>
  </w:font>
  <w:font w:name="楷体_GB2312">
    <w:altName w:val="楷体"/>
    <w:panose1 w:val="00000000000000000000"/>
    <w:charset w:val="86"/>
    <w:family w:val="modern"/>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2277721"/>
    </w:sdtPr>
    <w:sdtEndPr>
      <w:rPr>
        <w:rFonts w:ascii="方正姚体" w:eastAsia="方正姚体"/>
        <w:sz w:val="24"/>
        <w:szCs w:val="24"/>
      </w:rPr>
    </w:sdtEndPr>
    <w:sdtContent>
      <w:p w14:paraId="7DD1AD1B">
        <w:pPr>
          <w:pStyle w:val="33"/>
          <w:jc w:val="center"/>
          <w:rPr>
            <w:rFonts w:ascii="方正姚体" w:eastAsia="方正姚体"/>
            <w:sz w:val="24"/>
            <w:szCs w:val="24"/>
          </w:rPr>
        </w:pPr>
        <w:r>
          <w:rPr>
            <w:rFonts w:ascii="方正姚体" w:eastAsia="方正姚体"/>
            <w:sz w:val="24"/>
            <w:szCs w:val="24"/>
          </w:rPr>
          <w:fldChar w:fldCharType="begin"/>
        </w:r>
        <w:r>
          <w:rPr>
            <w:rFonts w:ascii="方正姚体" w:eastAsia="方正姚体"/>
            <w:sz w:val="24"/>
            <w:szCs w:val="24"/>
          </w:rPr>
          <w:instrText xml:space="preserve">PAGE   \* MERGEFORMAT</w:instrText>
        </w:r>
        <w:r>
          <w:rPr>
            <w:rFonts w:ascii="方正姚体" w:eastAsia="方正姚体"/>
            <w:sz w:val="24"/>
            <w:szCs w:val="24"/>
          </w:rPr>
          <w:fldChar w:fldCharType="separate"/>
        </w:r>
        <w:r>
          <w:rPr>
            <w:rFonts w:ascii="方正姚体" w:eastAsia="方正姚体"/>
            <w:sz w:val="24"/>
            <w:szCs w:val="24"/>
          </w:rPr>
          <w:t>75</w:t>
        </w:r>
        <w:r>
          <w:rPr>
            <w:rFonts w:ascii="方正姚体" w:eastAsia="方正姚体"/>
            <w:sz w:val="24"/>
            <w:szCs w:val="24"/>
          </w:rPr>
          <w:fldChar w:fldCharType="end"/>
        </w:r>
      </w:p>
    </w:sdtContent>
  </w:sdt>
  <w:p w14:paraId="6FEAE229">
    <w:pPr>
      <w:pStyle w:val="3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5F1C6EB7">
      <w:pPr>
        <w:pStyle w:val="40"/>
        <w:jc w:val="both"/>
        <w:rPr>
          <w:rFonts w:hint="eastAsia" w:ascii="楷体" w:hAnsi="楷体" w:eastAsia="楷体"/>
        </w:rPr>
      </w:pPr>
      <w:r>
        <w:rPr>
          <w:rStyle w:val="65"/>
        </w:rPr>
        <w:footnoteRef/>
      </w:r>
      <w:r>
        <w:rPr>
          <w:rFonts w:hint="eastAsia" w:ascii="楷体" w:hAnsi="楷体" w:eastAsia="楷体"/>
        </w:rPr>
        <w:t>a.“投标人须知前附表”用于进一步明确正文中的未尽事宜，凡“投标人须知前附表”对本章正文内容进行完善和补充的，均以“投标人须知前附表”为准；未进行补充、完善的，以本章正文内容为准。</w:t>
      </w:r>
    </w:p>
    <w:p w14:paraId="60D03D38">
      <w:pPr>
        <w:pStyle w:val="40"/>
        <w:ind w:firstLine="180" w:firstLineChars="100"/>
        <w:jc w:val="both"/>
        <w:rPr>
          <w:rFonts w:hint="eastAsia" w:ascii="楷体" w:hAnsi="楷体" w:eastAsia="楷体"/>
        </w:rPr>
      </w:pPr>
      <w:r>
        <w:rPr>
          <w:rFonts w:hint="eastAsia" w:ascii="楷体" w:hAnsi="楷体" w:eastAsia="楷体"/>
        </w:rPr>
        <w:t>b.“投标人须知前附表”中的附录表格同属“投标人须知前附表”内容，具有同等效力。</w:t>
      </w:r>
    </w:p>
  </w:footnote>
  <w:footnote w:id="1">
    <w:p w14:paraId="2564A413">
      <w:pPr>
        <w:pStyle w:val="40"/>
        <w:jc w:val="both"/>
        <w:rPr>
          <w:rFonts w:hint="eastAsia" w:ascii="楷体" w:hAnsi="楷体" w:eastAsia="楷体"/>
        </w:rPr>
      </w:pPr>
      <w:r>
        <w:rPr>
          <w:rStyle w:val="65"/>
        </w:rPr>
        <w:footnoteRef/>
      </w:r>
      <w:r>
        <w:rPr>
          <w:rFonts w:hint="eastAsia" w:ascii="楷体" w:hAnsi="楷体" w:eastAsia="楷体"/>
        </w:rPr>
        <w:t>“评标办法前附表”用于明确评标的方法、因素、标准和程序。没有列明的因素和标准不得作为评标的依据。凡“评标办法前附表”对本章正文内容进行完善和补充的，均以“评标办法前附表”为准；未进行补充、完善的，以本章正文内容为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82BD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C16DCD"/>
    <w:multiLevelType w:val="multilevel"/>
    <w:tmpl w:val="1BC16DCD"/>
    <w:lvl w:ilvl="0" w:tentative="0">
      <w:start w:val="1"/>
      <w:numFmt w:val="decimal"/>
      <w:suff w:val="nothing"/>
      <w:lvlText w:val="（%1）"/>
      <w:lvlJc w:val="left"/>
      <w:pPr>
        <w:ind w:left="3113" w:hanging="420"/>
      </w:pPr>
      <w:rPr>
        <w:rFonts w:hint="default"/>
        <w:sz w:val="20"/>
        <w:lang w:val="en-U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3E591CCF"/>
    <w:multiLevelType w:val="multilevel"/>
    <w:tmpl w:val="3E591CCF"/>
    <w:lvl w:ilvl="0" w:tentative="0">
      <w:start w:val="1"/>
      <w:numFmt w:val="decimal"/>
      <w:suff w:val="nothing"/>
      <w:lvlText w:val="（%1）"/>
      <w:lvlJc w:val="left"/>
      <w:pPr>
        <w:ind w:left="704" w:hanging="420"/>
      </w:pPr>
      <w:rPr>
        <w:rFonts w:hint="default" w:ascii="宋体" w:hAnsi="宋体"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8E60348"/>
    <w:multiLevelType w:val="multilevel"/>
    <w:tmpl w:val="68E60348"/>
    <w:lvl w:ilvl="0" w:tentative="0">
      <w:start w:val="1"/>
      <w:numFmt w:val="decimal"/>
      <w:suff w:val="nothing"/>
      <w:lvlText w:val="（%1）"/>
      <w:lvlJc w:val="left"/>
      <w:pPr>
        <w:ind w:left="580" w:hanging="420"/>
      </w:pPr>
      <w:rPr>
        <w:rFonts w:hint="default"/>
        <w:b w:val="0"/>
      </w:rPr>
    </w:lvl>
    <w:lvl w:ilvl="1" w:tentative="0">
      <w:start w:val="1"/>
      <w:numFmt w:val="lowerLetter"/>
      <w:lvlText w:val="%2)"/>
      <w:lvlJc w:val="left"/>
      <w:pPr>
        <w:ind w:left="1000" w:hanging="420"/>
      </w:pPr>
    </w:lvl>
    <w:lvl w:ilvl="2" w:tentative="0">
      <w:start w:val="1"/>
      <w:numFmt w:val="lowerRoman"/>
      <w:lvlText w:val="%3."/>
      <w:lvlJc w:val="right"/>
      <w:pPr>
        <w:ind w:left="1420" w:hanging="420"/>
      </w:pPr>
    </w:lvl>
    <w:lvl w:ilvl="3" w:tentative="0">
      <w:start w:val="1"/>
      <w:numFmt w:val="decimal"/>
      <w:lvlText w:val="%4."/>
      <w:lvlJc w:val="left"/>
      <w:pPr>
        <w:ind w:left="1840" w:hanging="420"/>
      </w:pPr>
    </w:lvl>
    <w:lvl w:ilvl="4" w:tentative="0">
      <w:start w:val="1"/>
      <w:numFmt w:val="lowerLetter"/>
      <w:lvlText w:val="%5)"/>
      <w:lvlJc w:val="left"/>
      <w:pPr>
        <w:ind w:left="2260" w:hanging="420"/>
      </w:pPr>
    </w:lvl>
    <w:lvl w:ilvl="5" w:tentative="0">
      <w:start w:val="1"/>
      <w:numFmt w:val="lowerRoman"/>
      <w:lvlText w:val="%6."/>
      <w:lvlJc w:val="right"/>
      <w:pPr>
        <w:ind w:left="2680" w:hanging="420"/>
      </w:pPr>
    </w:lvl>
    <w:lvl w:ilvl="6" w:tentative="0">
      <w:start w:val="1"/>
      <w:numFmt w:val="decimal"/>
      <w:lvlText w:val="%7."/>
      <w:lvlJc w:val="left"/>
      <w:pPr>
        <w:ind w:left="3100" w:hanging="420"/>
      </w:pPr>
    </w:lvl>
    <w:lvl w:ilvl="7" w:tentative="0">
      <w:start w:val="1"/>
      <w:numFmt w:val="lowerLetter"/>
      <w:lvlText w:val="%8)"/>
      <w:lvlJc w:val="left"/>
      <w:pPr>
        <w:ind w:left="3520" w:hanging="420"/>
      </w:pPr>
    </w:lvl>
    <w:lvl w:ilvl="8" w:tentative="0">
      <w:start w:val="1"/>
      <w:numFmt w:val="lowerRoman"/>
      <w:lvlText w:val="%9."/>
      <w:lvlJc w:val="right"/>
      <w:pPr>
        <w:ind w:left="394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hideSpelling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nforcement="0"/>
  <w:defaultTabStop w:val="720"/>
  <w:drawingGridHorizontalSpacing w:val="120"/>
  <w:drawingGridVerticalSpacing w:val="120"/>
  <w:displayHorizontalDrawingGridEvery w:val="0"/>
  <w:displayVerticalDrawingGridEvery w:val="2"/>
  <w:doNotUseMarginsForDrawingGridOrigin w:val="1"/>
  <w:drawingGridHorizontalOrigin w:val="1800"/>
  <w:drawingGridVerticalOrigin w:val="1440"/>
  <w:doNotShadeFormData w:val="1"/>
  <w:characterSpacingControl w:val="compressPunctuation"/>
  <w:doNotValidateAgainstSchema/>
  <w:doNotDemarcateInvalidXml/>
  <w:footnotePr>
    <w:numFmt w:val="decimalEnclosedCircleChinese"/>
    <w:numRestart w:val="eachPage"/>
    <w:footnote w:id="4"/>
    <w:footnote w:id="5"/>
  </w:foot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Njg4NDg5MzQ2ODhiZjNjMDY1N2MyNjIwNWE2YjVlN2YifQ=="/>
  </w:docVars>
  <w:rsids>
    <w:rsidRoot w:val="00E22355"/>
    <w:rsid w:val="0000047E"/>
    <w:rsid w:val="00000616"/>
    <w:rsid w:val="00000B9B"/>
    <w:rsid w:val="00001150"/>
    <w:rsid w:val="0000125B"/>
    <w:rsid w:val="0000164E"/>
    <w:rsid w:val="00001854"/>
    <w:rsid w:val="00001A49"/>
    <w:rsid w:val="00001A73"/>
    <w:rsid w:val="00001BC8"/>
    <w:rsid w:val="00001BDE"/>
    <w:rsid w:val="00001BE4"/>
    <w:rsid w:val="00001EB2"/>
    <w:rsid w:val="000024F7"/>
    <w:rsid w:val="00002670"/>
    <w:rsid w:val="0000285B"/>
    <w:rsid w:val="00002BBD"/>
    <w:rsid w:val="00002CF2"/>
    <w:rsid w:val="00002EE6"/>
    <w:rsid w:val="00002F53"/>
    <w:rsid w:val="000031D7"/>
    <w:rsid w:val="00003556"/>
    <w:rsid w:val="00003959"/>
    <w:rsid w:val="00003CBD"/>
    <w:rsid w:val="00003F2E"/>
    <w:rsid w:val="00004231"/>
    <w:rsid w:val="0000434F"/>
    <w:rsid w:val="000043B9"/>
    <w:rsid w:val="0000466A"/>
    <w:rsid w:val="00004BB5"/>
    <w:rsid w:val="000051CB"/>
    <w:rsid w:val="000055C5"/>
    <w:rsid w:val="00005699"/>
    <w:rsid w:val="00005739"/>
    <w:rsid w:val="000058E7"/>
    <w:rsid w:val="00005BA7"/>
    <w:rsid w:val="00005DD1"/>
    <w:rsid w:val="0000627B"/>
    <w:rsid w:val="00006805"/>
    <w:rsid w:val="000068D4"/>
    <w:rsid w:val="000068D5"/>
    <w:rsid w:val="00006969"/>
    <w:rsid w:val="00006A5D"/>
    <w:rsid w:val="00006B6E"/>
    <w:rsid w:val="00006D5F"/>
    <w:rsid w:val="000071A3"/>
    <w:rsid w:val="000071F3"/>
    <w:rsid w:val="0000725C"/>
    <w:rsid w:val="0000793A"/>
    <w:rsid w:val="00007B9F"/>
    <w:rsid w:val="0001050C"/>
    <w:rsid w:val="00011190"/>
    <w:rsid w:val="000111B0"/>
    <w:rsid w:val="00011497"/>
    <w:rsid w:val="000116D4"/>
    <w:rsid w:val="0001172C"/>
    <w:rsid w:val="000117AF"/>
    <w:rsid w:val="00011910"/>
    <w:rsid w:val="0001261F"/>
    <w:rsid w:val="00012A68"/>
    <w:rsid w:val="00012D41"/>
    <w:rsid w:val="00012D95"/>
    <w:rsid w:val="000130B6"/>
    <w:rsid w:val="00013948"/>
    <w:rsid w:val="00013EDE"/>
    <w:rsid w:val="0001472F"/>
    <w:rsid w:val="00014BD4"/>
    <w:rsid w:val="00015078"/>
    <w:rsid w:val="00015328"/>
    <w:rsid w:val="00015A5E"/>
    <w:rsid w:val="00015C7C"/>
    <w:rsid w:val="00016470"/>
    <w:rsid w:val="00016A51"/>
    <w:rsid w:val="00016D15"/>
    <w:rsid w:val="00016E09"/>
    <w:rsid w:val="00016F24"/>
    <w:rsid w:val="000177C6"/>
    <w:rsid w:val="00017A7F"/>
    <w:rsid w:val="00017B0C"/>
    <w:rsid w:val="00017D49"/>
    <w:rsid w:val="00020334"/>
    <w:rsid w:val="0002033A"/>
    <w:rsid w:val="0002040E"/>
    <w:rsid w:val="000205BC"/>
    <w:rsid w:val="000207BA"/>
    <w:rsid w:val="00020BEA"/>
    <w:rsid w:val="00020C0A"/>
    <w:rsid w:val="00020F50"/>
    <w:rsid w:val="000216DB"/>
    <w:rsid w:val="000218A3"/>
    <w:rsid w:val="000222EF"/>
    <w:rsid w:val="00022355"/>
    <w:rsid w:val="00022437"/>
    <w:rsid w:val="0002244B"/>
    <w:rsid w:val="000225E8"/>
    <w:rsid w:val="0002293A"/>
    <w:rsid w:val="00022A3A"/>
    <w:rsid w:val="00023633"/>
    <w:rsid w:val="00023832"/>
    <w:rsid w:val="000238B0"/>
    <w:rsid w:val="00023A9E"/>
    <w:rsid w:val="00023CDA"/>
    <w:rsid w:val="00023DF6"/>
    <w:rsid w:val="00023F00"/>
    <w:rsid w:val="00024062"/>
    <w:rsid w:val="000240A3"/>
    <w:rsid w:val="000241B5"/>
    <w:rsid w:val="0002422C"/>
    <w:rsid w:val="0002425C"/>
    <w:rsid w:val="000246DD"/>
    <w:rsid w:val="00024A6C"/>
    <w:rsid w:val="00024B51"/>
    <w:rsid w:val="00024C27"/>
    <w:rsid w:val="00024CAF"/>
    <w:rsid w:val="00024E53"/>
    <w:rsid w:val="00025327"/>
    <w:rsid w:val="0002544A"/>
    <w:rsid w:val="00025785"/>
    <w:rsid w:val="00025A53"/>
    <w:rsid w:val="00025D96"/>
    <w:rsid w:val="00025D97"/>
    <w:rsid w:val="00025DEA"/>
    <w:rsid w:val="00026092"/>
    <w:rsid w:val="00026167"/>
    <w:rsid w:val="00026758"/>
    <w:rsid w:val="00026B5C"/>
    <w:rsid w:val="00026BD3"/>
    <w:rsid w:val="00026C92"/>
    <w:rsid w:val="000275A5"/>
    <w:rsid w:val="000276C7"/>
    <w:rsid w:val="00027AEC"/>
    <w:rsid w:val="00027B55"/>
    <w:rsid w:val="000306FE"/>
    <w:rsid w:val="00030B33"/>
    <w:rsid w:val="00030C58"/>
    <w:rsid w:val="00030CA0"/>
    <w:rsid w:val="00030FA6"/>
    <w:rsid w:val="0003160B"/>
    <w:rsid w:val="00031ABE"/>
    <w:rsid w:val="00031DA5"/>
    <w:rsid w:val="00032145"/>
    <w:rsid w:val="0003216C"/>
    <w:rsid w:val="000324C7"/>
    <w:rsid w:val="0003253E"/>
    <w:rsid w:val="00032935"/>
    <w:rsid w:val="00032CA5"/>
    <w:rsid w:val="00032D5A"/>
    <w:rsid w:val="00032EFE"/>
    <w:rsid w:val="000332DF"/>
    <w:rsid w:val="00033977"/>
    <w:rsid w:val="00033B42"/>
    <w:rsid w:val="00033C60"/>
    <w:rsid w:val="00033D09"/>
    <w:rsid w:val="00033DEB"/>
    <w:rsid w:val="0003436F"/>
    <w:rsid w:val="0003563D"/>
    <w:rsid w:val="0003584B"/>
    <w:rsid w:val="000359B5"/>
    <w:rsid w:val="00035D19"/>
    <w:rsid w:val="00035DAE"/>
    <w:rsid w:val="00036153"/>
    <w:rsid w:val="00036333"/>
    <w:rsid w:val="00036856"/>
    <w:rsid w:val="00036C12"/>
    <w:rsid w:val="000370BF"/>
    <w:rsid w:val="0003747F"/>
    <w:rsid w:val="00040EEF"/>
    <w:rsid w:val="00041072"/>
    <w:rsid w:val="0004129B"/>
    <w:rsid w:val="00041463"/>
    <w:rsid w:val="0004164D"/>
    <w:rsid w:val="000416C9"/>
    <w:rsid w:val="00041960"/>
    <w:rsid w:val="00041FE5"/>
    <w:rsid w:val="000421D4"/>
    <w:rsid w:val="00042733"/>
    <w:rsid w:val="00042BB8"/>
    <w:rsid w:val="0004335D"/>
    <w:rsid w:val="00043684"/>
    <w:rsid w:val="000437CF"/>
    <w:rsid w:val="00043FB7"/>
    <w:rsid w:val="0004422D"/>
    <w:rsid w:val="0004431A"/>
    <w:rsid w:val="0004448A"/>
    <w:rsid w:val="00044BDD"/>
    <w:rsid w:val="00044E7F"/>
    <w:rsid w:val="00044F9E"/>
    <w:rsid w:val="000450E8"/>
    <w:rsid w:val="00045320"/>
    <w:rsid w:val="000454A1"/>
    <w:rsid w:val="000457F5"/>
    <w:rsid w:val="00045885"/>
    <w:rsid w:val="00045B5B"/>
    <w:rsid w:val="00045D64"/>
    <w:rsid w:val="000460CB"/>
    <w:rsid w:val="000466E5"/>
    <w:rsid w:val="00046751"/>
    <w:rsid w:val="00046AE4"/>
    <w:rsid w:val="00046C88"/>
    <w:rsid w:val="00046F1F"/>
    <w:rsid w:val="00047021"/>
    <w:rsid w:val="00047393"/>
    <w:rsid w:val="0004763C"/>
    <w:rsid w:val="00047890"/>
    <w:rsid w:val="00047B78"/>
    <w:rsid w:val="000500F7"/>
    <w:rsid w:val="0005030B"/>
    <w:rsid w:val="0005070F"/>
    <w:rsid w:val="000507C6"/>
    <w:rsid w:val="00051199"/>
    <w:rsid w:val="00051BAA"/>
    <w:rsid w:val="0005207B"/>
    <w:rsid w:val="000526EE"/>
    <w:rsid w:val="000528C3"/>
    <w:rsid w:val="000528ED"/>
    <w:rsid w:val="00052AAC"/>
    <w:rsid w:val="00052D21"/>
    <w:rsid w:val="00053017"/>
    <w:rsid w:val="0005386D"/>
    <w:rsid w:val="00053C62"/>
    <w:rsid w:val="00053CBB"/>
    <w:rsid w:val="0005402B"/>
    <w:rsid w:val="000545CD"/>
    <w:rsid w:val="000554A6"/>
    <w:rsid w:val="000554F6"/>
    <w:rsid w:val="00055681"/>
    <w:rsid w:val="0005592D"/>
    <w:rsid w:val="00055A17"/>
    <w:rsid w:val="00055CAF"/>
    <w:rsid w:val="00055FAB"/>
    <w:rsid w:val="00055FF9"/>
    <w:rsid w:val="00056018"/>
    <w:rsid w:val="000564B6"/>
    <w:rsid w:val="000564C1"/>
    <w:rsid w:val="0005680E"/>
    <w:rsid w:val="000569E1"/>
    <w:rsid w:val="00056AC2"/>
    <w:rsid w:val="00056B5C"/>
    <w:rsid w:val="00056D9F"/>
    <w:rsid w:val="00056DB2"/>
    <w:rsid w:val="00056F5C"/>
    <w:rsid w:val="0005744C"/>
    <w:rsid w:val="00057856"/>
    <w:rsid w:val="0005799A"/>
    <w:rsid w:val="00057AD1"/>
    <w:rsid w:val="0006081B"/>
    <w:rsid w:val="0006089B"/>
    <w:rsid w:val="00060AAD"/>
    <w:rsid w:val="00060B2E"/>
    <w:rsid w:val="00060B89"/>
    <w:rsid w:val="00060E7A"/>
    <w:rsid w:val="0006119D"/>
    <w:rsid w:val="0006138F"/>
    <w:rsid w:val="00062A62"/>
    <w:rsid w:val="00062E6D"/>
    <w:rsid w:val="0006313A"/>
    <w:rsid w:val="00063534"/>
    <w:rsid w:val="000636E8"/>
    <w:rsid w:val="00063809"/>
    <w:rsid w:val="000639E1"/>
    <w:rsid w:val="00063C68"/>
    <w:rsid w:val="000640FA"/>
    <w:rsid w:val="00064411"/>
    <w:rsid w:val="00064561"/>
    <w:rsid w:val="00064755"/>
    <w:rsid w:val="00064D45"/>
    <w:rsid w:val="000651AD"/>
    <w:rsid w:val="00065471"/>
    <w:rsid w:val="00065551"/>
    <w:rsid w:val="00065D5D"/>
    <w:rsid w:val="00065E42"/>
    <w:rsid w:val="000662EB"/>
    <w:rsid w:val="0006678A"/>
    <w:rsid w:val="000669A6"/>
    <w:rsid w:val="000669C1"/>
    <w:rsid w:val="00066AEB"/>
    <w:rsid w:val="00066F0D"/>
    <w:rsid w:val="0006746F"/>
    <w:rsid w:val="000677A3"/>
    <w:rsid w:val="00070427"/>
    <w:rsid w:val="0007073F"/>
    <w:rsid w:val="00070864"/>
    <w:rsid w:val="00070C52"/>
    <w:rsid w:val="00070D39"/>
    <w:rsid w:val="00070F3E"/>
    <w:rsid w:val="00070FC5"/>
    <w:rsid w:val="00070FF8"/>
    <w:rsid w:val="00071057"/>
    <w:rsid w:val="000712CC"/>
    <w:rsid w:val="00071598"/>
    <w:rsid w:val="0007169F"/>
    <w:rsid w:val="000718B9"/>
    <w:rsid w:val="00071DA7"/>
    <w:rsid w:val="00071EA0"/>
    <w:rsid w:val="00072451"/>
    <w:rsid w:val="0007250C"/>
    <w:rsid w:val="00072755"/>
    <w:rsid w:val="00072765"/>
    <w:rsid w:val="000727A1"/>
    <w:rsid w:val="00072A82"/>
    <w:rsid w:val="00072F8E"/>
    <w:rsid w:val="0007315A"/>
    <w:rsid w:val="00073172"/>
    <w:rsid w:val="000732AD"/>
    <w:rsid w:val="000735DB"/>
    <w:rsid w:val="00073CF5"/>
    <w:rsid w:val="000742BF"/>
    <w:rsid w:val="00074389"/>
    <w:rsid w:val="000747BD"/>
    <w:rsid w:val="000753DD"/>
    <w:rsid w:val="00075435"/>
    <w:rsid w:val="0007556A"/>
    <w:rsid w:val="000756A6"/>
    <w:rsid w:val="00075A91"/>
    <w:rsid w:val="000763CA"/>
    <w:rsid w:val="000765C0"/>
    <w:rsid w:val="000767A0"/>
    <w:rsid w:val="00076C84"/>
    <w:rsid w:val="00076CEA"/>
    <w:rsid w:val="00076DA5"/>
    <w:rsid w:val="00076E35"/>
    <w:rsid w:val="00076FF0"/>
    <w:rsid w:val="000771CE"/>
    <w:rsid w:val="00077570"/>
    <w:rsid w:val="00077776"/>
    <w:rsid w:val="000777F0"/>
    <w:rsid w:val="00077819"/>
    <w:rsid w:val="000778FB"/>
    <w:rsid w:val="00077902"/>
    <w:rsid w:val="0007796E"/>
    <w:rsid w:val="00077D94"/>
    <w:rsid w:val="0008076D"/>
    <w:rsid w:val="00081375"/>
    <w:rsid w:val="000816D0"/>
    <w:rsid w:val="000817BB"/>
    <w:rsid w:val="00081960"/>
    <w:rsid w:val="00081A8E"/>
    <w:rsid w:val="00081AB7"/>
    <w:rsid w:val="00081D55"/>
    <w:rsid w:val="00081F69"/>
    <w:rsid w:val="00081FA9"/>
    <w:rsid w:val="000820A4"/>
    <w:rsid w:val="000821DD"/>
    <w:rsid w:val="000823F5"/>
    <w:rsid w:val="00082BB7"/>
    <w:rsid w:val="00082E7C"/>
    <w:rsid w:val="00082F43"/>
    <w:rsid w:val="0008332C"/>
    <w:rsid w:val="00083418"/>
    <w:rsid w:val="000839A7"/>
    <w:rsid w:val="00083BA3"/>
    <w:rsid w:val="00083EF4"/>
    <w:rsid w:val="00084183"/>
    <w:rsid w:val="000841DF"/>
    <w:rsid w:val="000842C7"/>
    <w:rsid w:val="000846AF"/>
    <w:rsid w:val="00084825"/>
    <w:rsid w:val="000848B3"/>
    <w:rsid w:val="00084A3F"/>
    <w:rsid w:val="00084F8E"/>
    <w:rsid w:val="00084FE5"/>
    <w:rsid w:val="0008506B"/>
    <w:rsid w:val="000855A4"/>
    <w:rsid w:val="00085660"/>
    <w:rsid w:val="00086818"/>
    <w:rsid w:val="000868C1"/>
    <w:rsid w:val="00086F08"/>
    <w:rsid w:val="0008707D"/>
    <w:rsid w:val="0008708B"/>
    <w:rsid w:val="000870E5"/>
    <w:rsid w:val="0008764D"/>
    <w:rsid w:val="00087723"/>
    <w:rsid w:val="00087899"/>
    <w:rsid w:val="000878E9"/>
    <w:rsid w:val="0008791A"/>
    <w:rsid w:val="00087B04"/>
    <w:rsid w:val="00087CBE"/>
    <w:rsid w:val="000901A1"/>
    <w:rsid w:val="0009055D"/>
    <w:rsid w:val="00090609"/>
    <w:rsid w:val="00090726"/>
    <w:rsid w:val="00090E39"/>
    <w:rsid w:val="000911C9"/>
    <w:rsid w:val="000911CA"/>
    <w:rsid w:val="00091331"/>
    <w:rsid w:val="000915FA"/>
    <w:rsid w:val="000916D8"/>
    <w:rsid w:val="00091712"/>
    <w:rsid w:val="00091A02"/>
    <w:rsid w:val="00091B1F"/>
    <w:rsid w:val="00091EC3"/>
    <w:rsid w:val="000922FD"/>
    <w:rsid w:val="000925DD"/>
    <w:rsid w:val="0009275E"/>
    <w:rsid w:val="00092874"/>
    <w:rsid w:val="00092BCB"/>
    <w:rsid w:val="00092F32"/>
    <w:rsid w:val="00092FA3"/>
    <w:rsid w:val="00092FA6"/>
    <w:rsid w:val="0009309D"/>
    <w:rsid w:val="000933B1"/>
    <w:rsid w:val="0009360A"/>
    <w:rsid w:val="00093FBC"/>
    <w:rsid w:val="00094341"/>
    <w:rsid w:val="00094420"/>
    <w:rsid w:val="0009454B"/>
    <w:rsid w:val="00094FE3"/>
    <w:rsid w:val="0009512D"/>
    <w:rsid w:val="00095647"/>
    <w:rsid w:val="00095B77"/>
    <w:rsid w:val="00095CFA"/>
    <w:rsid w:val="00095FFF"/>
    <w:rsid w:val="0009624B"/>
    <w:rsid w:val="00096663"/>
    <w:rsid w:val="00096A7A"/>
    <w:rsid w:val="00096B51"/>
    <w:rsid w:val="00096B6B"/>
    <w:rsid w:val="00096D0D"/>
    <w:rsid w:val="00096DB8"/>
    <w:rsid w:val="00097046"/>
    <w:rsid w:val="000979C9"/>
    <w:rsid w:val="00097ABD"/>
    <w:rsid w:val="00097AF9"/>
    <w:rsid w:val="000A0036"/>
    <w:rsid w:val="000A0038"/>
    <w:rsid w:val="000A0076"/>
    <w:rsid w:val="000A0094"/>
    <w:rsid w:val="000A01CA"/>
    <w:rsid w:val="000A02ED"/>
    <w:rsid w:val="000A04D7"/>
    <w:rsid w:val="000A0923"/>
    <w:rsid w:val="000A092A"/>
    <w:rsid w:val="000A0A69"/>
    <w:rsid w:val="000A0CF9"/>
    <w:rsid w:val="000A0EED"/>
    <w:rsid w:val="000A10E7"/>
    <w:rsid w:val="000A112B"/>
    <w:rsid w:val="000A12A7"/>
    <w:rsid w:val="000A16DD"/>
    <w:rsid w:val="000A18F6"/>
    <w:rsid w:val="000A1A72"/>
    <w:rsid w:val="000A1CA2"/>
    <w:rsid w:val="000A1E72"/>
    <w:rsid w:val="000A1F24"/>
    <w:rsid w:val="000A20BD"/>
    <w:rsid w:val="000A2D7A"/>
    <w:rsid w:val="000A3487"/>
    <w:rsid w:val="000A3661"/>
    <w:rsid w:val="000A39C9"/>
    <w:rsid w:val="000A3C33"/>
    <w:rsid w:val="000A3CDC"/>
    <w:rsid w:val="000A3E3E"/>
    <w:rsid w:val="000A3E9B"/>
    <w:rsid w:val="000A4004"/>
    <w:rsid w:val="000A41E5"/>
    <w:rsid w:val="000A49C1"/>
    <w:rsid w:val="000A4C28"/>
    <w:rsid w:val="000A4D1B"/>
    <w:rsid w:val="000A4EC4"/>
    <w:rsid w:val="000A5089"/>
    <w:rsid w:val="000A52F8"/>
    <w:rsid w:val="000A5736"/>
    <w:rsid w:val="000A5D0E"/>
    <w:rsid w:val="000A652E"/>
    <w:rsid w:val="000A66CE"/>
    <w:rsid w:val="000A686F"/>
    <w:rsid w:val="000A6BE4"/>
    <w:rsid w:val="000A6C8B"/>
    <w:rsid w:val="000A6F81"/>
    <w:rsid w:val="000A6FA4"/>
    <w:rsid w:val="000A7376"/>
    <w:rsid w:val="000A7760"/>
    <w:rsid w:val="000A7896"/>
    <w:rsid w:val="000A7A1B"/>
    <w:rsid w:val="000A7BC8"/>
    <w:rsid w:val="000A7F07"/>
    <w:rsid w:val="000B0548"/>
    <w:rsid w:val="000B0947"/>
    <w:rsid w:val="000B0B2A"/>
    <w:rsid w:val="000B0B72"/>
    <w:rsid w:val="000B1284"/>
    <w:rsid w:val="000B13DF"/>
    <w:rsid w:val="000B1499"/>
    <w:rsid w:val="000B1611"/>
    <w:rsid w:val="000B1735"/>
    <w:rsid w:val="000B174C"/>
    <w:rsid w:val="000B182B"/>
    <w:rsid w:val="000B1B71"/>
    <w:rsid w:val="000B1C81"/>
    <w:rsid w:val="000B1D96"/>
    <w:rsid w:val="000B1F3B"/>
    <w:rsid w:val="000B2598"/>
    <w:rsid w:val="000B2C45"/>
    <w:rsid w:val="000B2D08"/>
    <w:rsid w:val="000B2EA7"/>
    <w:rsid w:val="000B2ED6"/>
    <w:rsid w:val="000B2EE2"/>
    <w:rsid w:val="000B2FA7"/>
    <w:rsid w:val="000B31D3"/>
    <w:rsid w:val="000B335D"/>
    <w:rsid w:val="000B38B2"/>
    <w:rsid w:val="000B38B4"/>
    <w:rsid w:val="000B3D85"/>
    <w:rsid w:val="000B4251"/>
    <w:rsid w:val="000B4B04"/>
    <w:rsid w:val="000B4E7E"/>
    <w:rsid w:val="000B537B"/>
    <w:rsid w:val="000B5A9C"/>
    <w:rsid w:val="000B5BD0"/>
    <w:rsid w:val="000B614C"/>
    <w:rsid w:val="000B630A"/>
    <w:rsid w:val="000B667A"/>
    <w:rsid w:val="000B6680"/>
    <w:rsid w:val="000B69B8"/>
    <w:rsid w:val="000B6C7D"/>
    <w:rsid w:val="000B6F27"/>
    <w:rsid w:val="000B7483"/>
    <w:rsid w:val="000B7BCA"/>
    <w:rsid w:val="000B7BD4"/>
    <w:rsid w:val="000C01CF"/>
    <w:rsid w:val="000C029F"/>
    <w:rsid w:val="000C096F"/>
    <w:rsid w:val="000C0C5A"/>
    <w:rsid w:val="000C177A"/>
    <w:rsid w:val="000C17A3"/>
    <w:rsid w:val="000C1A77"/>
    <w:rsid w:val="000C1D2B"/>
    <w:rsid w:val="000C1D79"/>
    <w:rsid w:val="000C1F5C"/>
    <w:rsid w:val="000C201D"/>
    <w:rsid w:val="000C23E8"/>
    <w:rsid w:val="000C26D3"/>
    <w:rsid w:val="000C29FA"/>
    <w:rsid w:val="000C2A9D"/>
    <w:rsid w:val="000C3167"/>
    <w:rsid w:val="000C3501"/>
    <w:rsid w:val="000C35A0"/>
    <w:rsid w:val="000C3853"/>
    <w:rsid w:val="000C3CFE"/>
    <w:rsid w:val="000C3E33"/>
    <w:rsid w:val="000C3FE0"/>
    <w:rsid w:val="000C4182"/>
    <w:rsid w:val="000C4497"/>
    <w:rsid w:val="000C4EF8"/>
    <w:rsid w:val="000C5049"/>
    <w:rsid w:val="000C52F5"/>
    <w:rsid w:val="000C53F3"/>
    <w:rsid w:val="000C5497"/>
    <w:rsid w:val="000C549E"/>
    <w:rsid w:val="000C589F"/>
    <w:rsid w:val="000C597A"/>
    <w:rsid w:val="000C5F63"/>
    <w:rsid w:val="000C6064"/>
    <w:rsid w:val="000C64E1"/>
    <w:rsid w:val="000C6E38"/>
    <w:rsid w:val="000C6ED6"/>
    <w:rsid w:val="000C7220"/>
    <w:rsid w:val="000C73F5"/>
    <w:rsid w:val="000C782E"/>
    <w:rsid w:val="000C7AC6"/>
    <w:rsid w:val="000C7B0C"/>
    <w:rsid w:val="000C7CF9"/>
    <w:rsid w:val="000C7EA2"/>
    <w:rsid w:val="000D05FA"/>
    <w:rsid w:val="000D0809"/>
    <w:rsid w:val="000D08B3"/>
    <w:rsid w:val="000D0906"/>
    <w:rsid w:val="000D097A"/>
    <w:rsid w:val="000D0A53"/>
    <w:rsid w:val="000D0B18"/>
    <w:rsid w:val="000D11FE"/>
    <w:rsid w:val="000D1730"/>
    <w:rsid w:val="000D18F9"/>
    <w:rsid w:val="000D1A97"/>
    <w:rsid w:val="000D1AD0"/>
    <w:rsid w:val="000D1C56"/>
    <w:rsid w:val="000D2195"/>
    <w:rsid w:val="000D219A"/>
    <w:rsid w:val="000D21CD"/>
    <w:rsid w:val="000D2204"/>
    <w:rsid w:val="000D24D4"/>
    <w:rsid w:val="000D267B"/>
    <w:rsid w:val="000D27BE"/>
    <w:rsid w:val="000D28B4"/>
    <w:rsid w:val="000D29D2"/>
    <w:rsid w:val="000D2B6F"/>
    <w:rsid w:val="000D2C3F"/>
    <w:rsid w:val="000D2CAA"/>
    <w:rsid w:val="000D2DD0"/>
    <w:rsid w:val="000D2F97"/>
    <w:rsid w:val="000D3322"/>
    <w:rsid w:val="000D3474"/>
    <w:rsid w:val="000D36FB"/>
    <w:rsid w:val="000D38E6"/>
    <w:rsid w:val="000D38FE"/>
    <w:rsid w:val="000D39B3"/>
    <w:rsid w:val="000D3F56"/>
    <w:rsid w:val="000D4103"/>
    <w:rsid w:val="000D4386"/>
    <w:rsid w:val="000D46A1"/>
    <w:rsid w:val="000D4724"/>
    <w:rsid w:val="000D49A6"/>
    <w:rsid w:val="000D49F9"/>
    <w:rsid w:val="000D4A27"/>
    <w:rsid w:val="000D4BFA"/>
    <w:rsid w:val="000D4C23"/>
    <w:rsid w:val="000D4D2D"/>
    <w:rsid w:val="000D504E"/>
    <w:rsid w:val="000D522C"/>
    <w:rsid w:val="000D525A"/>
    <w:rsid w:val="000D5592"/>
    <w:rsid w:val="000D5623"/>
    <w:rsid w:val="000D563E"/>
    <w:rsid w:val="000D571E"/>
    <w:rsid w:val="000D5938"/>
    <w:rsid w:val="000D5A77"/>
    <w:rsid w:val="000D5D86"/>
    <w:rsid w:val="000D62A0"/>
    <w:rsid w:val="000D65A6"/>
    <w:rsid w:val="000D6D43"/>
    <w:rsid w:val="000D6DCF"/>
    <w:rsid w:val="000D6F16"/>
    <w:rsid w:val="000D6FD4"/>
    <w:rsid w:val="000D7391"/>
    <w:rsid w:val="000D74D3"/>
    <w:rsid w:val="000D7B4C"/>
    <w:rsid w:val="000D7B73"/>
    <w:rsid w:val="000D7F1F"/>
    <w:rsid w:val="000E02F5"/>
    <w:rsid w:val="000E0660"/>
    <w:rsid w:val="000E0DC3"/>
    <w:rsid w:val="000E100D"/>
    <w:rsid w:val="000E1CF2"/>
    <w:rsid w:val="000E234D"/>
    <w:rsid w:val="000E2355"/>
    <w:rsid w:val="000E2B25"/>
    <w:rsid w:val="000E2FF1"/>
    <w:rsid w:val="000E3028"/>
    <w:rsid w:val="000E310E"/>
    <w:rsid w:val="000E31A5"/>
    <w:rsid w:val="000E32C4"/>
    <w:rsid w:val="000E3935"/>
    <w:rsid w:val="000E3D66"/>
    <w:rsid w:val="000E41BB"/>
    <w:rsid w:val="000E41D9"/>
    <w:rsid w:val="000E45B7"/>
    <w:rsid w:val="000E5520"/>
    <w:rsid w:val="000E55AC"/>
    <w:rsid w:val="000E55D4"/>
    <w:rsid w:val="000E5D8A"/>
    <w:rsid w:val="000E5F9D"/>
    <w:rsid w:val="000E6459"/>
    <w:rsid w:val="000E65C2"/>
    <w:rsid w:val="000E6850"/>
    <w:rsid w:val="000E7A21"/>
    <w:rsid w:val="000E7E4B"/>
    <w:rsid w:val="000E7F8A"/>
    <w:rsid w:val="000E7FB7"/>
    <w:rsid w:val="000E7FE9"/>
    <w:rsid w:val="000F0EDA"/>
    <w:rsid w:val="000F184F"/>
    <w:rsid w:val="000F1AD5"/>
    <w:rsid w:val="000F1B64"/>
    <w:rsid w:val="000F1D06"/>
    <w:rsid w:val="000F1D7A"/>
    <w:rsid w:val="000F25E7"/>
    <w:rsid w:val="000F268E"/>
    <w:rsid w:val="000F2922"/>
    <w:rsid w:val="000F2C34"/>
    <w:rsid w:val="000F3313"/>
    <w:rsid w:val="000F36BA"/>
    <w:rsid w:val="000F37E4"/>
    <w:rsid w:val="000F3AD3"/>
    <w:rsid w:val="000F4167"/>
    <w:rsid w:val="000F426B"/>
    <w:rsid w:val="000F4514"/>
    <w:rsid w:val="000F4636"/>
    <w:rsid w:val="000F4843"/>
    <w:rsid w:val="000F4E22"/>
    <w:rsid w:val="000F4E74"/>
    <w:rsid w:val="000F52D2"/>
    <w:rsid w:val="000F550F"/>
    <w:rsid w:val="000F57A9"/>
    <w:rsid w:val="000F5C2C"/>
    <w:rsid w:val="000F5D10"/>
    <w:rsid w:val="000F5E91"/>
    <w:rsid w:val="000F650B"/>
    <w:rsid w:val="000F6717"/>
    <w:rsid w:val="000F68AF"/>
    <w:rsid w:val="000F69EE"/>
    <w:rsid w:val="000F7077"/>
    <w:rsid w:val="000F7083"/>
    <w:rsid w:val="000F70A3"/>
    <w:rsid w:val="000F7647"/>
    <w:rsid w:val="000F7A9C"/>
    <w:rsid w:val="000F7AAE"/>
    <w:rsid w:val="000F7ACF"/>
    <w:rsid w:val="000F7F19"/>
    <w:rsid w:val="00100220"/>
    <w:rsid w:val="001002A6"/>
    <w:rsid w:val="0010057E"/>
    <w:rsid w:val="0010071A"/>
    <w:rsid w:val="001008DF"/>
    <w:rsid w:val="00100BCB"/>
    <w:rsid w:val="00100D5B"/>
    <w:rsid w:val="00100FA7"/>
    <w:rsid w:val="00101241"/>
    <w:rsid w:val="001014F5"/>
    <w:rsid w:val="00101509"/>
    <w:rsid w:val="00101BE6"/>
    <w:rsid w:val="0010210D"/>
    <w:rsid w:val="00102613"/>
    <w:rsid w:val="0010286A"/>
    <w:rsid w:val="001029BB"/>
    <w:rsid w:val="00102CAA"/>
    <w:rsid w:val="00102E27"/>
    <w:rsid w:val="00102E5D"/>
    <w:rsid w:val="00103060"/>
    <w:rsid w:val="0010333F"/>
    <w:rsid w:val="00103766"/>
    <w:rsid w:val="00103ABB"/>
    <w:rsid w:val="00104151"/>
    <w:rsid w:val="0010430A"/>
    <w:rsid w:val="001043B6"/>
    <w:rsid w:val="00104A3C"/>
    <w:rsid w:val="00104CF4"/>
    <w:rsid w:val="00104DE5"/>
    <w:rsid w:val="001058DB"/>
    <w:rsid w:val="00105B33"/>
    <w:rsid w:val="00105D62"/>
    <w:rsid w:val="00105D84"/>
    <w:rsid w:val="00105DEA"/>
    <w:rsid w:val="00105FCC"/>
    <w:rsid w:val="00106079"/>
    <w:rsid w:val="0010657E"/>
    <w:rsid w:val="001068B8"/>
    <w:rsid w:val="00106A9B"/>
    <w:rsid w:val="00106BBB"/>
    <w:rsid w:val="00106BFB"/>
    <w:rsid w:val="00106D3E"/>
    <w:rsid w:val="00106F37"/>
    <w:rsid w:val="001077E7"/>
    <w:rsid w:val="001078CE"/>
    <w:rsid w:val="00107908"/>
    <w:rsid w:val="00110314"/>
    <w:rsid w:val="0011034E"/>
    <w:rsid w:val="001105B9"/>
    <w:rsid w:val="00110690"/>
    <w:rsid w:val="0011081A"/>
    <w:rsid w:val="001109AD"/>
    <w:rsid w:val="00110B06"/>
    <w:rsid w:val="00111674"/>
    <w:rsid w:val="00111762"/>
    <w:rsid w:val="001118CB"/>
    <w:rsid w:val="00111951"/>
    <w:rsid w:val="00111AB9"/>
    <w:rsid w:val="00111C2D"/>
    <w:rsid w:val="00111CD2"/>
    <w:rsid w:val="00112069"/>
    <w:rsid w:val="001125E9"/>
    <w:rsid w:val="001125F6"/>
    <w:rsid w:val="00112A47"/>
    <w:rsid w:val="0011320F"/>
    <w:rsid w:val="0011324D"/>
    <w:rsid w:val="001139B4"/>
    <w:rsid w:val="001139E5"/>
    <w:rsid w:val="00113DFB"/>
    <w:rsid w:val="00113FE3"/>
    <w:rsid w:val="00114197"/>
    <w:rsid w:val="001141A5"/>
    <w:rsid w:val="001143C7"/>
    <w:rsid w:val="00114629"/>
    <w:rsid w:val="00114EAE"/>
    <w:rsid w:val="00115671"/>
    <w:rsid w:val="00115812"/>
    <w:rsid w:val="00115C89"/>
    <w:rsid w:val="00115F6E"/>
    <w:rsid w:val="001164CA"/>
    <w:rsid w:val="0011650E"/>
    <w:rsid w:val="001167B7"/>
    <w:rsid w:val="001167F8"/>
    <w:rsid w:val="00116A43"/>
    <w:rsid w:val="00116AB3"/>
    <w:rsid w:val="00116BB7"/>
    <w:rsid w:val="00116F4D"/>
    <w:rsid w:val="00117180"/>
    <w:rsid w:val="00117282"/>
    <w:rsid w:val="001174E3"/>
    <w:rsid w:val="00117811"/>
    <w:rsid w:val="00117981"/>
    <w:rsid w:val="00117A41"/>
    <w:rsid w:val="00120379"/>
    <w:rsid w:val="001205CF"/>
    <w:rsid w:val="00120726"/>
    <w:rsid w:val="001207E9"/>
    <w:rsid w:val="00120C06"/>
    <w:rsid w:val="00120C20"/>
    <w:rsid w:val="001219AE"/>
    <w:rsid w:val="00121A12"/>
    <w:rsid w:val="00121BDB"/>
    <w:rsid w:val="00121F50"/>
    <w:rsid w:val="00121F6F"/>
    <w:rsid w:val="001222BD"/>
    <w:rsid w:val="00122492"/>
    <w:rsid w:val="001224A5"/>
    <w:rsid w:val="00122A3C"/>
    <w:rsid w:val="00122BCF"/>
    <w:rsid w:val="00122FC9"/>
    <w:rsid w:val="0012326D"/>
    <w:rsid w:val="0012343A"/>
    <w:rsid w:val="00123500"/>
    <w:rsid w:val="00123738"/>
    <w:rsid w:val="00123755"/>
    <w:rsid w:val="00123918"/>
    <w:rsid w:val="00123B2F"/>
    <w:rsid w:val="00123D82"/>
    <w:rsid w:val="00123E43"/>
    <w:rsid w:val="00123E56"/>
    <w:rsid w:val="00123ED5"/>
    <w:rsid w:val="001240EC"/>
    <w:rsid w:val="0012458B"/>
    <w:rsid w:val="0012488A"/>
    <w:rsid w:val="00124A97"/>
    <w:rsid w:val="00124E20"/>
    <w:rsid w:val="00124E9F"/>
    <w:rsid w:val="00125102"/>
    <w:rsid w:val="001252AA"/>
    <w:rsid w:val="001252EE"/>
    <w:rsid w:val="00125772"/>
    <w:rsid w:val="00125B4F"/>
    <w:rsid w:val="00125BB8"/>
    <w:rsid w:val="00125C69"/>
    <w:rsid w:val="00125DBD"/>
    <w:rsid w:val="001260CB"/>
    <w:rsid w:val="001263FD"/>
    <w:rsid w:val="0012677A"/>
    <w:rsid w:val="001269F9"/>
    <w:rsid w:val="00126B54"/>
    <w:rsid w:val="0012703B"/>
    <w:rsid w:val="00127235"/>
    <w:rsid w:val="001279D6"/>
    <w:rsid w:val="00127AA6"/>
    <w:rsid w:val="00127E08"/>
    <w:rsid w:val="001302D0"/>
    <w:rsid w:val="00130528"/>
    <w:rsid w:val="001306A4"/>
    <w:rsid w:val="0013075A"/>
    <w:rsid w:val="001308D7"/>
    <w:rsid w:val="00130CB6"/>
    <w:rsid w:val="00131013"/>
    <w:rsid w:val="001310ED"/>
    <w:rsid w:val="001310F7"/>
    <w:rsid w:val="0013151A"/>
    <w:rsid w:val="0013179E"/>
    <w:rsid w:val="001318A9"/>
    <w:rsid w:val="00131BA0"/>
    <w:rsid w:val="001320E6"/>
    <w:rsid w:val="00132281"/>
    <w:rsid w:val="00132420"/>
    <w:rsid w:val="00132450"/>
    <w:rsid w:val="0013248A"/>
    <w:rsid w:val="001326EC"/>
    <w:rsid w:val="001328DB"/>
    <w:rsid w:val="00132F55"/>
    <w:rsid w:val="0013337F"/>
    <w:rsid w:val="00133B77"/>
    <w:rsid w:val="00133C9A"/>
    <w:rsid w:val="00133DD3"/>
    <w:rsid w:val="00134439"/>
    <w:rsid w:val="0013448C"/>
    <w:rsid w:val="00134C98"/>
    <w:rsid w:val="00134CB0"/>
    <w:rsid w:val="00134D69"/>
    <w:rsid w:val="00135139"/>
    <w:rsid w:val="001352AE"/>
    <w:rsid w:val="001369E3"/>
    <w:rsid w:val="001369E6"/>
    <w:rsid w:val="00136AED"/>
    <w:rsid w:val="00136C57"/>
    <w:rsid w:val="0013725C"/>
    <w:rsid w:val="001374AE"/>
    <w:rsid w:val="00137624"/>
    <w:rsid w:val="00137768"/>
    <w:rsid w:val="00137B2F"/>
    <w:rsid w:val="00137BD5"/>
    <w:rsid w:val="00137BD9"/>
    <w:rsid w:val="00137C62"/>
    <w:rsid w:val="00140367"/>
    <w:rsid w:val="001408FD"/>
    <w:rsid w:val="00140C9C"/>
    <w:rsid w:val="00140E43"/>
    <w:rsid w:val="00140FDA"/>
    <w:rsid w:val="0014117F"/>
    <w:rsid w:val="00141658"/>
    <w:rsid w:val="00141662"/>
    <w:rsid w:val="00141A1D"/>
    <w:rsid w:val="00141AFE"/>
    <w:rsid w:val="00141C22"/>
    <w:rsid w:val="00141C71"/>
    <w:rsid w:val="00141C93"/>
    <w:rsid w:val="00141FF2"/>
    <w:rsid w:val="0014218B"/>
    <w:rsid w:val="00142354"/>
    <w:rsid w:val="0014267C"/>
    <w:rsid w:val="00142912"/>
    <w:rsid w:val="00142BF1"/>
    <w:rsid w:val="00142C05"/>
    <w:rsid w:val="00143032"/>
    <w:rsid w:val="001431B8"/>
    <w:rsid w:val="00143225"/>
    <w:rsid w:val="00143397"/>
    <w:rsid w:val="00143B9A"/>
    <w:rsid w:val="00143D28"/>
    <w:rsid w:val="0014423A"/>
    <w:rsid w:val="0014438F"/>
    <w:rsid w:val="001443A9"/>
    <w:rsid w:val="001444C0"/>
    <w:rsid w:val="001445A4"/>
    <w:rsid w:val="001449BD"/>
    <w:rsid w:val="0014506E"/>
    <w:rsid w:val="00145084"/>
    <w:rsid w:val="00145268"/>
    <w:rsid w:val="00145279"/>
    <w:rsid w:val="00145454"/>
    <w:rsid w:val="001456A5"/>
    <w:rsid w:val="00145923"/>
    <w:rsid w:val="00145CE9"/>
    <w:rsid w:val="001460A9"/>
    <w:rsid w:val="001462D1"/>
    <w:rsid w:val="001466FB"/>
    <w:rsid w:val="00146B93"/>
    <w:rsid w:val="001472B0"/>
    <w:rsid w:val="001473DE"/>
    <w:rsid w:val="00147B6E"/>
    <w:rsid w:val="00147C34"/>
    <w:rsid w:val="00147DD6"/>
    <w:rsid w:val="00150060"/>
    <w:rsid w:val="001502FA"/>
    <w:rsid w:val="0015091D"/>
    <w:rsid w:val="00150ACF"/>
    <w:rsid w:val="00150C93"/>
    <w:rsid w:val="00151444"/>
    <w:rsid w:val="00151DE9"/>
    <w:rsid w:val="00151E92"/>
    <w:rsid w:val="00151E9F"/>
    <w:rsid w:val="00151FD1"/>
    <w:rsid w:val="00152553"/>
    <w:rsid w:val="00152A3B"/>
    <w:rsid w:val="0015344B"/>
    <w:rsid w:val="00153753"/>
    <w:rsid w:val="0015380A"/>
    <w:rsid w:val="00153A90"/>
    <w:rsid w:val="00153C03"/>
    <w:rsid w:val="00153CBB"/>
    <w:rsid w:val="00153DB9"/>
    <w:rsid w:val="00153F9D"/>
    <w:rsid w:val="00153FEB"/>
    <w:rsid w:val="0015415B"/>
    <w:rsid w:val="00154846"/>
    <w:rsid w:val="0015493F"/>
    <w:rsid w:val="001549A2"/>
    <w:rsid w:val="00154B92"/>
    <w:rsid w:val="00154C5B"/>
    <w:rsid w:val="00154D17"/>
    <w:rsid w:val="00154F51"/>
    <w:rsid w:val="0015596B"/>
    <w:rsid w:val="00155BAC"/>
    <w:rsid w:val="00156011"/>
    <w:rsid w:val="00156298"/>
    <w:rsid w:val="001563A8"/>
    <w:rsid w:val="0015685F"/>
    <w:rsid w:val="00156D31"/>
    <w:rsid w:val="00156FF3"/>
    <w:rsid w:val="00156FF7"/>
    <w:rsid w:val="00157007"/>
    <w:rsid w:val="0015713D"/>
    <w:rsid w:val="001572D9"/>
    <w:rsid w:val="00157402"/>
    <w:rsid w:val="00157471"/>
    <w:rsid w:val="001575AF"/>
    <w:rsid w:val="00157AA1"/>
    <w:rsid w:val="00157B32"/>
    <w:rsid w:val="00157D46"/>
    <w:rsid w:val="00157D73"/>
    <w:rsid w:val="0016068D"/>
    <w:rsid w:val="001607B2"/>
    <w:rsid w:val="0016084E"/>
    <w:rsid w:val="00160CC9"/>
    <w:rsid w:val="00160DC3"/>
    <w:rsid w:val="00160EA8"/>
    <w:rsid w:val="00161343"/>
    <w:rsid w:val="00161B67"/>
    <w:rsid w:val="00161C79"/>
    <w:rsid w:val="00161EC1"/>
    <w:rsid w:val="00161FAD"/>
    <w:rsid w:val="00162114"/>
    <w:rsid w:val="001622B2"/>
    <w:rsid w:val="001625ED"/>
    <w:rsid w:val="001626A1"/>
    <w:rsid w:val="00162D6A"/>
    <w:rsid w:val="00162FD0"/>
    <w:rsid w:val="00163123"/>
    <w:rsid w:val="00163435"/>
    <w:rsid w:val="00163994"/>
    <w:rsid w:val="00163B6C"/>
    <w:rsid w:val="00164127"/>
    <w:rsid w:val="0016506F"/>
    <w:rsid w:val="00165242"/>
    <w:rsid w:val="001652E8"/>
    <w:rsid w:val="001655DA"/>
    <w:rsid w:val="001656A1"/>
    <w:rsid w:val="00165752"/>
    <w:rsid w:val="00166052"/>
    <w:rsid w:val="001660B3"/>
    <w:rsid w:val="0016616E"/>
    <w:rsid w:val="001664C8"/>
    <w:rsid w:val="0016695D"/>
    <w:rsid w:val="00166C95"/>
    <w:rsid w:val="00166F96"/>
    <w:rsid w:val="0016725B"/>
    <w:rsid w:val="00167467"/>
    <w:rsid w:val="00167840"/>
    <w:rsid w:val="00167FD2"/>
    <w:rsid w:val="00170084"/>
    <w:rsid w:val="001709E1"/>
    <w:rsid w:val="00170F05"/>
    <w:rsid w:val="00170F29"/>
    <w:rsid w:val="0017179E"/>
    <w:rsid w:val="00171834"/>
    <w:rsid w:val="00171C31"/>
    <w:rsid w:val="00171D82"/>
    <w:rsid w:val="00172277"/>
    <w:rsid w:val="0017242E"/>
    <w:rsid w:val="0017268A"/>
    <w:rsid w:val="001727B2"/>
    <w:rsid w:val="001727C4"/>
    <w:rsid w:val="001728A0"/>
    <w:rsid w:val="00172A03"/>
    <w:rsid w:val="00172D9A"/>
    <w:rsid w:val="00172FF3"/>
    <w:rsid w:val="0017331D"/>
    <w:rsid w:val="001735AF"/>
    <w:rsid w:val="00173927"/>
    <w:rsid w:val="00173A80"/>
    <w:rsid w:val="00173F8F"/>
    <w:rsid w:val="00174059"/>
    <w:rsid w:val="001740C2"/>
    <w:rsid w:val="001743D5"/>
    <w:rsid w:val="0017462F"/>
    <w:rsid w:val="001749FD"/>
    <w:rsid w:val="00174B6D"/>
    <w:rsid w:val="00174E17"/>
    <w:rsid w:val="0017551B"/>
    <w:rsid w:val="00175A53"/>
    <w:rsid w:val="00175D1A"/>
    <w:rsid w:val="00176472"/>
    <w:rsid w:val="00176819"/>
    <w:rsid w:val="00176AD4"/>
    <w:rsid w:val="00176CA7"/>
    <w:rsid w:val="001770AC"/>
    <w:rsid w:val="0017729F"/>
    <w:rsid w:val="0017780F"/>
    <w:rsid w:val="00177962"/>
    <w:rsid w:val="0017796E"/>
    <w:rsid w:val="001779D7"/>
    <w:rsid w:val="00177B4D"/>
    <w:rsid w:val="00177D76"/>
    <w:rsid w:val="00177DBE"/>
    <w:rsid w:val="00177E36"/>
    <w:rsid w:val="00180384"/>
    <w:rsid w:val="0018049D"/>
    <w:rsid w:val="00180524"/>
    <w:rsid w:val="00180634"/>
    <w:rsid w:val="00180709"/>
    <w:rsid w:val="00180AAE"/>
    <w:rsid w:val="00180EEB"/>
    <w:rsid w:val="00180F09"/>
    <w:rsid w:val="0018117E"/>
    <w:rsid w:val="00181433"/>
    <w:rsid w:val="0018171F"/>
    <w:rsid w:val="00181F5D"/>
    <w:rsid w:val="001820F2"/>
    <w:rsid w:val="00182251"/>
    <w:rsid w:val="00182353"/>
    <w:rsid w:val="001823E8"/>
    <w:rsid w:val="00182724"/>
    <w:rsid w:val="001827FF"/>
    <w:rsid w:val="0018287C"/>
    <w:rsid w:val="00182BE6"/>
    <w:rsid w:val="00182C23"/>
    <w:rsid w:val="001832FB"/>
    <w:rsid w:val="0018348B"/>
    <w:rsid w:val="001838CA"/>
    <w:rsid w:val="00183972"/>
    <w:rsid w:val="00183B51"/>
    <w:rsid w:val="001840AD"/>
    <w:rsid w:val="001845E7"/>
    <w:rsid w:val="0018468E"/>
    <w:rsid w:val="00184713"/>
    <w:rsid w:val="0018492B"/>
    <w:rsid w:val="00185023"/>
    <w:rsid w:val="001852BB"/>
    <w:rsid w:val="00185558"/>
    <w:rsid w:val="001857B6"/>
    <w:rsid w:val="001862C3"/>
    <w:rsid w:val="00186581"/>
    <w:rsid w:val="0018680E"/>
    <w:rsid w:val="001869C7"/>
    <w:rsid w:val="00186C45"/>
    <w:rsid w:val="00186D76"/>
    <w:rsid w:val="00186D88"/>
    <w:rsid w:val="0018728D"/>
    <w:rsid w:val="00187338"/>
    <w:rsid w:val="0018754D"/>
    <w:rsid w:val="00187B1C"/>
    <w:rsid w:val="00187E63"/>
    <w:rsid w:val="00187E86"/>
    <w:rsid w:val="00187F6E"/>
    <w:rsid w:val="00190815"/>
    <w:rsid w:val="0019084E"/>
    <w:rsid w:val="00190DA9"/>
    <w:rsid w:val="00191137"/>
    <w:rsid w:val="00191655"/>
    <w:rsid w:val="0019165A"/>
    <w:rsid w:val="00191934"/>
    <w:rsid w:val="00191F94"/>
    <w:rsid w:val="001922FD"/>
    <w:rsid w:val="001926BD"/>
    <w:rsid w:val="00192783"/>
    <w:rsid w:val="00192830"/>
    <w:rsid w:val="001933E5"/>
    <w:rsid w:val="0019346D"/>
    <w:rsid w:val="00193714"/>
    <w:rsid w:val="00193CFF"/>
    <w:rsid w:val="00194185"/>
    <w:rsid w:val="00194301"/>
    <w:rsid w:val="00194354"/>
    <w:rsid w:val="00194776"/>
    <w:rsid w:val="00194A41"/>
    <w:rsid w:val="00194A68"/>
    <w:rsid w:val="00194D2D"/>
    <w:rsid w:val="00195160"/>
    <w:rsid w:val="001953AB"/>
    <w:rsid w:val="00195602"/>
    <w:rsid w:val="00196199"/>
    <w:rsid w:val="00196359"/>
    <w:rsid w:val="00197279"/>
    <w:rsid w:val="001972D8"/>
    <w:rsid w:val="0019746E"/>
    <w:rsid w:val="0019780C"/>
    <w:rsid w:val="00197D48"/>
    <w:rsid w:val="00197DE8"/>
    <w:rsid w:val="001A0344"/>
    <w:rsid w:val="001A0345"/>
    <w:rsid w:val="001A0379"/>
    <w:rsid w:val="001A03FE"/>
    <w:rsid w:val="001A0549"/>
    <w:rsid w:val="001A0829"/>
    <w:rsid w:val="001A0854"/>
    <w:rsid w:val="001A12AA"/>
    <w:rsid w:val="001A130E"/>
    <w:rsid w:val="001A13AF"/>
    <w:rsid w:val="001A13DF"/>
    <w:rsid w:val="001A1484"/>
    <w:rsid w:val="001A16B8"/>
    <w:rsid w:val="001A194C"/>
    <w:rsid w:val="001A1B30"/>
    <w:rsid w:val="001A1F30"/>
    <w:rsid w:val="001A2006"/>
    <w:rsid w:val="001A2367"/>
    <w:rsid w:val="001A2387"/>
    <w:rsid w:val="001A25FA"/>
    <w:rsid w:val="001A267A"/>
    <w:rsid w:val="001A2A2C"/>
    <w:rsid w:val="001A2BCD"/>
    <w:rsid w:val="001A2ED0"/>
    <w:rsid w:val="001A30C5"/>
    <w:rsid w:val="001A34D0"/>
    <w:rsid w:val="001A35FD"/>
    <w:rsid w:val="001A3617"/>
    <w:rsid w:val="001A361D"/>
    <w:rsid w:val="001A3BE9"/>
    <w:rsid w:val="001A3E9E"/>
    <w:rsid w:val="001A4092"/>
    <w:rsid w:val="001A41E5"/>
    <w:rsid w:val="001A420C"/>
    <w:rsid w:val="001A44BD"/>
    <w:rsid w:val="001A454E"/>
    <w:rsid w:val="001A497F"/>
    <w:rsid w:val="001A5042"/>
    <w:rsid w:val="001A52A5"/>
    <w:rsid w:val="001A537A"/>
    <w:rsid w:val="001A544D"/>
    <w:rsid w:val="001A549D"/>
    <w:rsid w:val="001A54B5"/>
    <w:rsid w:val="001A57F9"/>
    <w:rsid w:val="001A58A4"/>
    <w:rsid w:val="001A5EFE"/>
    <w:rsid w:val="001A637F"/>
    <w:rsid w:val="001A68A5"/>
    <w:rsid w:val="001A6C1C"/>
    <w:rsid w:val="001A6E33"/>
    <w:rsid w:val="001A741C"/>
    <w:rsid w:val="001A748E"/>
    <w:rsid w:val="001A7CA4"/>
    <w:rsid w:val="001A7F0D"/>
    <w:rsid w:val="001A7F1B"/>
    <w:rsid w:val="001B06A3"/>
    <w:rsid w:val="001B0AB7"/>
    <w:rsid w:val="001B0CCF"/>
    <w:rsid w:val="001B0E03"/>
    <w:rsid w:val="001B0F91"/>
    <w:rsid w:val="001B1CF2"/>
    <w:rsid w:val="001B1E06"/>
    <w:rsid w:val="001B2024"/>
    <w:rsid w:val="001B218E"/>
    <w:rsid w:val="001B25FD"/>
    <w:rsid w:val="001B27B0"/>
    <w:rsid w:val="001B2D59"/>
    <w:rsid w:val="001B2DAC"/>
    <w:rsid w:val="001B2E2D"/>
    <w:rsid w:val="001B3795"/>
    <w:rsid w:val="001B3A35"/>
    <w:rsid w:val="001B3AA1"/>
    <w:rsid w:val="001B3BDD"/>
    <w:rsid w:val="001B40EB"/>
    <w:rsid w:val="001B42BF"/>
    <w:rsid w:val="001B432E"/>
    <w:rsid w:val="001B4531"/>
    <w:rsid w:val="001B4686"/>
    <w:rsid w:val="001B46D2"/>
    <w:rsid w:val="001B4853"/>
    <w:rsid w:val="001B4A2D"/>
    <w:rsid w:val="001B4AB7"/>
    <w:rsid w:val="001B4FEB"/>
    <w:rsid w:val="001B5036"/>
    <w:rsid w:val="001B5243"/>
    <w:rsid w:val="001B5F31"/>
    <w:rsid w:val="001B6098"/>
    <w:rsid w:val="001B6BA5"/>
    <w:rsid w:val="001B6C43"/>
    <w:rsid w:val="001B6F0B"/>
    <w:rsid w:val="001B70E8"/>
    <w:rsid w:val="001B733C"/>
    <w:rsid w:val="001B77CD"/>
    <w:rsid w:val="001B7985"/>
    <w:rsid w:val="001B79BA"/>
    <w:rsid w:val="001B7A11"/>
    <w:rsid w:val="001C0765"/>
    <w:rsid w:val="001C0E75"/>
    <w:rsid w:val="001C0ED4"/>
    <w:rsid w:val="001C1233"/>
    <w:rsid w:val="001C12A4"/>
    <w:rsid w:val="001C12F9"/>
    <w:rsid w:val="001C1E73"/>
    <w:rsid w:val="001C28D8"/>
    <w:rsid w:val="001C3376"/>
    <w:rsid w:val="001C33FB"/>
    <w:rsid w:val="001C3423"/>
    <w:rsid w:val="001C352E"/>
    <w:rsid w:val="001C3DB3"/>
    <w:rsid w:val="001C3DC8"/>
    <w:rsid w:val="001C40CF"/>
    <w:rsid w:val="001C418E"/>
    <w:rsid w:val="001C41E7"/>
    <w:rsid w:val="001C4FBB"/>
    <w:rsid w:val="001C5239"/>
    <w:rsid w:val="001C56C1"/>
    <w:rsid w:val="001C5832"/>
    <w:rsid w:val="001C58DA"/>
    <w:rsid w:val="001C59D0"/>
    <w:rsid w:val="001C5B00"/>
    <w:rsid w:val="001C5B47"/>
    <w:rsid w:val="001C5DED"/>
    <w:rsid w:val="001C6099"/>
    <w:rsid w:val="001C6752"/>
    <w:rsid w:val="001C6B50"/>
    <w:rsid w:val="001C6DBC"/>
    <w:rsid w:val="001C6FE6"/>
    <w:rsid w:val="001C753F"/>
    <w:rsid w:val="001C75DB"/>
    <w:rsid w:val="001C764E"/>
    <w:rsid w:val="001C7989"/>
    <w:rsid w:val="001C7A51"/>
    <w:rsid w:val="001C7D51"/>
    <w:rsid w:val="001C7DF2"/>
    <w:rsid w:val="001C7F0B"/>
    <w:rsid w:val="001D0156"/>
    <w:rsid w:val="001D0203"/>
    <w:rsid w:val="001D0489"/>
    <w:rsid w:val="001D0961"/>
    <w:rsid w:val="001D0A90"/>
    <w:rsid w:val="001D0C95"/>
    <w:rsid w:val="001D0E57"/>
    <w:rsid w:val="001D1530"/>
    <w:rsid w:val="001D1A62"/>
    <w:rsid w:val="001D1DCB"/>
    <w:rsid w:val="001D28A1"/>
    <w:rsid w:val="001D28B7"/>
    <w:rsid w:val="001D2BDA"/>
    <w:rsid w:val="001D2C85"/>
    <w:rsid w:val="001D2D75"/>
    <w:rsid w:val="001D2DE1"/>
    <w:rsid w:val="001D3383"/>
    <w:rsid w:val="001D380A"/>
    <w:rsid w:val="001D383D"/>
    <w:rsid w:val="001D3C63"/>
    <w:rsid w:val="001D3D1B"/>
    <w:rsid w:val="001D444C"/>
    <w:rsid w:val="001D44B9"/>
    <w:rsid w:val="001D470E"/>
    <w:rsid w:val="001D4773"/>
    <w:rsid w:val="001D4B42"/>
    <w:rsid w:val="001D4D34"/>
    <w:rsid w:val="001D4DB4"/>
    <w:rsid w:val="001D5250"/>
    <w:rsid w:val="001D57A4"/>
    <w:rsid w:val="001D5A27"/>
    <w:rsid w:val="001D60DA"/>
    <w:rsid w:val="001D61BD"/>
    <w:rsid w:val="001D6375"/>
    <w:rsid w:val="001D65F3"/>
    <w:rsid w:val="001D68CD"/>
    <w:rsid w:val="001D7151"/>
    <w:rsid w:val="001D772A"/>
    <w:rsid w:val="001E016D"/>
    <w:rsid w:val="001E165B"/>
    <w:rsid w:val="001E174A"/>
    <w:rsid w:val="001E18CC"/>
    <w:rsid w:val="001E19C3"/>
    <w:rsid w:val="001E1B16"/>
    <w:rsid w:val="001E228A"/>
    <w:rsid w:val="001E2477"/>
    <w:rsid w:val="001E25B6"/>
    <w:rsid w:val="001E2775"/>
    <w:rsid w:val="001E2A31"/>
    <w:rsid w:val="001E2A5D"/>
    <w:rsid w:val="001E2B69"/>
    <w:rsid w:val="001E2C0C"/>
    <w:rsid w:val="001E2EBD"/>
    <w:rsid w:val="001E3231"/>
    <w:rsid w:val="001E340A"/>
    <w:rsid w:val="001E3FA6"/>
    <w:rsid w:val="001E3FBF"/>
    <w:rsid w:val="001E43CE"/>
    <w:rsid w:val="001E4ABF"/>
    <w:rsid w:val="001E4D53"/>
    <w:rsid w:val="001E5328"/>
    <w:rsid w:val="001E532F"/>
    <w:rsid w:val="001E54E1"/>
    <w:rsid w:val="001E5771"/>
    <w:rsid w:val="001E5965"/>
    <w:rsid w:val="001E5C69"/>
    <w:rsid w:val="001E5FF5"/>
    <w:rsid w:val="001E63CA"/>
    <w:rsid w:val="001E69F8"/>
    <w:rsid w:val="001E6AAD"/>
    <w:rsid w:val="001E6AB7"/>
    <w:rsid w:val="001E6DD6"/>
    <w:rsid w:val="001E6E55"/>
    <w:rsid w:val="001E714A"/>
    <w:rsid w:val="001E7855"/>
    <w:rsid w:val="001E787C"/>
    <w:rsid w:val="001E7919"/>
    <w:rsid w:val="001E79DD"/>
    <w:rsid w:val="001E79E4"/>
    <w:rsid w:val="001E7B56"/>
    <w:rsid w:val="001F0038"/>
    <w:rsid w:val="001F0197"/>
    <w:rsid w:val="001F0588"/>
    <w:rsid w:val="001F0943"/>
    <w:rsid w:val="001F096F"/>
    <w:rsid w:val="001F09DE"/>
    <w:rsid w:val="001F0B94"/>
    <w:rsid w:val="001F1337"/>
    <w:rsid w:val="001F1565"/>
    <w:rsid w:val="001F1782"/>
    <w:rsid w:val="001F1798"/>
    <w:rsid w:val="001F1991"/>
    <w:rsid w:val="001F19EF"/>
    <w:rsid w:val="001F1A15"/>
    <w:rsid w:val="001F1ADA"/>
    <w:rsid w:val="001F1BB0"/>
    <w:rsid w:val="001F1E41"/>
    <w:rsid w:val="001F1FD2"/>
    <w:rsid w:val="001F2368"/>
    <w:rsid w:val="001F23B3"/>
    <w:rsid w:val="001F2524"/>
    <w:rsid w:val="001F285F"/>
    <w:rsid w:val="001F2924"/>
    <w:rsid w:val="001F2A8E"/>
    <w:rsid w:val="001F3056"/>
    <w:rsid w:val="001F30DD"/>
    <w:rsid w:val="001F3792"/>
    <w:rsid w:val="001F38FE"/>
    <w:rsid w:val="001F4051"/>
    <w:rsid w:val="001F4074"/>
    <w:rsid w:val="001F457A"/>
    <w:rsid w:val="001F4685"/>
    <w:rsid w:val="001F47D3"/>
    <w:rsid w:val="001F4A2A"/>
    <w:rsid w:val="001F4EBC"/>
    <w:rsid w:val="001F4FE2"/>
    <w:rsid w:val="001F5777"/>
    <w:rsid w:val="001F5833"/>
    <w:rsid w:val="001F5BB3"/>
    <w:rsid w:val="001F6594"/>
    <w:rsid w:val="001F65BD"/>
    <w:rsid w:val="001F668B"/>
    <w:rsid w:val="001F673A"/>
    <w:rsid w:val="001F72FB"/>
    <w:rsid w:val="001F7478"/>
    <w:rsid w:val="001F7497"/>
    <w:rsid w:val="001F74EE"/>
    <w:rsid w:val="001F7504"/>
    <w:rsid w:val="001F7602"/>
    <w:rsid w:val="001F78F5"/>
    <w:rsid w:val="001F7AA4"/>
    <w:rsid w:val="00200044"/>
    <w:rsid w:val="002000D5"/>
    <w:rsid w:val="002003EA"/>
    <w:rsid w:val="00200476"/>
    <w:rsid w:val="00200955"/>
    <w:rsid w:val="00200ADE"/>
    <w:rsid w:val="00200B2E"/>
    <w:rsid w:val="00201A42"/>
    <w:rsid w:val="00201C23"/>
    <w:rsid w:val="00201EB4"/>
    <w:rsid w:val="002023B4"/>
    <w:rsid w:val="0020241D"/>
    <w:rsid w:val="0020288F"/>
    <w:rsid w:val="00202B33"/>
    <w:rsid w:val="00202B5D"/>
    <w:rsid w:val="00202D2E"/>
    <w:rsid w:val="0020352F"/>
    <w:rsid w:val="002035F5"/>
    <w:rsid w:val="00203727"/>
    <w:rsid w:val="00203BED"/>
    <w:rsid w:val="00203D20"/>
    <w:rsid w:val="00203D66"/>
    <w:rsid w:val="00203EF0"/>
    <w:rsid w:val="00204588"/>
    <w:rsid w:val="00204C18"/>
    <w:rsid w:val="00204E9C"/>
    <w:rsid w:val="0020531E"/>
    <w:rsid w:val="00205530"/>
    <w:rsid w:val="0020571C"/>
    <w:rsid w:val="00205A56"/>
    <w:rsid w:val="00205B1E"/>
    <w:rsid w:val="00205B5B"/>
    <w:rsid w:val="00205BD5"/>
    <w:rsid w:val="00205C47"/>
    <w:rsid w:val="00205F48"/>
    <w:rsid w:val="00205F9E"/>
    <w:rsid w:val="0020614C"/>
    <w:rsid w:val="002061C1"/>
    <w:rsid w:val="002062A6"/>
    <w:rsid w:val="0020668D"/>
    <w:rsid w:val="0020685F"/>
    <w:rsid w:val="00206C1F"/>
    <w:rsid w:val="00206C79"/>
    <w:rsid w:val="00206CAB"/>
    <w:rsid w:val="00206D57"/>
    <w:rsid w:val="00206FD2"/>
    <w:rsid w:val="0020737F"/>
    <w:rsid w:val="002077E8"/>
    <w:rsid w:val="00207925"/>
    <w:rsid w:val="002079F2"/>
    <w:rsid w:val="00207A7E"/>
    <w:rsid w:val="00207BD8"/>
    <w:rsid w:val="00210189"/>
    <w:rsid w:val="002101EE"/>
    <w:rsid w:val="00210274"/>
    <w:rsid w:val="00210294"/>
    <w:rsid w:val="00210408"/>
    <w:rsid w:val="0021047A"/>
    <w:rsid w:val="00210783"/>
    <w:rsid w:val="0021092D"/>
    <w:rsid w:val="00210F56"/>
    <w:rsid w:val="00210FA2"/>
    <w:rsid w:val="0021121E"/>
    <w:rsid w:val="00211260"/>
    <w:rsid w:val="002113B5"/>
    <w:rsid w:val="00211A22"/>
    <w:rsid w:val="00211EE3"/>
    <w:rsid w:val="00211EF2"/>
    <w:rsid w:val="0021280B"/>
    <w:rsid w:val="002128C4"/>
    <w:rsid w:val="0021292C"/>
    <w:rsid w:val="00212DA1"/>
    <w:rsid w:val="00212F61"/>
    <w:rsid w:val="00212F97"/>
    <w:rsid w:val="002130B8"/>
    <w:rsid w:val="002130DA"/>
    <w:rsid w:val="002135E8"/>
    <w:rsid w:val="00213725"/>
    <w:rsid w:val="002137A0"/>
    <w:rsid w:val="00213A6F"/>
    <w:rsid w:val="00213BAB"/>
    <w:rsid w:val="00213D49"/>
    <w:rsid w:val="00213E3B"/>
    <w:rsid w:val="00213E60"/>
    <w:rsid w:val="002140A9"/>
    <w:rsid w:val="00214165"/>
    <w:rsid w:val="00214191"/>
    <w:rsid w:val="002141DC"/>
    <w:rsid w:val="002142E4"/>
    <w:rsid w:val="002142F9"/>
    <w:rsid w:val="00214436"/>
    <w:rsid w:val="00214637"/>
    <w:rsid w:val="00215187"/>
    <w:rsid w:val="002151C2"/>
    <w:rsid w:val="00215293"/>
    <w:rsid w:val="002152DA"/>
    <w:rsid w:val="0021531F"/>
    <w:rsid w:val="002153AE"/>
    <w:rsid w:val="002155B2"/>
    <w:rsid w:val="00215B58"/>
    <w:rsid w:val="00215FC5"/>
    <w:rsid w:val="0021626E"/>
    <w:rsid w:val="002163C9"/>
    <w:rsid w:val="0021677A"/>
    <w:rsid w:val="00216A50"/>
    <w:rsid w:val="00216A81"/>
    <w:rsid w:val="00216AFA"/>
    <w:rsid w:val="00217096"/>
    <w:rsid w:val="00217171"/>
    <w:rsid w:val="00217690"/>
    <w:rsid w:val="00217C12"/>
    <w:rsid w:val="00217F28"/>
    <w:rsid w:val="0022000C"/>
    <w:rsid w:val="002200D3"/>
    <w:rsid w:val="00220279"/>
    <w:rsid w:val="0022060A"/>
    <w:rsid w:val="0022061E"/>
    <w:rsid w:val="00220B4F"/>
    <w:rsid w:val="00220C36"/>
    <w:rsid w:val="00220DB6"/>
    <w:rsid w:val="0022120F"/>
    <w:rsid w:val="002212EF"/>
    <w:rsid w:val="002214B9"/>
    <w:rsid w:val="0022191F"/>
    <w:rsid w:val="00221996"/>
    <w:rsid w:val="00221CA0"/>
    <w:rsid w:val="00221E01"/>
    <w:rsid w:val="00221E52"/>
    <w:rsid w:val="00221EB6"/>
    <w:rsid w:val="00222166"/>
    <w:rsid w:val="00222624"/>
    <w:rsid w:val="002228AE"/>
    <w:rsid w:val="002229D0"/>
    <w:rsid w:val="00222BE4"/>
    <w:rsid w:val="00222C0F"/>
    <w:rsid w:val="00223BF1"/>
    <w:rsid w:val="0022438A"/>
    <w:rsid w:val="0022448E"/>
    <w:rsid w:val="00224900"/>
    <w:rsid w:val="00224DAA"/>
    <w:rsid w:val="00224EEB"/>
    <w:rsid w:val="002250AF"/>
    <w:rsid w:val="002250E6"/>
    <w:rsid w:val="0022521B"/>
    <w:rsid w:val="00225485"/>
    <w:rsid w:val="002258B3"/>
    <w:rsid w:val="0022608B"/>
    <w:rsid w:val="0022676A"/>
    <w:rsid w:val="00226862"/>
    <w:rsid w:val="00226D4C"/>
    <w:rsid w:val="00226DBF"/>
    <w:rsid w:val="00226DF9"/>
    <w:rsid w:val="00226E28"/>
    <w:rsid w:val="002271EA"/>
    <w:rsid w:val="002273AC"/>
    <w:rsid w:val="002276EA"/>
    <w:rsid w:val="00227884"/>
    <w:rsid w:val="00227B5D"/>
    <w:rsid w:val="00227B9C"/>
    <w:rsid w:val="00230A98"/>
    <w:rsid w:val="00230CDA"/>
    <w:rsid w:val="00230DCC"/>
    <w:rsid w:val="00231417"/>
    <w:rsid w:val="002315F6"/>
    <w:rsid w:val="0023164F"/>
    <w:rsid w:val="0023179A"/>
    <w:rsid w:val="0023186E"/>
    <w:rsid w:val="00231B31"/>
    <w:rsid w:val="00231BE8"/>
    <w:rsid w:val="00231D07"/>
    <w:rsid w:val="00231E9C"/>
    <w:rsid w:val="002323B8"/>
    <w:rsid w:val="002324D6"/>
    <w:rsid w:val="002326BF"/>
    <w:rsid w:val="00232B3C"/>
    <w:rsid w:val="00232D86"/>
    <w:rsid w:val="00232DF5"/>
    <w:rsid w:val="00233701"/>
    <w:rsid w:val="00233B9B"/>
    <w:rsid w:val="002343E2"/>
    <w:rsid w:val="00234754"/>
    <w:rsid w:val="002356F3"/>
    <w:rsid w:val="002358E3"/>
    <w:rsid w:val="002359CB"/>
    <w:rsid w:val="00235A74"/>
    <w:rsid w:val="00235C50"/>
    <w:rsid w:val="002360F9"/>
    <w:rsid w:val="002362E3"/>
    <w:rsid w:val="0023675C"/>
    <w:rsid w:val="00237066"/>
    <w:rsid w:val="002371CF"/>
    <w:rsid w:val="00237C44"/>
    <w:rsid w:val="00237CD1"/>
    <w:rsid w:val="00237EE3"/>
    <w:rsid w:val="00240501"/>
    <w:rsid w:val="00240503"/>
    <w:rsid w:val="0024059F"/>
    <w:rsid w:val="00241249"/>
    <w:rsid w:val="00241305"/>
    <w:rsid w:val="00241898"/>
    <w:rsid w:val="00241B21"/>
    <w:rsid w:val="00241B43"/>
    <w:rsid w:val="00241B9B"/>
    <w:rsid w:val="00242134"/>
    <w:rsid w:val="00242257"/>
    <w:rsid w:val="002423B4"/>
    <w:rsid w:val="002424AC"/>
    <w:rsid w:val="002426B3"/>
    <w:rsid w:val="0024281C"/>
    <w:rsid w:val="00242A98"/>
    <w:rsid w:val="00242C82"/>
    <w:rsid w:val="00242EFE"/>
    <w:rsid w:val="00242F78"/>
    <w:rsid w:val="00243146"/>
    <w:rsid w:val="002431AD"/>
    <w:rsid w:val="00243267"/>
    <w:rsid w:val="002435A1"/>
    <w:rsid w:val="0024370B"/>
    <w:rsid w:val="00243723"/>
    <w:rsid w:val="002438E3"/>
    <w:rsid w:val="00243AD5"/>
    <w:rsid w:val="00243DB7"/>
    <w:rsid w:val="002442E3"/>
    <w:rsid w:val="002442E5"/>
    <w:rsid w:val="002444EA"/>
    <w:rsid w:val="00244756"/>
    <w:rsid w:val="002451F4"/>
    <w:rsid w:val="0024557D"/>
    <w:rsid w:val="002456CE"/>
    <w:rsid w:val="002458B3"/>
    <w:rsid w:val="00246139"/>
    <w:rsid w:val="0024629A"/>
    <w:rsid w:val="00246450"/>
    <w:rsid w:val="00246505"/>
    <w:rsid w:val="002465B3"/>
    <w:rsid w:val="00246F4B"/>
    <w:rsid w:val="00247162"/>
    <w:rsid w:val="00247186"/>
    <w:rsid w:val="002472B7"/>
    <w:rsid w:val="00247315"/>
    <w:rsid w:val="00247625"/>
    <w:rsid w:val="00247838"/>
    <w:rsid w:val="00247B1A"/>
    <w:rsid w:val="00247D45"/>
    <w:rsid w:val="00247EB3"/>
    <w:rsid w:val="00250078"/>
    <w:rsid w:val="002504D0"/>
    <w:rsid w:val="00250A64"/>
    <w:rsid w:val="00250E89"/>
    <w:rsid w:val="00250FCC"/>
    <w:rsid w:val="002511F0"/>
    <w:rsid w:val="002513D4"/>
    <w:rsid w:val="00251458"/>
    <w:rsid w:val="0025219D"/>
    <w:rsid w:val="002524A0"/>
    <w:rsid w:val="0025266D"/>
    <w:rsid w:val="00252698"/>
    <w:rsid w:val="002527A3"/>
    <w:rsid w:val="002528E0"/>
    <w:rsid w:val="00252F4E"/>
    <w:rsid w:val="00253499"/>
    <w:rsid w:val="00253C19"/>
    <w:rsid w:val="00253C95"/>
    <w:rsid w:val="00253CF8"/>
    <w:rsid w:val="002543D4"/>
    <w:rsid w:val="00254797"/>
    <w:rsid w:val="002547BA"/>
    <w:rsid w:val="002548A1"/>
    <w:rsid w:val="00254DCE"/>
    <w:rsid w:val="0025544A"/>
    <w:rsid w:val="00255637"/>
    <w:rsid w:val="00255643"/>
    <w:rsid w:val="00255A87"/>
    <w:rsid w:val="00255B6C"/>
    <w:rsid w:val="00255E1C"/>
    <w:rsid w:val="00255E79"/>
    <w:rsid w:val="00255EC7"/>
    <w:rsid w:val="0025609F"/>
    <w:rsid w:val="0025657A"/>
    <w:rsid w:val="002566BB"/>
    <w:rsid w:val="00256F91"/>
    <w:rsid w:val="00257681"/>
    <w:rsid w:val="00257688"/>
    <w:rsid w:val="0025787C"/>
    <w:rsid w:val="002578CD"/>
    <w:rsid w:val="00257F40"/>
    <w:rsid w:val="00257FE5"/>
    <w:rsid w:val="0026075D"/>
    <w:rsid w:val="00260822"/>
    <w:rsid w:val="00260AC3"/>
    <w:rsid w:val="00260B9F"/>
    <w:rsid w:val="00261D69"/>
    <w:rsid w:val="0026203F"/>
    <w:rsid w:val="002620BB"/>
    <w:rsid w:val="0026254E"/>
    <w:rsid w:val="00262558"/>
    <w:rsid w:val="002629F1"/>
    <w:rsid w:val="00262D88"/>
    <w:rsid w:val="00262F63"/>
    <w:rsid w:val="002633B5"/>
    <w:rsid w:val="0026350C"/>
    <w:rsid w:val="00263563"/>
    <w:rsid w:val="002636AA"/>
    <w:rsid w:val="00263740"/>
    <w:rsid w:val="00263D07"/>
    <w:rsid w:val="00263D2C"/>
    <w:rsid w:val="00263EB9"/>
    <w:rsid w:val="002642E7"/>
    <w:rsid w:val="002646D2"/>
    <w:rsid w:val="00264862"/>
    <w:rsid w:val="002649DB"/>
    <w:rsid w:val="00264C5E"/>
    <w:rsid w:val="00264DC1"/>
    <w:rsid w:val="0026536A"/>
    <w:rsid w:val="00265615"/>
    <w:rsid w:val="00265685"/>
    <w:rsid w:val="002656BE"/>
    <w:rsid w:val="00265DB4"/>
    <w:rsid w:val="002662CC"/>
    <w:rsid w:val="0026734E"/>
    <w:rsid w:val="002674DF"/>
    <w:rsid w:val="0026775D"/>
    <w:rsid w:val="00267900"/>
    <w:rsid w:val="00267B13"/>
    <w:rsid w:val="0027011F"/>
    <w:rsid w:val="002704FA"/>
    <w:rsid w:val="00270762"/>
    <w:rsid w:val="00270797"/>
    <w:rsid w:val="00270869"/>
    <w:rsid w:val="0027086E"/>
    <w:rsid w:val="00270AF6"/>
    <w:rsid w:val="00270C74"/>
    <w:rsid w:val="00270E17"/>
    <w:rsid w:val="00270E46"/>
    <w:rsid w:val="002714D2"/>
    <w:rsid w:val="00271827"/>
    <w:rsid w:val="0027196A"/>
    <w:rsid w:val="00271CB3"/>
    <w:rsid w:val="0027205F"/>
    <w:rsid w:val="0027209D"/>
    <w:rsid w:val="002720E1"/>
    <w:rsid w:val="00272305"/>
    <w:rsid w:val="0027258C"/>
    <w:rsid w:val="002727B8"/>
    <w:rsid w:val="00272851"/>
    <w:rsid w:val="00272A0B"/>
    <w:rsid w:val="00272BF3"/>
    <w:rsid w:val="00272F70"/>
    <w:rsid w:val="0027358C"/>
    <w:rsid w:val="00273AB2"/>
    <w:rsid w:val="00273C8C"/>
    <w:rsid w:val="00273D88"/>
    <w:rsid w:val="0027476D"/>
    <w:rsid w:val="002756EE"/>
    <w:rsid w:val="002758DC"/>
    <w:rsid w:val="00275919"/>
    <w:rsid w:val="00275CA0"/>
    <w:rsid w:val="00276242"/>
    <w:rsid w:val="00276616"/>
    <w:rsid w:val="002766F7"/>
    <w:rsid w:val="002769F7"/>
    <w:rsid w:val="00276EB3"/>
    <w:rsid w:val="0027726F"/>
    <w:rsid w:val="002774DC"/>
    <w:rsid w:val="00277725"/>
    <w:rsid w:val="0027781D"/>
    <w:rsid w:val="00277952"/>
    <w:rsid w:val="00277C16"/>
    <w:rsid w:val="00277E07"/>
    <w:rsid w:val="00277FAB"/>
    <w:rsid w:val="002800DE"/>
    <w:rsid w:val="002800FA"/>
    <w:rsid w:val="0028033B"/>
    <w:rsid w:val="00280510"/>
    <w:rsid w:val="0028096B"/>
    <w:rsid w:val="00280AA1"/>
    <w:rsid w:val="00280B27"/>
    <w:rsid w:val="00280CB9"/>
    <w:rsid w:val="00280E56"/>
    <w:rsid w:val="00280FD0"/>
    <w:rsid w:val="002812A3"/>
    <w:rsid w:val="00281403"/>
    <w:rsid w:val="0028173F"/>
    <w:rsid w:val="00281769"/>
    <w:rsid w:val="00281EEA"/>
    <w:rsid w:val="00281F00"/>
    <w:rsid w:val="00281F19"/>
    <w:rsid w:val="00281FD1"/>
    <w:rsid w:val="0028238D"/>
    <w:rsid w:val="00282746"/>
    <w:rsid w:val="0028356D"/>
    <w:rsid w:val="00283FF6"/>
    <w:rsid w:val="00284241"/>
    <w:rsid w:val="002848B4"/>
    <w:rsid w:val="0028507F"/>
    <w:rsid w:val="00285248"/>
    <w:rsid w:val="00285250"/>
    <w:rsid w:val="002854D0"/>
    <w:rsid w:val="00285538"/>
    <w:rsid w:val="002858C9"/>
    <w:rsid w:val="00285AAA"/>
    <w:rsid w:val="00285FB7"/>
    <w:rsid w:val="00286059"/>
    <w:rsid w:val="002869F2"/>
    <w:rsid w:val="00286DB6"/>
    <w:rsid w:val="00286DB9"/>
    <w:rsid w:val="00286DC2"/>
    <w:rsid w:val="00287336"/>
    <w:rsid w:val="00287601"/>
    <w:rsid w:val="002876BB"/>
    <w:rsid w:val="002876E2"/>
    <w:rsid w:val="00287749"/>
    <w:rsid w:val="002878D8"/>
    <w:rsid w:val="002878F4"/>
    <w:rsid w:val="00287A82"/>
    <w:rsid w:val="00287B9A"/>
    <w:rsid w:val="00287D36"/>
    <w:rsid w:val="00287E16"/>
    <w:rsid w:val="00287EA2"/>
    <w:rsid w:val="00290A01"/>
    <w:rsid w:val="00290A62"/>
    <w:rsid w:val="00290BA2"/>
    <w:rsid w:val="0029152F"/>
    <w:rsid w:val="00291ACF"/>
    <w:rsid w:val="00291B4F"/>
    <w:rsid w:val="00291E20"/>
    <w:rsid w:val="00291E51"/>
    <w:rsid w:val="00291EB4"/>
    <w:rsid w:val="002925DE"/>
    <w:rsid w:val="002925E0"/>
    <w:rsid w:val="0029266C"/>
    <w:rsid w:val="00292708"/>
    <w:rsid w:val="00292823"/>
    <w:rsid w:val="00292DE5"/>
    <w:rsid w:val="00293956"/>
    <w:rsid w:val="00293BB0"/>
    <w:rsid w:val="00294162"/>
    <w:rsid w:val="00294164"/>
    <w:rsid w:val="0029425A"/>
    <w:rsid w:val="00294FF2"/>
    <w:rsid w:val="0029513D"/>
    <w:rsid w:val="0029527C"/>
    <w:rsid w:val="00295598"/>
    <w:rsid w:val="002955C1"/>
    <w:rsid w:val="00295988"/>
    <w:rsid w:val="00295A73"/>
    <w:rsid w:val="00295C15"/>
    <w:rsid w:val="00295CD6"/>
    <w:rsid w:val="00296095"/>
    <w:rsid w:val="00296658"/>
    <w:rsid w:val="002967E7"/>
    <w:rsid w:val="00296860"/>
    <w:rsid w:val="00296CD3"/>
    <w:rsid w:val="00296DF3"/>
    <w:rsid w:val="00297083"/>
    <w:rsid w:val="0029724D"/>
    <w:rsid w:val="002973D8"/>
    <w:rsid w:val="0029757B"/>
    <w:rsid w:val="0029759A"/>
    <w:rsid w:val="00297695"/>
    <w:rsid w:val="002976AD"/>
    <w:rsid w:val="00297E34"/>
    <w:rsid w:val="00297EED"/>
    <w:rsid w:val="002A0264"/>
    <w:rsid w:val="002A1125"/>
    <w:rsid w:val="002A138A"/>
    <w:rsid w:val="002A180F"/>
    <w:rsid w:val="002A1A00"/>
    <w:rsid w:val="002A1B42"/>
    <w:rsid w:val="002A2048"/>
    <w:rsid w:val="002A23A9"/>
    <w:rsid w:val="002A2758"/>
    <w:rsid w:val="002A2963"/>
    <w:rsid w:val="002A2D44"/>
    <w:rsid w:val="002A2F80"/>
    <w:rsid w:val="002A30A2"/>
    <w:rsid w:val="002A33E3"/>
    <w:rsid w:val="002A33F9"/>
    <w:rsid w:val="002A3D7B"/>
    <w:rsid w:val="002A43A2"/>
    <w:rsid w:val="002A46AA"/>
    <w:rsid w:val="002A4844"/>
    <w:rsid w:val="002A49DB"/>
    <w:rsid w:val="002A4EA9"/>
    <w:rsid w:val="002A5347"/>
    <w:rsid w:val="002A56E7"/>
    <w:rsid w:val="002A5891"/>
    <w:rsid w:val="002A58C8"/>
    <w:rsid w:val="002A5AC6"/>
    <w:rsid w:val="002A5E59"/>
    <w:rsid w:val="002A651E"/>
    <w:rsid w:val="002A658A"/>
    <w:rsid w:val="002A65D0"/>
    <w:rsid w:val="002A6B8B"/>
    <w:rsid w:val="002A71ED"/>
    <w:rsid w:val="002A74AE"/>
    <w:rsid w:val="002A7591"/>
    <w:rsid w:val="002A7E10"/>
    <w:rsid w:val="002B0033"/>
    <w:rsid w:val="002B085D"/>
    <w:rsid w:val="002B085F"/>
    <w:rsid w:val="002B0957"/>
    <w:rsid w:val="002B12C3"/>
    <w:rsid w:val="002B1CFB"/>
    <w:rsid w:val="002B20C0"/>
    <w:rsid w:val="002B2297"/>
    <w:rsid w:val="002B23A8"/>
    <w:rsid w:val="002B2418"/>
    <w:rsid w:val="002B2801"/>
    <w:rsid w:val="002B2A63"/>
    <w:rsid w:val="002B2A93"/>
    <w:rsid w:val="002B3323"/>
    <w:rsid w:val="002B370B"/>
    <w:rsid w:val="002B3B9D"/>
    <w:rsid w:val="002B3C16"/>
    <w:rsid w:val="002B424A"/>
    <w:rsid w:val="002B4BAA"/>
    <w:rsid w:val="002B518F"/>
    <w:rsid w:val="002B54F1"/>
    <w:rsid w:val="002B6680"/>
    <w:rsid w:val="002B6842"/>
    <w:rsid w:val="002B6C67"/>
    <w:rsid w:val="002B6C9A"/>
    <w:rsid w:val="002B6F42"/>
    <w:rsid w:val="002B71CC"/>
    <w:rsid w:val="002B742D"/>
    <w:rsid w:val="002B784A"/>
    <w:rsid w:val="002B78A8"/>
    <w:rsid w:val="002B7CAA"/>
    <w:rsid w:val="002B7F72"/>
    <w:rsid w:val="002B7FD4"/>
    <w:rsid w:val="002C020F"/>
    <w:rsid w:val="002C0212"/>
    <w:rsid w:val="002C036D"/>
    <w:rsid w:val="002C0DC7"/>
    <w:rsid w:val="002C116C"/>
    <w:rsid w:val="002C120B"/>
    <w:rsid w:val="002C1BC5"/>
    <w:rsid w:val="002C1D91"/>
    <w:rsid w:val="002C238E"/>
    <w:rsid w:val="002C24E4"/>
    <w:rsid w:val="002C276D"/>
    <w:rsid w:val="002C2DD2"/>
    <w:rsid w:val="002C2E45"/>
    <w:rsid w:val="002C2EF7"/>
    <w:rsid w:val="002C30FA"/>
    <w:rsid w:val="002C33CD"/>
    <w:rsid w:val="002C35CB"/>
    <w:rsid w:val="002C35DB"/>
    <w:rsid w:val="002C3754"/>
    <w:rsid w:val="002C37E8"/>
    <w:rsid w:val="002C387F"/>
    <w:rsid w:val="002C38FC"/>
    <w:rsid w:val="002C3FCB"/>
    <w:rsid w:val="002C4067"/>
    <w:rsid w:val="002C4574"/>
    <w:rsid w:val="002C4648"/>
    <w:rsid w:val="002C47B2"/>
    <w:rsid w:val="002C5225"/>
    <w:rsid w:val="002C56A2"/>
    <w:rsid w:val="002C5B90"/>
    <w:rsid w:val="002C5FAC"/>
    <w:rsid w:val="002C6B4D"/>
    <w:rsid w:val="002C6B8C"/>
    <w:rsid w:val="002C6D97"/>
    <w:rsid w:val="002C6F26"/>
    <w:rsid w:val="002C715F"/>
    <w:rsid w:val="002C7180"/>
    <w:rsid w:val="002C773E"/>
    <w:rsid w:val="002C7764"/>
    <w:rsid w:val="002C7AD2"/>
    <w:rsid w:val="002C7B1F"/>
    <w:rsid w:val="002C7B3E"/>
    <w:rsid w:val="002C7BCC"/>
    <w:rsid w:val="002C7DAF"/>
    <w:rsid w:val="002C7DC6"/>
    <w:rsid w:val="002D0274"/>
    <w:rsid w:val="002D0459"/>
    <w:rsid w:val="002D0508"/>
    <w:rsid w:val="002D05E1"/>
    <w:rsid w:val="002D0926"/>
    <w:rsid w:val="002D0BC4"/>
    <w:rsid w:val="002D0D10"/>
    <w:rsid w:val="002D1450"/>
    <w:rsid w:val="002D2147"/>
    <w:rsid w:val="002D23F6"/>
    <w:rsid w:val="002D2807"/>
    <w:rsid w:val="002D28EA"/>
    <w:rsid w:val="002D31E8"/>
    <w:rsid w:val="002D3204"/>
    <w:rsid w:val="002D33EE"/>
    <w:rsid w:val="002D3686"/>
    <w:rsid w:val="002D39A6"/>
    <w:rsid w:val="002D40E9"/>
    <w:rsid w:val="002D410E"/>
    <w:rsid w:val="002D447E"/>
    <w:rsid w:val="002D481C"/>
    <w:rsid w:val="002D482F"/>
    <w:rsid w:val="002D4ACA"/>
    <w:rsid w:val="002D4B15"/>
    <w:rsid w:val="002D4E56"/>
    <w:rsid w:val="002D4F50"/>
    <w:rsid w:val="002D5233"/>
    <w:rsid w:val="002D52E9"/>
    <w:rsid w:val="002D58A6"/>
    <w:rsid w:val="002D5A2A"/>
    <w:rsid w:val="002D5BEC"/>
    <w:rsid w:val="002D5CB4"/>
    <w:rsid w:val="002D5DDF"/>
    <w:rsid w:val="002D5F29"/>
    <w:rsid w:val="002D5FA1"/>
    <w:rsid w:val="002D6782"/>
    <w:rsid w:val="002D67EE"/>
    <w:rsid w:val="002D68FB"/>
    <w:rsid w:val="002D6916"/>
    <w:rsid w:val="002D6968"/>
    <w:rsid w:val="002D6AFB"/>
    <w:rsid w:val="002D7450"/>
    <w:rsid w:val="002E02A5"/>
    <w:rsid w:val="002E0899"/>
    <w:rsid w:val="002E0F9D"/>
    <w:rsid w:val="002E131C"/>
    <w:rsid w:val="002E1B89"/>
    <w:rsid w:val="002E1DD5"/>
    <w:rsid w:val="002E20BC"/>
    <w:rsid w:val="002E23B4"/>
    <w:rsid w:val="002E24A3"/>
    <w:rsid w:val="002E28D2"/>
    <w:rsid w:val="002E29A1"/>
    <w:rsid w:val="002E2B20"/>
    <w:rsid w:val="002E2B61"/>
    <w:rsid w:val="002E2BFD"/>
    <w:rsid w:val="002E2DC4"/>
    <w:rsid w:val="002E335A"/>
    <w:rsid w:val="002E39BF"/>
    <w:rsid w:val="002E45FA"/>
    <w:rsid w:val="002E52C2"/>
    <w:rsid w:val="002E5C1D"/>
    <w:rsid w:val="002E6434"/>
    <w:rsid w:val="002E6594"/>
    <w:rsid w:val="002E66CF"/>
    <w:rsid w:val="002E6E59"/>
    <w:rsid w:val="002E6ED7"/>
    <w:rsid w:val="002E758D"/>
    <w:rsid w:val="002E76DF"/>
    <w:rsid w:val="002E7927"/>
    <w:rsid w:val="002E7CC2"/>
    <w:rsid w:val="002E7D96"/>
    <w:rsid w:val="002E7DB4"/>
    <w:rsid w:val="002E7DFE"/>
    <w:rsid w:val="002E7EE7"/>
    <w:rsid w:val="002E7FA7"/>
    <w:rsid w:val="002F0463"/>
    <w:rsid w:val="002F073C"/>
    <w:rsid w:val="002F0CCD"/>
    <w:rsid w:val="002F10CA"/>
    <w:rsid w:val="002F10E6"/>
    <w:rsid w:val="002F15A4"/>
    <w:rsid w:val="002F195B"/>
    <w:rsid w:val="002F1A19"/>
    <w:rsid w:val="002F1A9F"/>
    <w:rsid w:val="002F1AB5"/>
    <w:rsid w:val="002F1B1F"/>
    <w:rsid w:val="002F1B29"/>
    <w:rsid w:val="002F1E45"/>
    <w:rsid w:val="002F1F49"/>
    <w:rsid w:val="002F2883"/>
    <w:rsid w:val="002F36B3"/>
    <w:rsid w:val="002F37E1"/>
    <w:rsid w:val="002F3891"/>
    <w:rsid w:val="002F3B82"/>
    <w:rsid w:val="002F3D2F"/>
    <w:rsid w:val="002F4025"/>
    <w:rsid w:val="002F441F"/>
    <w:rsid w:val="002F4686"/>
    <w:rsid w:val="002F477B"/>
    <w:rsid w:val="002F4ACC"/>
    <w:rsid w:val="002F509E"/>
    <w:rsid w:val="002F50E1"/>
    <w:rsid w:val="002F56E8"/>
    <w:rsid w:val="002F5708"/>
    <w:rsid w:val="002F5D36"/>
    <w:rsid w:val="002F5E76"/>
    <w:rsid w:val="002F5EB4"/>
    <w:rsid w:val="002F5F1F"/>
    <w:rsid w:val="002F610E"/>
    <w:rsid w:val="002F61F5"/>
    <w:rsid w:val="002F641E"/>
    <w:rsid w:val="002F645A"/>
    <w:rsid w:val="002F64FB"/>
    <w:rsid w:val="002F6613"/>
    <w:rsid w:val="002F69E1"/>
    <w:rsid w:val="002F6EB7"/>
    <w:rsid w:val="002F7134"/>
    <w:rsid w:val="002F71EE"/>
    <w:rsid w:val="002F7274"/>
    <w:rsid w:val="002F729E"/>
    <w:rsid w:val="002F72B8"/>
    <w:rsid w:val="002F76FA"/>
    <w:rsid w:val="002F795E"/>
    <w:rsid w:val="002F7EF9"/>
    <w:rsid w:val="002F7F7A"/>
    <w:rsid w:val="002F7FC7"/>
    <w:rsid w:val="0030006C"/>
    <w:rsid w:val="003003A5"/>
    <w:rsid w:val="0030052F"/>
    <w:rsid w:val="003005F7"/>
    <w:rsid w:val="00300749"/>
    <w:rsid w:val="00300792"/>
    <w:rsid w:val="0030102A"/>
    <w:rsid w:val="00301334"/>
    <w:rsid w:val="00301394"/>
    <w:rsid w:val="003014E2"/>
    <w:rsid w:val="003014E7"/>
    <w:rsid w:val="0030184D"/>
    <w:rsid w:val="003019CF"/>
    <w:rsid w:val="00301A63"/>
    <w:rsid w:val="00302080"/>
    <w:rsid w:val="00302257"/>
    <w:rsid w:val="00302440"/>
    <w:rsid w:val="00302ABC"/>
    <w:rsid w:val="00302BDE"/>
    <w:rsid w:val="0030320D"/>
    <w:rsid w:val="00303848"/>
    <w:rsid w:val="003039B1"/>
    <w:rsid w:val="00303B2D"/>
    <w:rsid w:val="00303C0D"/>
    <w:rsid w:val="00303C6F"/>
    <w:rsid w:val="00303D0D"/>
    <w:rsid w:val="003041E9"/>
    <w:rsid w:val="0030453A"/>
    <w:rsid w:val="0030466C"/>
    <w:rsid w:val="00304972"/>
    <w:rsid w:val="00304CF2"/>
    <w:rsid w:val="003050B4"/>
    <w:rsid w:val="003051E2"/>
    <w:rsid w:val="00305370"/>
    <w:rsid w:val="0030579B"/>
    <w:rsid w:val="00305A21"/>
    <w:rsid w:val="00306544"/>
    <w:rsid w:val="003065D1"/>
    <w:rsid w:val="003065FC"/>
    <w:rsid w:val="00306864"/>
    <w:rsid w:val="00306A23"/>
    <w:rsid w:val="00306AB4"/>
    <w:rsid w:val="00306B8B"/>
    <w:rsid w:val="00306D2D"/>
    <w:rsid w:val="0030711A"/>
    <w:rsid w:val="003073CD"/>
    <w:rsid w:val="003076A6"/>
    <w:rsid w:val="00307E4D"/>
    <w:rsid w:val="003100C2"/>
    <w:rsid w:val="0031014A"/>
    <w:rsid w:val="003101C2"/>
    <w:rsid w:val="00310553"/>
    <w:rsid w:val="003108AF"/>
    <w:rsid w:val="00311224"/>
    <w:rsid w:val="003113CA"/>
    <w:rsid w:val="0031155F"/>
    <w:rsid w:val="0031169C"/>
    <w:rsid w:val="00311A48"/>
    <w:rsid w:val="00311C6A"/>
    <w:rsid w:val="00311CB9"/>
    <w:rsid w:val="00311DE3"/>
    <w:rsid w:val="00311E38"/>
    <w:rsid w:val="003126C9"/>
    <w:rsid w:val="00312C04"/>
    <w:rsid w:val="00312C5C"/>
    <w:rsid w:val="003131DB"/>
    <w:rsid w:val="0031341E"/>
    <w:rsid w:val="00313E1F"/>
    <w:rsid w:val="00313EA4"/>
    <w:rsid w:val="00313F08"/>
    <w:rsid w:val="00314034"/>
    <w:rsid w:val="003141DD"/>
    <w:rsid w:val="003143BD"/>
    <w:rsid w:val="00314D8C"/>
    <w:rsid w:val="00314E93"/>
    <w:rsid w:val="00315C9A"/>
    <w:rsid w:val="00315E1A"/>
    <w:rsid w:val="00315F05"/>
    <w:rsid w:val="00316963"/>
    <w:rsid w:val="00317506"/>
    <w:rsid w:val="00317866"/>
    <w:rsid w:val="00317A93"/>
    <w:rsid w:val="00317CD0"/>
    <w:rsid w:val="00317D2C"/>
    <w:rsid w:val="0032024F"/>
    <w:rsid w:val="003206C5"/>
    <w:rsid w:val="00320798"/>
    <w:rsid w:val="00320961"/>
    <w:rsid w:val="00320AAE"/>
    <w:rsid w:val="003211E6"/>
    <w:rsid w:val="003212CC"/>
    <w:rsid w:val="00321AA1"/>
    <w:rsid w:val="00321E0E"/>
    <w:rsid w:val="00322118"/>
    <w:rsid w:val="0032215B"/>
    <w:rsid w:val="003227A2"/>
    <w:rsid w:val="00322AD7"/>
    <w:rsid w:val="00322B03"/>
    <w:rsid w:val="00322BC6"/>
    <w:rsid w:val="00322ED0"/>
    <w:rsid w:val="00322F3E"/>
    <w:rsid w:val="00322FCD"/>
    <w:rsid w:val="0032301E"/>
    <w:rsid w:val="00323468"/>
    <w:rsid w:val="0032377E"/>
    <w:rsid w:val="00323BFA"/>
    <w:rsid w:val="00323C26"/>
    <w:rsid w:val="00323E3F"/>
    <w:rsid w:val="00324333"/>
    <w:rsid w:val="00324A5F"/>
    <w:rsid w:val="00324E3C"/>
    <w:rsid w:val="0032531B"/>
    <w:rsid w:val="003254F3"/>
    <w:rsid w:val="00325723"/>
    <w:rsid w:val="00325DA1"/>
    <w:rsid w:val="003260DA"/>
    <w:rsid w:val="003269B6"/>
    <w:rsid w:val="00326D27"/>
    <w:rsid w:val="0032738C"/>
    <w:rsid w:val="003273BA"/>
    <w:rsid w:val="00327A41"/>
    <w:rsid w:val="00327B2F"/>
    <w:rsid w:val="00327C32"/>
    <w:rsid w:val="00327D6F"/>
    <w:rsid w:val="00330B9D"/>
    <w:rsid w:val="00330BDC"/>
    <w:rsid w:val="00330C34"/>
    <w:rsid w:val="003310C6"/>
    <w:rsid w:val="003313FF"/>
    <w:rsid w:val="00331A0B"/>
    <w:rsid w:val="00332276"/>
    <w:rsid w:val="0033257B"/>
    <w:rsid w:val="0033272D"/>
    <w:rsid w:val="00332C3E"/>
    <w:rsid w:val="00332CAF"/>
    <w:rsid w:val="00332E7F"/>
    <w:rsid w:val="00333316"/>
    <w:rsid w:val="0033342E"/>
    <w:rsid w:val="00333B1B"/>
    <w:rsid w:val="00333D5F"/>
    <w:rsid w:val="0033434A"/>
    <w:rsid w:val="00334750"/>
    <w:rsid w:val="00334C79"/>
    <w:rsid w:val="00334C8B"/>
    <w:rsid w:val="00334CB7"/>
    <w:rsid w:val="00334F0B"/>
    <w:rsid w:val="003351E8"/>
    <w:rsid w:val="0033520E"/>
    <w:rsid w:val="00335290"/>
    <w:rsid w:val="003352EF"/>
    <w:rsid w:val="003355A3"/>
    <w:rsid w:val="00335CCF"/>
    <w:rsid w:val="00335D9A"/>
    <w:rsid w:val="00336371"/>
    <w:rsid w:val="003363A8"/>
    <w:rsid w:val="00336797"/>
    <w:rsid w:val="00336919"/>
    <w:rsid w:val="00336B62"/>
    <w:rsid w:val="00337123"/>
    <w:rsid w:val="003371EE"/>
    <w:rsid w:val="003373A3"/>
    <w:rsid w:val="00337C93"/>
    <w:rsid w:val="00340075"/>
    <w:rsid w:val="0034018C"/>
    <w:rsid w:val="00340632"/>
    <w:rsid w:val="00340C2E"/>
    <w:rsid w:val="00341208"/>
    <w:rsid w:val="003412E6"/>
    <w:rsid w:val="00341764"/>
    <w:rsid w:val="00341774"/>
    <w:rsid w:val="00341AA6"/>
    <w:rsid w:val="00341B9B"/>
    <w:rsid w:val="00341D8A"/>
    <w:rsid w:val="0034227A"/>
    <w:rsid w:val="00342566"/>
    <w:rsid w:val="00342C6F"/>
    <w:rsid w:val="00343350"/>
    <w:rsid w:val="00343738"/>
    <w:rsid w:val="003439F2"/>
    <w:rsid w:val="00343FF5"/>
    <w:rsid w:val="00344748"/>
    <w:rsid w:val="00344B74"/>
    <w:rsid w:val="00344CAB"/>
    <w:rsid w:val="003450BE"/>
    <w:rsid w:val="003451DF"/>
    <w:rsid w:val="0034536C"/>
    <w:rsid w:val="003455D6"/>
    <w:rsid w:val="00345850"/>
    <w:rsid w:val="003458C7"/>
    <w:rsid w:val="00345981"/>
    <w:rsid w:val="00345BB7"/>
    <w:rsid w:val="00345F98"/>
    <w:rsid w:val="003460C9"/>
    <w:rsid w:val="00346962"/>
    <w:rsid w:val="00346B00"/>
    <w:rsid w:val="00346C8A"/>
    <w:rsid w:val="00346F13"/>
    <w:rsid w:val="00347367"/>
    <w:rsid w:val="00347457"/>
    <w:rsid w:val="00347514"/>
    <w:rsid w:val="0034766B"/>
    <w:rsid w:val="003477BE"/>
    <w:rsid w:val="00347AF4"/>
    <w:rsid w:val="00347C83"/>
    <w:rsid w:val="00350378"/>
    <w:rsid w:val="003504E9"/>
    <w:rsid w:val="0035074D"/>
    <w:rsid w:val="00350790"/>
    <w:rsid w:val="00350795"/>
    <w:rsid w:val="00350A9B"/>
    <w:rsid w:val="00350D66"/>
    <w:rsid w:val="00350E89"/>
    <w:rsid w:val="003510CB"/>
    <w:rsid w:val="00351353"/>
    <w:rsid w:val="00351B9D"/>
    <w:rsid w:val="003523C3"/>
    <w:rsid w:val="00352615"/>
    <w:rsid w:val="0035289A"/>
    <w:rsid w:val="00352BD6"/>
    <w:rsid w:val="00352CEF"/>
    <w:rsid w:val="00353406"/>
    <w:rsid w:val="00353459"/>
    <w:rsid w:val="003535BB"/>
    <w:rsid w:val="003538EC"/>
    <w:rsid w:val="0035440C"/>
    <w:rsid w:val="0035444D"/>
    <w:rsid w:val="00354455"/>
    <w:rsid w:val="00354CFF"/>
    <w:rsid w:val="00355390"/>
    <w:rsid w:val="003553D1"/>
    <w:rsid w:val="003557EC"/>
    <w:rsid w:val="00355A07"/>
    <w:rsid w:val="00355AF0"/>
    <w:rsid w:val="00356588"/>
    <w:rsid w:val="00356596"/>
    <w:rsid w:val="003567BB"/>
    <w:rsid w:val="0035690B"/>
    <w:rsid w:val="00356A33"/>
    <w:rsid w:val="00356A7C"/>
    <w:rsid w:val="00356C1F"/>
    <w:rsid w:val="00357345"/>
    <w:rsid w:val="00357389"/>
    <w:rsid w:val="00357447"/>
    <w:rsid w:val="003575AD"/>
    <w:rsid w:val="0035794B"/>
    <w:rsid w:val="00357D15"/>
    <w:rsid w:val="00357EB1"/>
    <w:rsid w:val="003608C5"/>
    <w:rsid w:val="00360A9D"/>
    <w:rsid w:val="00360B05"/>
    <w:rsid w:val="00360BBA"/>
    <w:rsid w:val="00360D13"/>
    <w:rsid w:val="003611D8"/>
    <w:rsid w:val="0036134D"/>
    <w:rsid w:val="003613BA"/>
    <w:rsid w:val="0036215E"/>
    <w:rsid w:val="003623D0"/>
    <w:rsid w:val="003629B3"/>
    <w:rsid w:val="00362E08"/>
    <w:rsid w:val="00363060"/>
    <w:rsid w:val="003630B7"/>
    <w:rsid w:val="00363159"/>
    <w:rsid w:val="00363252"/>
    <w:rsid w:val="00363370"/>
    <w:rsid w:val="0036359C"/>
    <w:rsid w:val="003635A4"/>
    <w:rsid w:val="0036366B"/>
    <w:rsid w:val="003636AA"/>
    <w:rsid w:val="00363774"/>
    <w:rsid w:val="0036391B"/>
    <w:rsid w:val="0036391C"/>
    <w:rsid w:val="00363A14"/>
    <w:rsid w:val="00363CEC"/>
    <w:rsid w:val="00363F30"/>
    <w:rsid w:val="00363FC3"/>
    <w:rsid w:val="003644FA"/>
    <w:rsid w:val="0036458A"/>
    <w:rsid w:val="003646AD"/>
    <w:rsid w:val="003647C0"/>
    <w:rsid w:val="003647C3"/>
    <w:rsid w:val="00364B4B"/>
    <w:rsid w:val="00364E03"/>
    <w:rsid w:val="00364E3D"/>
    <w:rsid w:val="003655C7"/>
    <w:rsid w:val="003656D3"/>
    <w:rsid w:val="00365844"/>
    <w:rsid w:val="00365885"/>
    <w:rsid w:val="00365891"/>
    <w:rsid w:val="00366321"/>
    <w:rsid w:val="003665C5"/>
    <w:rsid w:val="00366798"/>
    <w:rsid w:val="0036696C"/>
    <w:rsid w:val="00366A9E"/>
    <w:rsid w:val="00366DE9"/>
    <w:rsid w:val="0036701E"/>
    <w:rsid w:val="00367206"/>
    <w:rsid w:val="00370008"/>
    <w:rsid w:val="00370027"/>
    <w:rsid w:val="003702B0"/>
    <w:rsid w:val="00370527"/>
    <w:rsid w:val="0037078E"/>
    <w:rsid w:val="00370E26"/>
    <w:rsid w:val="00370EF8"/>
    <w:rsid w:val="003715AF"/>
    <w:rsid w:val="003717FD"/>
    <w:rsid w:val="003718E5"/>
    <w:rsid w:val="00371AA6"/>
    <w:rsid w:val="00371BFA"/>
    <w:rsid w:val="00371D24"/>
    <w:rsid w:val="00371DDC"/>
    <w:rsid w:val="00371DF6"/>
    <w:rsid w:val="003720A3"/>
    <w:rsid w:val="003721D8"/>
    <w:rsid w:val="00372235"/>
    <w:rsid w:val="003722FA"/>
    <w:rsid w:val="00372358"/>
    <w:rsid w:val="0037283D"/>
    <w:rsid w:val="00372C45"/>
    <w:rsid w:val="00372EE5"/>
    <w:rsid w:val="003733A9"/>
    <w:rsid w:val="003734CC"/>
    <w:rsid w:val="00373589"/>
    <w:rsid w:val="003735D2"/>
    <w:rsid w:val="003739FB"/>
    <w:rsid w:val="00373EA7"/>
    <w:rsid w:val="00374D4D"/>
    <w:rsid w:val="00374EB4"/>
    <w:rsid w:val="00375AA7"/>
    <w:rsid w:val="00375F20"/>
    <w:rsid w:val="003763DD"/>
    <w:rsid w:val="00376446"/>
    <w:rsid w:val="0037670A"/>
    <w:rsid w:val="00376B28"/>
    <w:rsid w:val="003770C8"/>
    <w:rsid w:val="00377422"/>
    <w:rsid w:val="00377599"/>
    <w:rsid w:val="003775EC"/>
    <w:rsid w:val="00377C5F"/>
    <w:rsid w:val="003805BC"/>
    <w:rsid w:val="003806C8"/>
    <w:rsid w:val="003807AC"/>
    <w:rsid w:val="00380816"/>
    <w:rsid w:val="00380CC1"/>
    <w:rsid w:val="00380CD8"/>
    <w:rsid w:val="00380DDA"/>
    <w:rsid w:val="00380ECF"/>
    <w:rsid w:val="003815EF"/>
    <w:rsid w:val="003819BA"/>
    <w:rsid w:val="00381B04"/>
    <w:rsid w:val="00381B54"/>
    <w:rsid w:val="00381DD0"/>
    <w:rsid w:val="00382053"/>
    <w:rsid w:val="0038240A"/>
    <w:rsid w:val="0038246C"/>
    <w:rsid w:val="00382765"/>
    <w:rsid w:val="00382922"/>
    <w:rsid w:val="00382F2A"/>
    <w:rsid w:val="00382F40"/>
    <w:rsid w:val="0038315A"/>
    <w:rsid w:val="00383825"/>
    <w:rsid w:val="003838B5"/>
    <w:rsid w:val="003843F1"/>
    <w:rsid w:val="003845FB"/>
    <w:rsid w:val="0038476B"/>
    <w:rsid w:val="003848BA"/>
    <w:rsid w:val="003848F1"/>
    <w:rsid w:val="00384A9D"/>
    <w:rsid w:val="00384DBC"/>
    <w:rsid w:val="00384ECE"/>
    <w:rsid w:val="00385C3D"/>
    <w:rsid w:val="00385DB0"/>
    <w:rsid w:val="00386091"/>
    <w:rsid w:val="003863EC"/>
    <w:rsid w:val="003864D6"/>
    <w:rsid w:val="00386622"/>
    <w:rsid w:val="00386659"/>
    <w:rsid w:val="003866DD"/>
    <w:rsid w:val="003869B9"/>
    <w:rsid w:val="00386B47"/>
    <w:rsid w:val="00386DD7"/>
    <w:rsid w:val="00386E8B"/>
    <w:rsid w:val="00386ED6"/>
    <w:rsid w:val="00386FFF"/>
    <w:rsid w:val="0038717B"/>
    <w:rsid w:val="00387B67"/>
    <w:rsid w:val="00387CC4"/>
    <w:rsid w:val="00387EB8"/>
    <w:rsid w:val="00387F9D"/>
    <w:rsid w:val="00390163"/>
    <w:rsid w:val="00390299"/>
    <w:rsid w:val="00390C03"/>
    <w:rsid w:val="00390D81"/>
    <w:rsid w:val="00390E60"/>
    <w:rsid w:val="00390FA3"/>
    <w:rsid w:val="003915A0"/>
    <w:rsid w:val="00391A03"/>
    <w:rsid w:val="00391E80"/>
    <w:rsid w:val="00391FB0"/>
    <w:rsid w:val="00392110"/>
    <w:rsid w:val="00392276"/>
    <w:rsid w:val="00392B4B"/>
    <w:rsid w:val="00392E0D"/>
    <w:rsid w:val="00392F08"/>
    <w:rsid w:val="00393248"/>
    <w:rsid w:val="00393444"/>
    <w:rsid w:val="0039358E"/>
    <w:rsid w:val="0039384F"/>
    <w:rsid w:val="00393C5A"/>
    <w:rsid w:val="003940DB"/>
    <w:rsid w:val="003946C5"/>
    <w:rsid w:val="00394812"/>
    <w:rsid w:val="00394895"/>
    <w:rsid w:val="00394B11"/>
    <w:rsid w:val="00394E5E"/>
    <w:rsid w:val="003950B0"/>
    <w:rsid w:val="003951A6"/>
    <w:rsid w:val="0039553D"/>
    <w:rsid w:val="003955B7"/>
    <w:rsid w:val="00395838"/>
    <w:rsid w:val="00395D81"/>
    <w:rsid w:val="00395E49"/>
    <w:rsid w:val="003964C8"/>
    <w:rsid w:val="00396894"/>
    <w:rsid w:val="003969C7"/>
    <w:rsid w:val="00396A87"/>
    <w:rsid w:val="00396AD6"/>
    <w:rsid w:val="003970D3"/>
    <w:rsid w:val="003977FD"/>
    <w:rsid w:val="00397802"/>
    <w:rsid w:val="00397CA6"/>
    <w:rsid w:val="003A0A58"/>
    <w:rsid w:val="003A0B50"/>
    <w:rsid w:val="003A0D48"/>
    <w:rsid w:val="003A1024"/>
    <w:rsid w:val="003A1293"/>
    <w:rsid w:val="003A1295"/>
    <w:rsid w:val="003A14CA"/>
    <w:rsid w:val="003A14EC"/>
    <w:rsid w:val="003A1A31"/>
    <w:rsid w:val="003A1A7B"/>
    <w:rsid w:val="003A1A8F"/>
    <w:rsid w:val="003A1C02"/>
    <w:rsid w:val="003A1C9D"/>
    <w:rsid w:val="003A20EE"/>
    <w:rsid w:val="003A2632"/>
    <w:rsid w:val="003A2AB7"/>
    <w:rsid w:val="003A2BE4"/>
    <w:rsid w:val="003A3258"/>
    <w:rsid w:val="003A348C"/>
    <w:rsid w:val="003A3A5F"/>
    <w:rsid w:val="003A3CF3"/>
    <w:rsid w:val="003A3F63"/>
    <w:rsid w:val="003A4122"/>
    <w:rsid w:val="003A4273"/>
    <w:rsid w:val="003A4712"/>
    <w:rsid w:val="003A53D2"/>
    <w:rsid w:val="003A5774"/>
    <w:rsid w:val="003A5876"/>
    <w:rsid w:val="003A62A6"/>
    <w:rsid w:val="003A62E8"/>
    <w:rsid w:val="003A6F02"/>
    <w:rsid w:val="003A6F7C"/>
    <w:rsid w:val="003A7287"/>
    <w:rsid w:val="003A759F"/>
    <w:rsid w:val="003A769E"/>
    <w:rsid w:val="003B01A8"/>
    <w:rsid w:val="003B0263"/>
    <w:rsid w:val="003B05E7"/>
    <w:rsid w:val="003B085B"/>
    <w:rsid w:val="003B0968"/>
    <w:rsid w:val="003B1472"/>
    <w:rsid w:val="003B1815"/>
    <w:rsid w:val="003B1AB9"/>
    <w:rsid w:val="003B2395"/>
    <w:rsid w:val="003B240D"/>
    <w:rsid w:val="003B2465"/>
    <w:rsid w:val="003B284C"/>
    <w:rsid w:val="003B2B05"/>
    <w:rsid w:val="003B2C42"/>
    <w:rsid w:val="003B2CE8"/>
    <w:rsid w:val="003B2E71"/>
    <w:rsid w:val="003B2F6E"/>
    <w:rsid w:val="003B3625"/>
    <w:rsid w:val="003B3662"/>
    <w:rsid w:val="003B3D49"/>
    <w:rsid w:val="003B3E85"/>
    <w:rsid w:val="003B4110"/>
    <w:rsid w:val="003B42E2"/>
    <w:rsid w:val="003B46D2"/>
    <w:rsid w:val="003B4934"/>
    <w:rsid w:val="003B4D00"/>
    <w:rsid w:val="003B5005"/>
    <w:rsid w:val="003B5243"/>
    <w:rsid w:val="003B55DB"/>
    <w:rsid w:val="003B57FC"/>
    <w:rsid w:val="003B5B6E"/>
    <w:rsid w:val="003B5B96"/>
    <w:rsid w:val="003B5CED"/>
    <w:rsid w:val="003B5EE0"/>
    <w:rsid w:val="003B65B3"/>
    <w:rsid w:val="003B691C"/>
    <w:rsid w:val="003B6D0C"/>
    <w:rsid w:val="003B774C"/>
    <w:rsid w:val="003B7999"/>
    <w:rsid w:val="003B7CA7"/>
    <w:rsid w:val="003B7D9D"/>
    <w:rsid w:val="003C00DF"/>
    <w:rsid w:val="003C0439"/>
    <w:rsid w:val="003C0754"/>
    <w:rsid w:val="003C089C"/>
    <w:rsid w:val="003C0A87"/>
    <w:rsid w:val="003C0BFF"/>
    <w:rsid w:val="003C0D4E"/>
    <w:rsid w:val="003C1308"/>
    <w:rsid w:val="003C16BD"/>
    <w:rsid w:val="003C22AE"/>
    <w:rsid w:val="003C22DB"/>
    <w:rsid w:val="003C287A"/>
    <w:rsid w:val="003C2A65"/>
    <w:rsid w:val="003C2C16"/>
    <w:rsid w:val="003C2CB2"/>
    <w:rsid w:val="003C2E94"/>
    <w:rsid w:val="003C2EE2"/>
    <w:rsid w:val="003C33DE"/>
    <w:rsid w:val="003C33F9"/>
    <w:rsid w:val="003C388A"/>
    <w:rsid w:val="003C38BC"/>
    <w:rsid w:val="003C3B5A"/>
    <w:rsid w:val="003C3C2A"/>
    <w:rsid w:val="003C40FC"/>
    <w:rsid w:val="003C4799"/>
    <w:rsid w:val="003C4962"/>
    <w:rsid w:val="003C4963"/>
    <w:rsid w:val="003C4FD0"/>
    <w:rsid w:val="003C5477"/>
    <w:rsid w:val="003C59C7"/>
    <w:rsid w:val="003C6216"/>
    <w:rsid w:val="003C654D"/>
    <w:rsid w:val="003C65D0"/>
    <w:rsid w:val="003C69A7"/>
    <w:rsid w:val="003C6B08"/>
    <w:rsid w:val="003C6C60"/>
    <w:rsid w:val="003C6FB2"/>
    <w:rsid w:val="003C70F7"/>
    <w:rsid w:val="003C731C"/>
    <w:rsid w:val="003C7773"/>
    <w:rsid w:val="003C789C"/>
    <w:rsid w:val="003C7BC6"/>
    <w:rsid w:val="003C7CE5"/>
    <w:rsid w:val="003D00EF"/>
    <w:rsid w:val="003D02F9"/>
    <w:rsid w:val="003D0509"/>
    <w:rsid w:val="003D06EA"/>
    <w:rsid w:val="003D0A3F"/>
    <w:rsid w:val="003D0DFC"/>
    <w:rsid w:val="003D11BD"/>
    <w:rsid w:val="003D14AD"/>
    <w:rsid w:val="003D15E8"/>
    <w:rsid w:val="003D1794"/>
    <w:rsid w:val="003D1933"/>
    <w:rsid w:val="003D1A95"/>
    <w:rsid w:val="003D1BDF"/>
    <w:rsid w:val="003D1DE1"/>
    <w:rsid w:val="003D1EE9"/>
    <w:rsid w:val="003D2089"/>
    <w:rsid w:val="003D20DE"/>
    <w:rsid w:val="003D27DA"/>
    <w:rsid w:val="003D2844"/>
    <w:rsid w:val="003D2890"/>
    <w:rsid w:val="003D298E"/>
    <w:rsid w:val="003D2A88"/>
    <w:rsid w:val="003D2B78"/>
    <w:rsid w:val="003D2CCB"/>
    <w:rsid w:val="003D2D27"/>
    <w:rsid w:val="003D2F33"/>
    <w:rsid w:val="003D2F58"/>
    <w:rsid w:val="003D31EC"/>
    <w:rsid w:val="003D3C60"/>
    <w:rsid w:val="003D3CEC"/>
    <w:rsid w:val="003D3F65"/>
    <w:rsid w:val="003D4163"/>
    <w:rsid w:val="003D440F"/>
    <w:rsid w:val="003D446A"/>
    <w:rsid w:val="003D46CE"/>
    <w:rsid w:val="003D49E9"/>
    <w:rsid w:val="003D4CD5"/>
    <w:rsid w:val="003D512A"/>
    <w:rsid w:val="003D51C8"/>
    <w:rsid w:val="003D51CE"/>
    <w:rsid w:val="003D53C2"/>
    <w:rsid w:val="003D5C25"/>
    <w:rsid w:val="003D5F36"/>
    <w:rsid w:val="003D608D"/>
    <w:rsid w:val="003D61DB"/>
    <w:rsid w:val="003D6239"/>
    <w:rsid w:val="003D66FA"/>
    <w:rsid w:val="003D6772"/>
    <w:rsid w:val="003D6C05"/>
    <w:rsid w:val="003D6D97"/>
    <w:rsid w:val="003D7248"/>
    <w:rsid w:val="003D745A"/>
    <w:rsid w:val="003D748D"/>
    <w:rsid w:val="003D7AED"/>
    <w:rsid w:val="003E0A41"/>
    <w:rsid w:val="003E0B97"/>
    <w:rsid w:val="003E0F91"/>
    <w:rsid w:val="003E12CE"/>
    <w:rsid w:val="003E1355"/>
    <w:rsid w:val="003E17D5"/>
    <w:rsid w:val="003E1895"/>
    <w:rsid w:val="003E2056"/>
    <w:rsid w:val="003E215A"/>
    <w:rsid w:val="003E222D"/>
    <w:rsid w:val="003E236E"/>
    <w:rsid w:val="003E24CA"/>
    <w:rsid w:val="003E24F0"/>
    <w:rsid w:val="003E250C"/>
    <w:rsid w:val="003E2725"/>
    <w:rsid w:val="003E27E8"/>
    <w:rsid w:val="003E294A"/>
    <w:rsid w:val="003E2CA9"/>
    <w:rsid w:val="003E2E34"/>
    <w:rsid w:val="003E32A6"/>
    <w:rsid w:val="003E36D4"/>
    <w:rsid w:val="003E37EB"/>
    <w:rsid w:val="003E3893"/>
    <w:rsid w:val="003E3998"/>
    <w:rsid w:val="003E3B7B"/>
    <w:rsid w:val="003E41CE"/>
    <w:rsid w:val="003E4240"/>
    <w:rsid w:val="003E4331"/>
    <w:rsid w:val="003E4C78"/>
    <w:rsid w:val="003E5723"/>
    <w:rsid w:val="003E580A"/>
    <w:rsid w:val="003E5B67"/>
    <w:rsid w:val="003E5BE7"/>
    <w:rsid w:val="003E658F"/>
    <w:rsid w:val="003E6880"/>
    <w:rsid w:val="003E6DCE"/>
    <w:rsid w:val="003E7157"/>
    <w:rsid w:val="003E728E"/>
    <w:rsid w:val="003E754B"/>
    <w:rsid w:val="003E758A"/>
    <w:rsid w:val="003E7663"/>
    <w:rsid w:val="003E77FF"/>
    <w:rsid w:val="003E7851"/>
    <w:rsid w:val="003E7C70"/>
    <w:rsid w:val="003F037C"/>
    <w:rsid w:val="003F0421"/>
    <w:rsid w:val="003F06C4"/>
    <w:rsid w:val="003F0A43"/>
    <w:rsid w:val="003F0EFB"/>
    <w:rsid w:val="003F145A"/>
    <w:rsid w:val="003F1804"/>
    <w:rsid w:val="003F1A90"/>
    <w:rsid w:val="003F1E72"/>
    <w:rsid w:val="003F2737"/>
    <w:rsid w:val="003F2A88"/>
    <w:rsid w:val="003F2C73"/>
    <w:rsid w:val="003F31A9"/>
    <w:rsid w:val="003F3213"/>
    <w:rsid w:val="003F3357"/>
    <w:rsid w:val="003F3795"/>
    <w:rsid w:val="003F3799"/>
    <w:rsid w:val="003F382B"/>
    <w:rsid w:val="003F3E0D"/>
    <w:rsid w:val="003F44B1"/>
    <w:rsid w:val="003F44C6"/>
    <w:rsid w:val="003F4727"/>
    <w:rsid w:val="003F488E"/>
    <w:rsid w:val="003F496E"/>
    <w:rsid w:val="003F49AF"/>
    <w:rsid w:val="003F4D81"/>
    <w:rsid w:val="003F4F6D"/>
    <w:rsid w:val="003F5232"/>
    <w:rsid w:val="003F530B"/>
    <w:rsid w:val="003F54B1"/>
    <w:rsid w:val="003F5BD3"/>
    <w:rsid w:val="003F61F7"/>
    <w:rsid w:val="003F6337"/>
    <w:rsid w:val="003F663A"/>
    <w:rsid w:val="003F6658"/>
    <w:rsid w:val="003F679D"/>
    <w:rsid w:val="003F6A28"/>
    <w:rsid w:val="003F6E78"/>
    <w:rsid w:val="003F7118"/>
    <w:rsid w:val="003F7182"/>
    <w:rsid w:val="003F71C4"/>
    <w:rsid w:val="003F7A56"/>
    <w:rsid w:val="003F7F63"/>
    <w:rsid w:val="004004E1"/>
    <w:rsid w:val="00400759"/>
    <w:rsid w:val="00400769"/>
    <w:rsid w:val="004007A0"/>
    <w:rsid w:val="0040089A"/>
    <w:rsid w:val="00400BCD"/>
    <w:rsid w:val="00400E49"/>
    <w:rsid w:val="00400E4F"/>
    <w:rsid w:val="00400E79"/>
    <w:rsid w:val="0040156A"/>
    <w:rsid w:val="00401879"/>
    <w:rsid w:val="0040194E"/>
    <w:rsid w:val="00401C48"/>
    <w:rsid w:val="00401F29"/>
    <w:rsid w:val="004020C2"/>
    <w:rsid w:val="00402220"/>
    <w:rsid w:val="0040247C"/>
    <w:rsid w:val="004024C0"/>
    <w:rsid w:val="0040285A"/>
    <w:rsid w:val="004029C2"/>
    <w:rsid w:val="00402B1A"/>
    <w:rsid w:val="00402CA3"/>
    <w:rsid w:val="00402F20"/>
    <w:rsid w:val="004030A5"/>
    <w:rsid w:val="004036A1"/>
    <w:rsid w:val="004041BA"/>
    <w:rsid w:val="00404245"/>
    <w:rsid w:val="004043DB"/>
    <w:rsid w:val="004043EC"/>
    <w:rsid w:val="00404923"/>
    <w:rsid w:val="004049FA"/>
    <w:rsid w:val="00404B59"/>
    <w:rsid w:val="00404C00"/>
    <w:rsid w:val="00404CA3"/>
    <w:rsid w:val="004050DA"/>
    <w:rsid w:val="00405240"/>
    <w:rsid w:val="00405565"/>
    <w:rsid w:val="00405626"/>
    <w:rsid w:val="00405689"/>
    <w:rsid w:val="004057AD"/>
    <w:rsid w:val="00405804"/>
    <w:rsid w:val="00405879"/>
    <w:rsid w:val="00405947"/>
    <w:rsid w:val="00405B4A"/>
    <w:rsid w:val="00405D1C"/>
    <w:rsid w:val="00405FD2"/>
    <w:rsid w:val="00406678"/>
    <w:rsid w:val="0040696F"/>
    <w:rsid w:val="00406CA6"/>
    <w:rsid w:val="0040714F"/>
    <w:rsid w:val="004071A2"/>
    <w:rsid w:val="004075BD"/>
    <w:rsid w:val="004077D8"/>
    <w:rsid w:val="00407A98"/>
    <w:rsid w:val="00407DD6"/>
    <w:rsid w:val="00410094"/>
    <w:rsid w:val="0041036B"/>
    <w:rsid w:val="0041061D"/>
    <w:rsid w:val="00410A34"/>
    <w:rsid w:val="00410A55"/>
    <w:rsid w:val="00411021"/>
    <w:rsid w:val="00411278"/>
    <w:rsid w:val="004114B7"/>
    <w:rsid w:val="0041186C"/>
    <w:rsid w:val="00411EA7"/>
    <w:rsid w:val="004120E6"/>
    <w:rsid w:val="00412297"/>
    <w:rsid w:val="0041233E"/>
    <w:rsid w:val="004125B2"/>
    <w:rsid w:val="00412AE6"/>
    <w:rsid w:val="00412B3E"/>
    <w:rsid w:val="00412C3F"/>
    <w:rsid w:val="00413025"/>
    <w:rsid w:val="0041311E"/>
    <w:rsid w:val="00413696"/>
    <w:rsid w:val="00413811"/>
    <w:rsid w:val="00413FB3"/>
    <w:rsid w:val="00414437"/>
    <w:rsid w:val="004148FA"/>
    <w:rsid w:val="00414BF3"/>
    <w:rsid w:val="00414D4F"/>
    <w:rsid w:val="00415076"/>
    <w:rsid w:val="0041513A"/>
    <w:rsid w:val="00415150"/>
    <w:rsid w:val="00415175"/>
    <w:rsid w:val="004154C0"/>
    <w:rsid w:val="004154FA"/>
    <w:rsid w:val="00415513"/>
    <w:rsid w:val="0041576D"/>
    <w:rsid w:val="00415A9D"/>
    <w:rsid w:val="00415AA9"/>
    <w:rsid w:val="0041649B"/>
    <w:rsid w:val="00416640"/>
    <w:rsid w:val="004167B0"/>
    <w:rsid w:val="004168CE"/>
    <w:rsid w:val="004169C6"/>
    <w:rsid w:val="00417D8A"/>
    <w:rsid w:val="00417DA1"/>
    <w:rsid w:val="00417EF8"/>
    <w:rsid w:val="00417FBD"/>
    <w:rsid w:val="00420190"/>
    <w:rsid w:val="0042032F"/>
    <w:rsid w:val="0042034B"/>
    <w:rsid w:val="0042063B"/>
    <w:rsid w:val="00420BA4"/>
    <w:rsid w:val="00420BD7"/>
    <w:rsid w:val="00420EB0"/>
    <w:rsid w:val="00421452"/>
    <w:rsid w:val="004217B5"/>
    <w:rsid w:val="00421B79"/>
    <w:rsid w:val="00422404"/>
    <w:rsid w:val="00422528"/>
    <w:rsid w:val="00422BD7"/>
    <w:rsid w:val="004233CA"/>
    <w:rsid w:val="004235FF"/>
    <w:rsid w:val="004239AD"/>
    <w:rsid w:val="00423B2F"/>
    <w:rsid w:val="00424575"/>
    <w:rsid w:val="00424763"/>
    <w:rsid w:val="00424A4C"/>
    <w:rsid w:val="0042565C"/>
    <w:rsid w:val="004256B0"/>
    <w:rsid w:val="004259CF"/>
    <w:rsid w:val="00425C7E"/>
    <w:rsid w:val="00425D2D"/>
    <w:rsid w:val="00425EC9"/>
    <w:rsid w:val="0042615D"/>
    <w:rsid w:val="004262AD"/>
    <w:rsid w:val="00427015"/>
    <w:rsid w:val="00427066"/>
    <w:rsid w:val="00427156"/>
    <w:rsid w:val="004274DA"/>
    <w:rsid w:val="0042797D"/>
    <w:rsid w:val="00427BC2"/>
    <w:rsid w:val="00430200"/>
    <w:rsid w:val="0043066C"/>
    <w:rsid w:val="0043069C"/>
    <w:rsid w:val="00430711"/>
    <w:rsid w:val="00430E5F"/>
    <w:rsid w:val="00430FBE"/>
    <w:rsid w:val="00430FD9"/>
    <w:rsid w:val="00431142"/>
    <w:rsid w:val="00431577"/>
    <w:rsid w:val="00431586"/>
    <w:rsid w:val="0043170E"/>
    <w:rsid w:val="00431D20"/>
    <w:rsid w:val="00431E0A"/>
    <w:rsid w:val="00431EB3"/>
    <w:rsid w:val="00431F9C"/>
    <w:rsid w:val="00431FEE"/>
    <w:rsid w:val="00432324"/>
    <w:rsid w:val="0043233D"/>
    <w:rsid w:val="00433121"/>
    <w:rsid w:val="0043317D"/>
    <w:rsid w:val="00433399"/>
    <w:rsid w:val="00433D78"/>
    <w:rsid w:val="00433F59"/>
    <w:rsid w:val="004344FF"/>
    <w:rsid w:val="00434519"/>
    <w:rsid w:val="004346BA"/>
    <w:rsid w:val="00434A5F"/>
    <w:rsid w:val="00434ABC"/>
    <w:rsid w:val="004351A0"/>
    <w:rsid w:val="0043538A"/>
    <w:rsid w:val="00435588"/>
    <w:rsid w:val="00435B9F"/>
    <w:rsid w:val="00435F19"/>
    <w:rsid w:val="004361D6"/>
    <w:rsid w:val="0043621E"/>
    <w:rsid w:val="0043628A"/>
    <w:rsid w:val="0043657F"/>
    <w:rsid w:val="0043670B"/>
    <w:rsid w:val="004367DB"/>
    <w:rsid w:val="00436A2D"/>
    <w:rsid w:val="00436EAA"/>
    <w:rsid w:val="00436F8F"/>
    <w:rsid w:val="00436FC4"/>
    <w:rsid w:val="004371E9"/>
    <w:rsid w:val="00437347"/>
    <w:rsid w:val="0043754C"/>
    <w:rsid w:val="004375B8"/>
    <w:rsid w:val="00437719"/>
    <w:rsid w:val="00437979"/>
    <w:rsid w:val="00437BD4"/>
    <w:rsid w:val="00437C62"/>
    <w:rsid w:val="00440030"/>
    <w:rsid w:val="0044009B"/>
    <w:rsid w:val="00440100"/>
    <w:rsid w:val="00440310"/>
    <w:rsid w:val="00440341"/>
    <w:rsid w:val="004409AB"/>
    <w:rsid w:val="00440C94"/>
    <w:rsid w:val="00441369"/>
    <w:rsid w:val="0044156B"/>
    <w:rsid w:val="0044195A"/>
    <w:rsid w:val="00441C2C"/>
    <w:rsid w:val="00441C6A"/>
    <w:rsid w:val="00442064"/>
    <w:rsid w:val="004420A2"/>
    <w:rsid w:val="004423D6"/>
    <w:rsid w:val="00442409"/>
    <w:rsid w:val="00442515"/>
    <w:rsid w:val="00442569"/>
    <w:rsid w:val="00442976"/>
    <w:rsid w:val="00442B88"/>
    <w:rsid w:val="00442DB3"/>
    <w:rsid w:val="00442F5C"/>
    <w:rsid w:val="0044308D"/>
    <w:rsid w:val="0044313D"/>
    <w:rsid w:val="00443297"/>
    <w:rsid w:val="00443728"/>
    <w:rsid w:val="00443C0B"/>
    <w:rsid w:val="00443DA1"/>
    <w:rsid w:val="00443F9A"/>
    <w:rsid w:val="0044418C"/>
    <w:rsid w:val="00444244"/>
    <w:rsid w:val="00444852"/>
    <w:rsid w:val="004449BD"/>
    <w:rsid w:val="00444CF5"/>
    <w:rsid w:val="00444E4F"/>
    <w:rsid w:val="00444EC1"/>
    <w:rsid w:val="00444EF3"/>
    <w:rsid w:val="00444F99"/>
    <w:rsid w:val="004452D3"/>
    <w:rsid w:val="00445414"/>
    <w:rsid w:val="0044582E"/>
    <w:rsid w:val="004459A2"/>
    <w:rsid w:val="004459DE"/>
    <w:rsid w:val="00445AA9"/>
    <w:rsid w:val="00445AAE"/>
    <w:rsid w:val="00445BF4"/>
    <w:rsid w:val="00446010"/>
    <w:rsid w:val="004465B3"/>
    <w:rsid w:val="00446C04"/>
    <w:rsid w:val="00447102"/>
    <w:rsid w:val="004471A5"/>
    <w:rsid w:val="0044763C"/>
    <w:rsid w:val="0044789B"/>
    <w:rsid w:val="004478CB"/>
    <w:rsid w:val="00447901"/>
    <w:rsid w:val="00447A62"/>
    <w:rsid w:val="00447BDF"/>
    <w:rsid w:val="00447F46"/>
    <w:rsid w:val="004507E3"/>
    <w:rsid w:val="00450D4C"/>
    <w:rsid w:val="00450EB1"/>
    <w:rsid w:val="004510F4"/>
    <w:rsid w:val="00451330"/>
    <w:rsid w:val="00451658"/>
    <w:rsid w:val="00451962"/>
    <w:rsid w:val="00451A62"/>
    <w:rsid w:val="00451B1E"/>
    <w:rsid w:val="00451F4D"/>
    <w:rsid w:val="0045247D"/>
    <w:rsid w:val="0045290C"/>
    <w:rsid w:val="00452D65"/>
    <w:rsid w:val="00452EEF"/>
    <w:rsid w:val="00453011"/>
    <w:rsid w:val="004537F0"/>
    <w:rsid w:val="004538D7"/>
    <w:rsid w:val="00453B52"/>
    <w:rsid w:val="00453CEF"/>
    <w:rsid w:val="004544F6"/>
    <w:rsid w:val="00454538"/>
    <w:rsid w:val="00454F96"/>
    <w:rsid w:val="0045541C"/>
    <w:rsid w:val="004556A4"/>
    <w:rsid w:val="0045576A"/>
    <w:rsid w:val="0045600E"/>
    <w:rsid w:val="004561F5"/>
    <w:rsid w:val="004562A7"/>
    <w:rsid w:val="0045632E"/>
    <w:rsid w:val="00456426"/>
    <w:rsid w:val="00456493"/>
    <w:rsid w:val="00456512"/>
    <w:rsid w:val="00456597"/>
    <w:rsid w:val="00456705"/>
    <w:rsid w:val="00456799"/>
    <w:rsid w:val="004567EF"/>
    <w:rsid w:val="00456925"/>
    <w:rsid w:val="0045694F"/>
    <w:rsid w:val="00456B85"/>
    <w:rsid w:val="00456D45"/>
    <w:rsid w:val="004575C8"/>
    <w:rsid w:val="00457D8C"/>
    <w:rsid w:val="00457E32"/>
    <w:rsid w:val="004601BC"/>
    <w:rsid w:val="004604E8"/>
    <w:rsid w:val="00460609"/>
    <w:rsid w:val="004608D4"/>
    <w:rsid w:val="00460B33"/>
    <w:rsid w:val="00460F28"/>
    <w:rsid w:val="0046106E"/>
    <w:rsid w:val="00461257"/>
    <w:rsid w:val="004615C7"/>
    <w:rsid w:val="00461849"/>
    <w:rsid w:val="00461A2D"/>
    <w:rsid w:val="00461EA6"/>
    <w:rsid w:val="00462B79"/>
    <w:rsid w:val="0046305A"/>
    <w:rsid w:val="00463356"/>
    <w:rsid w:val="00463695"/>
    <w:rsid w:val="00463994"/>
    <w:rsid w:val="00463AF0"/>
    <w:rsid w:val="0046409D"/>
    <w:rsid w:val="004641A1"/>
    <w:rsid w:val="0046471C"/>
    <w:rsid w:val="00464A4F"/>
    <w:rsid w:val="00464A9D"/>
    <w:rsid w:val="00464AFA"/>
    <w:rsid w:val="00464FBA"/>
    <w:rsid w:val="00465093"/>
    <w:rsid w:val="00465100"/>
    <w:rsid w:val="004652BA"/>
    <w:rsid w:val="0046555C"/>
    <w:rsid w:val="004655DA"/>
    <w:rsid w:val="0046576C"/>
    <w:rsid w:val="00465786"/>
    <w:rsid w:val="004658F0"/>
    <w:rsid w:val="004659B7"/>
    <w:rsid w:val="00465B95"/>
    <w:rsid w:val="00465CB8"/>
    <w:rsid w:val="00465D57"/>
    <w:rsid w:val="004660D9"/>
    <w:rsid w:val="00466985"/>
    <w:rsid w:val="004669AE"/>
    <w:rsid w:val="00466A57"/>
    <w:rsid w:val="00466A77"/>
    <w:rsid w:val="00466BBC"/>
    <w:rsid w:val="00466EB1"/>
    <w:rsid w:val="004672D0"/>
    <w:rsid w:val="00467593"/>
    <w:rsid w:val="0046765A"/>
    <w:rsid w:val="00467AF0"/>
    <w:rsid w:val="00467E00"/>
    <w:rsid w:val="00470384"/>
    <w:rsid w:val="004703E1"/>
    <w:rsid w:val="00470698"/>
    <w:rsid w:val="00470716"/>
    <w:rsid w:val="00470768"/>
    <w:rsid w:val="00470D3C"/>
    <w:rsid w:val="00470F76"/>
    <w:rsid w:val="00471265"/>
    <w:rsid w:val="00471323"/>
    <w:rsid w:val="004713BA"/>
    <w:rsid w:val="00471909"/>
    <w:rsid w:val="00471944"/>
    <w:rsid w:val="00471B0C"/>
    <w:rsid w:val="00471FC1"/>
    <w:rsid w:val="00472197"/>
    <w:rsid w:val="00472210"/>
    <w:rsid w:val="0047248E"/>
    <w:rsid w:val="0047299D"/>
    <w:rsid w:val="00472B8B"/>
    <w:rsid w:val="00472C9E"/>
    <w:rsid w:val="00472D6C"/>
    <w:rsid w:val="0047310D"/>
    <w:rsid w:val="004732A5"/>
    <w:rsid w:val="004732EF"/>
    <w:rsid w:val="004734E3"/>
    <w:rsid w:val="0047355C"/>
    <w:rsid w:val="004735F1"/>
    <w:rsid w:val="004736BB"/>
    <w:rsid w:val="00473B0A"/>
    <w:rsid w:val="00473BEC"/>
    <w:rsid w:val="004741D8"/>
    <w:rsid w:val="004745A3"/>
    <w:rsid w:val="00474938"/>
    <w:rsid w:val="00474C90"/>
    <w:rsid w:val="004750A3"/>
    <w:rsid w:val="0047516B"/>
    <w:rsid w:val="0047524C"/>
    <w:rsid w:val="00475710"/>
    <w:rsid w:val="00475B13"/>
    <w:rsid w:val="00475F6B"/>
    <w:rsid w:val="0047617F"/>
    <w:rsid w:val="00476439"/>
    <w:rsid w:val="004769D1"/>
    <w:rsid w:val="00476EEE"/>
    <w:rsid w:val="004772D1"/>
    <w:rsid w:val="00477436"/>
    <w:rsid w:val="00477A67"/>
    <w:rsid w:val="00477A88"/>
    <w:rsid w:val="00477D9D"/>
    <w:rsid w:val="00477EF9"/>
    <w:rsid w:val="00480509"/>
    <w:rsid w:val="00480722"/>
    <w:rsid w:val="0048094B"/>
    <w:rsid w:val="004809BA"/>
    <w:rsid w:val="00480AF4"/>
    <w:rsid w:val="004811FF"/>
    <w:rsid w:val="0048147B"/>
    <w:rsid w:val="0048160E"/>
    <w:rsid w:val="00481664"/>
    <w:rsid w:val="0048171E"/>
    <w:rsid w:val="004819E9"/>
    <w:rsid w:val="00481BC2"/>
    <w:rsid w:val="00482250"/>
    <w:rsid w:val="004833CE"/>
    <w:rsid w:val="00483491"/>
    <w:rsid w:val="00483649"/>
    <w:rsid w:val="0048365D"/>
    <w:rsid w:val="00483C40"/>
    <w:rsid w:val="00483FB2"/>
    <w:rsid w:val="0048412E"/>
    <w:rsid w:val="00484383"/>
    <w:rsid w:val="00484407"/>
    <w:rsid w:val="00484953"/>
    <w:rsid w:val="00484BB8"/>
    <w:rsid w:val="00484CC4"/>
    <w:rsid w:val="00484D5E"/>
    <w:rsid w:val="00484D77"/>
    <w:rsid w:val="00484EC1"/>
    <w:rsid w:val="0048525A"/>
    <w:rsid w:val="004852EA"/>
    <w:rsid w:val="00485321"/>
    <w:rsid w:val="00485334"/>
    <w:rsid w:val="00485C21"/>
    <w:rsid w:val="00485EBD"/>
    <w:rsid w:val="00486209"/>
    <w:rsid w:val="00486304"/>
    <w:rsid w:val="00486A05"/>
    <w:rsid w:val="00486E5F"/>
    <w:rsid w:val="00486E7A"/>
    <w:rsid w:val="00486FE7"/>
    <w:rsid w:val="004870CD"/>
    <w:rsid w:val="0048720E"/>
    <w:rsid w:val="00487254"/>
    <w:rsid w:val="00487270"/>
    <w:rsid w:val="00487739"/>
    <w:rsid w:val="00487C3D"/>
    <w:rsid w:val="0049041A"/>
    <w:rsid w:val="0049043F"/>
    <w:rsid w:val="00490569"/>
    <w:rsid w:val="00490FA6"/>
    <w:rsid w:val="00491093"/>
    <w:rsid w:val="004915AE"/>
    <w:rsid w:val="004915CA"/>
    <w:rsid w:val="00491977"/>
    <w:rsid w:val="00491AAF"/>
    <w:rsid w:val="00491C98"/>
    <w:rsid w:val="00491F05"/>
    <w:rsid w:val="00491FB5"/>
    <w:rsid w:val="00492236"/>
    <w:rsid w:val="00492926"/>
    <w:rsid w:val="004930DD"/>
    <w:rsid w:val="004931D7"/>
    <w:rsid w:val="004931FF"/>
    <w:rsid w:val="00493C84"/>
    <w:rsid w:val="00493D2F"/>
    <w:rsid w:val="0049431F"/>
    <w:rsid w:val="0049440B"/>
    <w:rsid w:val="0049468B"/>
    <w:rsid w:val="00494840"/>
    <w:rsid w:val="00494E23"/>
    <w:rsid w:val="00494E9F"/>
    <w:rsid w:val="00495461"/>
    <w:rsid w:val="0049547B"/>
    <w:rsid w:val="0049569D"/>
    <w:rsid w:val="0049579F"/>
    <w:rsid w:val="0049580D"/>
    <w:rsid w:val="00495967"/>
    <w:rsid w:val="004959B0"/>
    <w:rsid w:val="00495C89"/>
    <w:rsid w:val="00495D4F"/>
    <w:rsid w:val="00495DF0"/>
    <w:rsid w:val="00495FBE"/>
    <w:rsid w:val="00495FDC"/>
    <w:rsid w:val="00496324"/>
    <w:rsid w:val="0049665E"/>
    <w:rsid w:val="00496972"/>
    <w:rsid w:val="004969FA"/>
    <w:rsid w:val="00496CE0"/>
    <w:rsid w:val="00496E99"/>
    <w:rsid w:val="00497270"/>
    <w:rsid w:val="004973CB"/>
    <w:rsid w:val="00497442"/>
    <w:rsid w:val="0049759D"/>
    <w:rsid w:val="00497675"/>
    <w:rsid w:val="004A00B9"/>
    <w:rsid w:val="004A02E3"/>
    <w:rsid w:val="004A03CB"/>
    <w:rsid w:val="004A074B"/>
    <w:rsid w:val="004A0830"/>
    <w:rsid w:val="004A0A11"/>
    <w:rsid w:val="004A1808"/>
    <w:rsid w:val="004A2233"/>
    <w:rsid w:val="004A27AB"/>
    <w:rsid w:val="004A2D18"/>
    <w:rsid w:val="004A2D54"/>
    <w:rsid w:val="004A30F5"/>
    <w:rsid w:val="004A3244"/>
    <w:rsid w:val="004A329A"/>
    <w:rsid w:val="004A3341"/>
    <w:rsid w:val="004A3388"/>
    <w:rsid w:val="004A3520"/>
    <w:rsid w:val="004A3962"/>
    <w:rsid w:val="004A3A66"/>
    <w:rsid w:val="004A3EAB"/>
    <w:rsid w:val="004A4255"/>
    <w:rsid w:val="004A4498"/>
    <w:rsid w:val="004A46E2"/>
    <w:rsid w:val="004A46E6"/>
    <w:rsid w:val="004A48DA"/>
    <w:rsid w:val="004A49C6"/>
    <w:rsid w:val="004A4F7F"/>
    <w:rsid w:val="004A52EA"/>
    <w:rsid w:val="004A55B6"/>
    <w:rsid w:val="004A5D3A"/>
    <w:rsid w:val="004A63E4"/>
    <w:rsid w:val="004A6484"/>
    <w:rsid w:val="004A64D9"/>
    <w:rsid w:val="004A72B1"/>
    <w:rsid w:val="004A7450"/>
    <w:rsid w:val="004A74B7"/>
    <w:rsid w:val="004A7562"/>
    <w:rsid w:val="004A76C5"/>
    <w:rsid w:val="004A78E8"/>
    <w:rsid w:val="004A7960"/>
    <w:rsid w:val="004A7A62"/>
    <w:rsid w:val="004A7BD5"/>
    <w:rsid w:val="004B09CB"/>
    <w:rsid w:val="004B1047"/>
    <w:rsid w:val="004B11FB"/>
    <w:rsid w:val="004B1443"/>
    <w:rsid w:val="004B1452"/>
    <w:rsid w:val="004B1634"/>
    <w:rsid w:val="004B1B77"/>
    <w:rsid w:val="004B1BEE"/>
    <w:rsid w:val="004B1C50"/>
    <w:rsid w:val="004B1D59"/>
    <w:rsid w:val="004B2AC4"/>
    <w:rsid w:val="004B2ACC"/>
    <w:rsid w:val="004B3371"/>
    <w:rsid w:val="004B3462"/>
    <w:rsid w:val="004B36D8"/>
    <w:rsid w:val="004B40FC"/>
    <w:rsid w:val="004B423C"/>
    <w:rsid w:val="004B44BE"/>
    <w:rsid w:val="004B4B17"/>
    <w:rsid w:val="004B4D6B"/>
    <w:rsid w:val="004B5055"/>
    <w:rsid w:val="004B5073"/>
    <w:rsid w:val="004B579B"/>
    <w:rsid w:val="004B58A7"/>
    <w:rsid w:val="004B5A40"/>
    <w:rsid w:val="004B5AE1"/>
    <w:rsid w:val="004B5B11"/>
    <w:rsid w:val="004B5C6F"/>
    <w:rsid w:val="004B5DAA"/>
    <w:rsid w:val="004B61FB"/>
    <w:rsid w:val="004B6666"/>
    <w:rsid w:val="004B6BA0"/>
    <w:rsid w:val="004B6EB6"/>
    <w:rsid w:val="004B7319"/>
    <w:rsid w:val="004C0196"/>
    <w:rsid w:val="004C0575"/>
    <w:rsid w:val="004C06A6"/>
    <w:rsid w:val="004C0861"/>
    <w:rsid w:val="004C09F8"/>
    <w:rsid w:val="004C0C29"/>
    <w:rsid w:val="004C1727"/>
    <w:rsid w:val="004C18BF"/>
    <w:rsid w:val="004C1B2B"/>
    <w:rsid w:val="004C207A"/>
    <w:rsid w:val="004C228A"/>
    <w:rsid w:val="004C24D0"/>
    <w:rsid w:val="004C262C"/>
    <w:rsid w:val="004C2B0F"/>
    <w:rsid w:val="004C2CB7"/>
    <w:rsid w:val="004C2F42"/>
    <w:rsid w:val="004C2F8F"/>
    <w:rsid w:val="004C2FED"/>
    <w:rsid w:val="004C30C5"/>
    <w:rsid w:val="004C322F"/>
    <w:rsid w:val="004C34C2"/>
    <w:rsid w:val="004C365E"/>
    <w:rsid w:val="004C3944"/>
    <w:rsid w:val="004C3AC0"/>
    <w:rsid w:val="004C3BD6"/>
    <w:rsid w:val="004C4705"/>
    <w:rsid w:val="004C4A35"/>
    <w:rsid w:val="004C4C06"/>
    <w:rsid w:val="004C4E78"/>
    <w:rsid w:val="004C5010"/>
    <w:rsid w:val="004C5040"/>
    <w:rsid w:val="004C5143"/>
    <w:rsid w:val="004C522D"/>
    <w:rsid w:val="004C5666"/>
    <w:rsid w:val="004C6094"/>
    <w:rsid w:val="004C67A7"/>
    <w:rsid w:val="004C75C7"/>
    <w:rsid w:val="004C75F2"/>
    <w:rsid w:val="004C76A7"/>
    <w:rsid w:val="004C7ABF"/>
    <w:rsid w:val="004D049D"/>
    <w:rsid w:val="004D05B7"/>
    <w:rsid w:val="004D1201"/>
    <w:rsid w:val="004D1E4B"/>
    <w:rsid w:val="004D21D5"/>
    <w:rsid w:val="004D2562"/>
    <w:rsid w:val="004D275B"/>
    <w:rsid w:val="004D293C"/>
    <w:rsid w:val="004D2BAF"/>
    <w:rsid w:val="004D2D67"/>
    <w:rsid w:val="004D2DF1"/>
    <w:rsid w:val="004D2FA8"/>
    <w:rsid w:val="004D312D"/>
    <w:rsid w:val="004D326F"/>
    <w:rsid w:val="004D3302"/>
    <w:rsid w:val="004D3867"/>
    <w:rsid w:val="004D3CDA"/>
    <w:rsid w:val="004D3D86"/>
    <w:rsid w:val="004D4E03"/>
    <w:rsid w:val="004D5134"/>
    <w:rsid w:val="004D5196"/>
    <w:rsid w:val="004D529E"/>
    <w:rsid w:val="004D5330"/>
    <w:rsid w:val="004D55AE"/>
    <w:rsid w:val="004D5A8B"/>
    <w:rsid w:val="004D5A9D"/>
    <w:rsid w:val="004D5AC1"/>
    <w:rsid w:val="004D5BFC"/>
    <w:rsid w:val="004D5CE8"/>
    <w:rsid w:val="004D5F00"/>
    <w:rsid w:val="004D5FA0"/>
    <w:rsid w:val="004D6545"/>
    <w:rsid w:val="004D6552"/>
    <w:rsid w:val="004D678D"/>
    <w:rsid w:val="004D690A"/>
    <w:rsid w:val="004D6B15"/>
    <w:rsid w:val="004D6CD0"/>
    <w:rsid w:val="004D6D54"/>
    <w:rsid w:val="004D6DD6"/>
    <w:rsid w:val="004D78F3"/>
    <w:rsid w:val="004D79F8"/>
    <w:rsid w:val="004D7D6E"/>
    <w:rsid w:val="004D7F63"/>
    <w:rsid w:val="004D7F95"/>
    <w:rsid w:val="004E001B"/>
    <w:rsid w:val="004E0152"/>
    <w:rsid w:val="004E03D8"/>
    <w:rsid w:val="004E0586"/>
    <w:rsid w:val="004E0A57"/>
    <w:rsid w:val="004E0B69"/>
    <w:rsid w:val="004E0C4C"/>
    <w:rsid w:val="004E1425"/>
    <w:rsid w:val="004E1BB3"/>
    <w:rsid w:val="004E1CE2"/>
    <w:rsid w:val="004E204A"/>
    <w:rsid w:val="004E2337"/>
    <w:rsid w:val="004E25D5"/>
    <w:rsid w:val="004E2693"/>
    <w:rsid w:val="004E2A97"/>
    <w:rsid w:val="004E2C80"/>
    <w:rsid w:val="004E301F"/>
    <w:rsid w:val="004E323D"/>
    <w:rsid w:val="004E344A"/>
    <w:rsid w:val="004E37E7"/>
    <w:rsid w:val="004E397C"/>
    <w:rsid w:val="004E3AA2"/>
    <w:rsid w:val="004E4057"/>
    <w:rsid w:val="004E4184"/>
    <w:rsid w:val="004E422B"/>
    <w:rsid w:val="004E47D1"/>
    <w:rsid w:val="004E4885"/>
    <w:rsid w:val="004E4B02"/>
    <w:rsid w:val="004E4D6F"/>
    <w:rsid w:val="004E51C0"/>
    <w:rsid w:val="004E5683"/>
    <w:rsid w:val="004E5980"/>
    <w:rsid w:val="004E59A9"/>
    <w:rsid w:val="004E5BEA"/>
    <w:rsid w:val="004E5FD9"/>
    <w:rsid w:val="004E61CC"/>
    <w:rsid w:val="004E6501"/>
    <w:rsid w:val="004E6D5A"/>
    <w:rsid w:val="004E6DAB"/>
    <w:rsid w:val="004E7373"/>
    <w:rsid w:val="004E75AB"/>
    <w:rsid w:val="004E7754"/>
    <w:rsid w:val="004E7785"/>
    <w:rsid w:val="004E7B70"/>
    <w:rsid w:val="004E7E06"/>
    <w:rsid w:val="004F0900"/>
    <w:rsid w:val="004F0C0E"/>
    <w:rsid w:val="004F0E6B"/>
    <w:rsid w:val="004F0F28"/>
    <w:rsid w:val="004F1349"/>
    <w:rsid w:val="004F135C"/>
    <w:rsid w:val="004F14AD"/>
    <w:rsid w:val="004F17D8"/>
    <w:rsid w:val="004F1C52"/>
    <w:rsid w:val="004F1E47"/>
    <w:rsid w:val="004F1FAC"/>
    <w:rsid w:val="004F2503"/>
    <w:rsid w:val="004F2903"/>
    <w:rsid w:val="004F2E21"/>
    <w:rsid w:val="004F3074"/>
    <w:rsid w:val="004F32A9"/>
    <w:rsid w:val="004F350A"/>
    <w:rsid w:val="004F38C5"/>
    <w:rsid w:val="004F3DD0"/>
    <w:rsid w:val="004F3EC9"/>
    <w:rsid w:val="004F400E"/>
    <w:rsid w:val="004F4156"/>
    <w:rsid w:val="004F45A3"/>
    <w:rsid w:val="004F4604"/>
    <w:rsid w:val="004F4903"/>
    <w:rsid w:val="004F49FE"/>
    <w:rsid w:val="004F4B7D"/>
    <w:rsid w:val="004F4EBE"/>
    <w:rsid w:val="004F4EDC"/>
    <w:rsid w:val="004F52D8"/>
    <w:rsid w:val="004F5835"/>
    <w:rsid w:val="004F597A"/>
    <w:rsid w:val="004F5B96"/>
    <w:rsid w:val="004F5E54"/>
    <w:rsid w:val="004F5E72"/>
    <w:rsid w:val="004F5F86"/>
    <w:rsid w:val="004F5FB1"/>
    <w:rsid w:val="004F60F6"/>
    <w:rsid w:val="004F640A"/>
    <w:rsid w:val="004F6667"/>
    <w:rsid w:val="004F690E"/>
    <w:rsid w:val="004F6BA8"/>
    <w:rsid w:val="004F6BC7"/>
    <w:rsid w:val="004F6C42"/>
    <w:rsid w:val="004F7051"/>
    <w:rsid w:val="004F7168"/>
    <w:rsid w:val="004F71A8"/>
    <w:rsid w:val="004F737A"/>
    <w:rsid w:val="004F73B1"/>
    <w:rsid w:val="004F73F7"/>
    <w:rsid w:val="004F74E9"/>
    <w:rsid w:val="004F781B"/>
    <w:rsid w:val="004F7DBD"/>
    <w:rsid w:val="004F7F3A"/>
    <w:rsid w:val="005001C8"/>
    <w:rsid w:val="005005D8"/>
    <w:rsid w:val="00500673"/>
    <w:rsid w:val="00500722"/>
    <w:rsid w:val="00500AB4"/>
    <w:rsid w:val="00500C01"/>
    <w:rsid w:val="00501190"/>
    <w:rsid w:val="00501398"/>
    <w:rsid w:val="005014AB"/>
    <w:rsid w:val="005017D6"/>
    <w:rsid w:val="005019F1"/>
    <w:rsid w:val="00501D18"/>
    <w:rsid w:val="00501FFA"/>
    <w:rsid w:val="00502668"/>
    <w:rsid w:val="00502983"/>
    <w:rsid w:val="00502B93"/>
    <w:rsid w:val="0050308E"/>
    <w:rsid w:val="005031DD"/>
    <w:rsid w:val="00503531"/>
    <w:rsid w:val="00503552"/>
    <w:rsid w:val="0050399D"/>
    <w:rsid w:val="00503D2B"/>
    <w:rsid w:val="00504158"/>
    <w:rsid w:val="0050450E"/>
    <w:rsid w:val="00504632"/>
    <w:rsid w:val="00504B38"/>
    <w:rsid w:val="00504CC5"/>
    <w:rsid w:val="0050580C"/>
    <w:rsid w:val="00505A11"/>
    <w:rsid w:val="00505B70"/>
    <w:rsid w:val="00505DD4"/>
    <w:rsid w:val="00505F55"/>
    <w:rsid w:val="005064A3"/>
    <w:rsid w:val="00506733"/>
    <w:rsid w:val="00506825"/>
    <w:rsid w:val="00506D51"/>
    <w:rsid w:val="00506E40"/>
    <w:rsid w:val="00506E8A"/>
    <w:rsid w:val="005071B9"/>
    <w:rsid w:val="00507CAE"/>
    <w:rsid w:val="005102A6"/>
    <w:rsid w:val="005103D0"/>
    <w:rsid w:val="00510431"/>
    <w:rsid w:val="005106ED"/>
    <w:rsid w:val="005108B5"/>
    <w:rsid w:val="0051098B"/>
    <w:rsid w:val="00510A15"/>
    <w:rsid w:val="00510BFC"/>
    <w:rsid w:val="00510F14"/>
    <w:rsid w:val="00510F2A"/>
    <w:rsid w:val="00511198"/>
    <w:rsid w:val="005114F3"/>
    <w:rsid w:val="005115DC"/>
    <w:rsid w:val="00511817"/>
    <w:rsid w:val="00511AFB"/>
    <w:rsid w:val="00511BBE"/>
    <w:rsid w:val="00511CA5"/>
    <w:rsid w:val="00511D48"/>
    <w:rsid w:val="005126D2"/>
    <w:rsid w:val="00512776"/>
    <w:rsid w:val="00512BDB"/>
    <w:rsid w:val="00512E2E"/>
    <w:rsid w:val="00512FFF"/>
    <w:rsid w:val="00513201"/>
    <w:rsid w:val="005132DD"/>
    <w:rsid w:val="00513B04"/>
    <w:rsid w:val="00514480"/>
    <w:rsid w:val="005145F8"/>
    <w:rsid w:val="00514670"/>
    <w:rsid w:val="00514784"/>
    <w:rsid w:val="00514E92"/>
    <w:rsid w:val="00515C4B"/>
    <w:rsid w:val="00515E4F"/>
    <w:rsid w:val="005162DA"/>
    <w:rsid w:val="005167B5"/>
    <w:rsid w:val="00516BF1"/>
    <w:rsid w:val="00516DB5"/>
    <w:rsid w:val="00516DBC"/>
    <w:rsid w:val="00517394"/>
    <w:rsid w:val="00517502"/>
    <w:rsid w:val="00517557"/>
    <w:rsid w:val="00517688"/>
    <w:rsid w:val="00517770"/>
    <w:rsid w:val="00517DC1"/>
    <w:rsid w:val="00517F99"/>
    <w:rsid w:val="005201B9"/>
    <w:rsid w:val="00520229"/>
    <w:rsid w:val="0052076B"/>
    <w:rsid w:val="0052091B"/>
    <w:rsid w:val="00520943"/>
    <w:rsid w:val="0052115C"/>
    <w:rsid w:val="00521181"/>
    <w:rsid w:val="005215CC"/>
    <w:rsid w:val="00521636"/>
    <w:rsid w:val="0052175B"/>
    <w:rsid w:val="00521951"/>
    <w:rsid w:val="0052199A"/>
    <w:rsid w:val="00521ABF"/>
    <w:rsid w:val="00521E78"/>
    <w:rsid w:val="005223AD"/>
    <w:rsid w:val="00522907"/>
    <w:rsid w:val="00522A08"/>
    <w:rsid w:val="00522A60"/>
    <w:rsid w:val="0052310B"/>
    <w:rsid w:val="005233AF"/>
    <w:rsid w:val="0052367C"/>
    <w:rsid w:val="00524213"/>
    <w:rsid w:val="005243DE"/>
    <w:rsid w:val="00524470"/>
    <w:rsid w:val="00524727"/>
    <w:rsid w:val="0052473F"/>
    <w:rsid w:val="005247EF"/>
    <w:rsid w:val="00524A01"/>
    <w:rsid w:val="00524D71"/>
    <w:rsid w:val="00524E1F"/>
    <w:rsid w:val="00524EA1"/>
    <w:rsid w:val="005253DF"/>
    <w:rsid w:val="00525484"/>
    <w:rsid w:val="00525500"/>
    <w:rsid w:val="005255D1"/>
    <w:rsid w:val="00525B2C"/>
    <w:rsid w:val="00525D94"/>
    <w:rsid w:val="005261E1"/>
    <w:rsid w:val="005263EB"/>
    <w:rsid w:val="00526980"/>
    <w:rsid w:val="00526AAB"/>
    <w:rsid w:val="00526B9E"/>
    <w:rsid w:val="00526C88"/>
    <w:rsid w:val="00526C90"/>
    <w:rsid w:val="00526CDD"/>
    <w:rsid w:val="0052764F"/>
    <w:rsid w:val="005277FE"/>
    <w:rsid w:val="005278BD"/>
    <w:rsid w:val="00527EAF"/>
    <w:rsid w:val="0053027C"/>
    <w:rsid w:val="005303E8"/>
    <w:rsid w:val="0053067C"/>
    <w:rsid w:val="00530719"/>
    <w:rsid w:val="00530808"/>
    <w:rsid w:val="00530AF5"/>
    <w:rsid w:val="00530CE2"/>
    <w:rsid w:val="0053129A"/>
    <w:rsid w:val="0053143A"/>
    <w:rsid w:val="0053184D"/>
    <w:rsid w:val="00531A4D"/>
    <w:rsid w:val="00531ED0"/>
    <w:rsid w:val="005323CD"/>
    <w:rsid w:val="005325D0"/>
    <w:rsid w:val="0053289C"/>
    <w:rsid w:val="005331A6"/>
    <w:rsid w:val="00533359"/>
    <w:rsid w:val="005333E7"/>
    <w:rsid w:val="0053357A"/>
    <w:rsid w:val="00533844"/>
    <w:rsid w:val="00533849"/>
    <w:rsid w:val="00533A01"/>
    <w:rsid w:val="00533A1F"/>
    <w:rsid w:val="00533BCB"/>
    <w:rsid w:val="00533C81"/>
    <w:rsid w:val="005341F2"/>
    <w:rsid w:val="005342E2"/>
    <w:rsid w:val="00534322"/>
    <w:rsid w:val="00534572"/>
    <w:rsid w:val="0053494C"/>
    <w:rsid w:val="00534979"/>
    <w:rsid w:val="00534C24"/>
    <w:rsid w:val="00535427"/>
    <w:rsid w:val="005355F8"/>
    <w:rsid w:val="005356BA"/>
    <w:rsid w:val="005358AE"/>
    <w:rsid w:val="00535AAC"/>
    <w:rsid w:val="00535C89"/>
    <w:rsid w:val="00535DBF"/>
    <w:rsid w:val="00535E76"/>
    <w:rsid w:val="00535FDF"/>
    <w:rsid w:val="0053658B"/>
    <w:rsid w:val="0053664C"/>
    <w:rsid w:val="005367A7"/>
    <w:rsid w:val="00537123"/>
    <w:rsid w:val="005371F5"/>
    <w:rsid w:val="00537497"/>
    <w:rsid w:val="00537600"/>
    <w:rsid w:val="00537B68"/>
    <w:rsid w:val="00540C08"/>
    <w:rsid w:val="00540FD1"/>
    <w:rsid w:val="00541135"/>
    <w:rsid w:val="005417E2"/>
    <w:rsid w:val="005419BE"/>
    <w:rsid w:val="00541B06"/>
    <w:rsid w:val="00541B54"/>
    <w:rsid w:val="00541EE8"/>
    <w:rsid w:val="00541EF4"/>
    <w:rsid w:val="005424C6"/>
    <w:rsid w:val="00542CCB"/>
    <w:rsid w:val="00542F57"/>
    <w:rsid w:val="00542FA9"/>
    <w:rsid w:val="0054303C"/>
    <w:rsid w:val="00543157"/>
    <w:rsid w:val="0054329B"/>
    <w:rsid w:val="00543348"/>
    <w:rsid w:val="0054337B"/>
    <w:rsid w:val="005434A9"/>
    <w:rsid w:val="0054394B"/>
    <w:rsid w:val="00543D48"/>
    <w:rsid w:val="00543D76"/>
    <w:rsid w:val="00543DCF"/>
    <w:rsid w:val="00544410"/>
    <w:rsid w:val="0054444A"/>
    <w:rsid w:val="00544783"/>
    <w:rsid w:val="00544A16"/>
    <w:rsid w:val="00544B64"/>
    <w:rsid w:val="00544E60"/>
    <w:rsid w:val="00544F33"/>
    <w:rsid w:val="00545104"/>
    <w:rsid w:val="00545590"/>
    <w:rsid w:val="005456B0"/>
    <w:rsid w:val="00545DB6"/>
    <w:rsid w:val="0054625D"/>
    <w:rsid w:val="0054693F"/>
    <w:rsid w:val="00546A27"/>
    <w:rsid w:val="00546BEB"/>
    <w:rsid w:val="00546C05"/>
    <w:rsid w:val="00547193"/>
    <w:rsid w:val="00547264"/>
    <w:rsid w:val="005472D9"/>
    <w:rsid w:val="005475F5"/>
    <w:rsid w:val="0054763C"/>
    <w:rsid w:val="00547E22"/>
    <w:rsid w:val="00547F53"/>
    <w:rsid w:val="00547FDD"/>
    <w:rsid w:val="00550105"/>
    <w:rsid w:val="00550495"/>
    <w:rsid w:val="00550507"/>
    <w:rsid w:val="005507AE"/>
    <w:rsid w:val="00550847"/>
    <w:rsid w:val="005508A1"/>
    <w:rsid w:val="00550911"/>
    <w:rsid w:val="00550FDE"/>
    <w:rsid w:val="005510AD"/>
    <w:rsid w:val="00551164"/>
    <w:rsid w:val="00551262"/>
    <w:rsid w:val="005512D7"/>
    <w:rsid w:val="00551498"/>
    <w:rsid w:val="00551631"/>
    <w:rsid w:val="00551FBE"/>
    <w:rsid w:val="005523B6"/>
    <w:rsid w:val="0055254B"/>
    <w:rsid w:val="005526F3"/>
    <w:rsid w:val="00552ED3"/>
    <w:rsid w:val="00552F48"/>
    <w:rsid w:val="00552F7D"/>
    <w:rsid w:val="00553A4A"/>
    <w:rsid w:val="00553BF6"/>
    <w:rsid w:val="00553FAC"/>
    <w:rsid w:val="0055475D"/>
    <w:rsid w:val="00554779"/>
    <w:rsid w:val="00554980"/>
    <w:rsid w:val="00554F42"/>
    <w:rsid w:val="00554FA1"/>
    <w:rsid w:val="00555196"/>
    <w:rsid w:val="00555416"/>
    <w:rsid w:val="0055558A"/>
    <w:rsid w:val="00555A01"/>
    <w:rsid w:val="00555AC6"/>
    <w:rsid w:val="00555CD8"/>
    <w:rsid w:val="00555F8A"/>
    <w:rsid w:val="005564A7"/>
    <w:rsid w:val="00556629"/>
    <w:rsid w:val="0055667D"/>
    <w:rsid w:val="00556D4C"/>
    <w:rsid w:val="00556E14"/>
    <w:rsid w:val="00557042"/>
    <w:rsid w:val="0055740E"/>
    <w:rsid w:val="00557C4D"/>
    <w:rsid w:val="00557CFB"/>
    <w:rsid w:val="00557F18"/>
    <w:rsid w:val="005600EB"/>
    <w:rsid w:val="00560119"/>
    <w:rsid w:val="00560396"/>
    <w:rsid w:val="005603E4"/>
    <w:rsid w:val="0056044D"/>
    <w:rsid w:val="005605A0"/>
    <w:rsid w:val="00560DD4"/>
    <w:rsid w:val="00560E89"/>
    <w:rsid w:val="00561118"/>
    <w:rsid w:val="0056162A"/>
    <w:rsid w:val="00561A90"/>
    <w:rsid w:val="00561C8F"/>
    <w:rsid w:val="005621FE"/>
    <w:rsid w:val="0056279F"/>
    <w:rsid w:val="005629D7"/>
    <w:rsid w:val="00562DFB"/>
    <w:rsid w:val="0056358B"/>
    <w:rsid w:val="00563818"/>
    <w:rsid w:val="00563D0F"/>
    <w:rsid w:val="005641B8"/>
    <w:rsid w:val="0056468E"/>
    <w:rsid w:val="00564DEF"/>
    <w:rsid w:val="00564E20"/>
    <w:rsid w:val="0056503D"/>
    <w:rsid w:val="005650CD"/>
    <w:rsid w:val="00565283"/>
    <w:rsid w:val="00565568"/>
    <w:rsid w:val="00565B81"/>
    <w:rsid w:val="00566127"/>
    <w:rsid w:val="00566164"/>
    <w:rsid w:val="0056690C"/>
    <w:rsid w:val="00566991"/>
    <w:rsid w:val="00566C40"/>
    <w:rsid w:val="00566F24"/>
    <w:rsid w:val="0056700B"/>
    <w:rsid w:val="00567083"/>
    <w:rsid w:val="00567769"/>
    <w:rsid w:val="00567B34"/>
    <w:rsid w:val="00567D67"/>
    <w:rsid w:val="0057000D"/>
    <w:rsid w:val="00570839"/>
    <w:rsid w:val="00570C7E"/>
    <w:rsid w:val="00571447"/>
    <w:rsid w:val="00571834"/>
    <w:rsid w:val="00571922"/>
    <w:rsid w:val="0057199C"/>
    <w:rsid w:val="00571C9C"/>
    <w:rsid w:val="00571D83"/>
    <w:rsid w:val="0057264D"/>
    <w:rsid w:val="00572693"/>
    <w:rsid w:val="005728B8"/>
    <w:rsid w:val="005729BA"/>
    <w:rsid w:val="00572AC5"/>
    <w:rsid w:val="00572BFE"/>
    <w:rsid w:val="00572CFA"/>
    <w:rsid w:val="00573C56"/>
    <w:rsid w:val="00573C5D"/>
    <w:rsid w:val="00573D71"/>
    <w:rsid w:val="00574092"/>
    <w:rsid w:val="00574515"/>
    <w:rsid w:val="005746D3"/>
    <w:rsid w:val="00574A29"/>
    <w:rsid w:val="00574CB1"/>
    <w:rsid w:val="00575595"/>
    <w:rsid w:val="005760C8"/>
    <w:rsid w:val="00576581"/>
    <w:rsid w:val="00576D15"/>
    <w:rsid w:val="00576DBD"/>
    <w:rsid w:val="00576F3B"/>
    <w:rsid w:val="00576FC3"/>
    <w:rsid w:val="005773E0"/>
    <w:rsid w:val="005778D3"/>
    <w:rsid w:val="00577ACE"/>
    <w:rsid w:val="00577B2A"/>
    <w:rsid w:val="00577CB8"/>
    <w:rsid w:val="00580158"/>
    <w:rsid w:val="0058033F"/>
    <w:rsid w:val="0058036B"/>
    <w:rsid w:val="00580505"/>
    <w:rsid w:val="00580756"/>
    <w:rsid w:val="00580809"/>
    <w:rsid w:val="00580BE0"/>
    <w:rsid w:val="00580DEA"/>
    <w:rsid w:val="0058108E"/>
    <w:rsid w:val="005811B0"/>
    <w:rsid w:val="0058144A"/>
    <w:rsid w:val="0058160B"/>
    <w:rsid w:val="00581859"/>
    <w:rsid w:val="00581863"/>
    <w:rsid w:val="005818DA"/>
    <w:rsid w:val="00581CFE"/>
    <w:rsid w:val="00582247"/>
    <w:rsid w:val="0058247A"/>
    <w:rsid w:val="00582B4F"/>
    <w:rsid w:val="00582BE2"/>
    <w:rsid w:val="005830A3"/>
    <w:rsid w:val="005832EC"/>
    <w:rsid w:val="00583ABA"/>
    <w:rsid w:val="00583B1B"/>
    <w:rsid w:val="00583D76"/>
    <w:rsid w:val="00583DE5"/>
    <w:rsid w:val="005843ED"/>
    <w:rsid w:val="00584987"/>
    <w:rsid w:val="00584A2A"/>
    <w:rsid w:val="00584C9B"/>
    <w:rsid w:val="00584F90"/>
    <w:rsid w:val="0058536E"/>
    <w:rsid w:val="005853B9"/>
    <w:rsid w:val="00585685"/>
    <w:rsid w:val="0058596A"/>
    <w:rsid w:val="005861B6"/>
    <w:rsid w:val="00586560"/>
    <w:rsid w:val="0058695D"/>
    <w:rsid w:val="00586C93"/>
    <w:rsid w:val="00586F7A"/>
    <w:rsid w:val="005878E2"/>
    <w:rsid w:val="005903C4"/>
    <w:rsid w:val="00590A6B"/>
    <w:rsid w:val="00590C40"/>
    <w:rsid w:val="00590DB6"/>
    <w:rsid w:val="005910EC"/>
    <w:rsid w:val="005912DB"/>
    <w:rsid w:val="005915C9"/>
    <w:rsid w:val="005919E0"/>
    <w:rsid w:val="00591EF0"/>
    <w:rsid w:val="005922EB"/>
    <w:rsid w:val="00592E68"/>
    <w:rsid w:val="00592FB6"/>
    <w:rsid w:val="005934BC"/>
    <w:rsid w:val="0059357F"/>
    <w:rsid w:val="005937D6"/>
    <w:rsid w:val="0059387E"/>
    <w:rsid w:val="005939A1"/>
    <w:rsid w:val="00593A7D"/>
    <w:rsid w:val="00593AC5"/>
    <w:rsid w:val="00594061"/>
    <w:rsid w:val="0059407F"/>
    <w:rsid w:val="005943CD"/>
    <w:rsid w:val="0059449B"/>
    <w:rsid w:val="005947F8"/>
    <w:rsid w:val="00594CA3"/>
    <w:rsid w:val="005954D6"/>
    <w:rsid w:val="005959D3"/>
    <w:rsid w:val="00595C6E"/>
    <w:rsid w:val="00595DF3"/>
    <w:rsid w:val="00596000"/>
    <w:rsid w:val="005963A6"/>
    <w:rsid w:val="0059660F"/>
    <w:rsid w:val="00596706"/>
    <w:rsid w:val="00596D5A"/>
    <w:rsid w:val="00596F2C"/>
    <w:rsid w:val="00597265"/>
    <w:rsid w:val="00597387"/>
    <w:rsid w:val="005974D8"/>
    <w:rsid w:val="00597697"/>
    <w:rsid w:val="00597902"/>
    <w:rsid w:val="00597A69"/>
    <w:rsid w:val="00597F9D"/>
    <w:rsid w:val="005A02F6"/>
    <w:rsid w:val="005A0358"/>
    <w:rsid w:val="005A0585"/>
    <w:rsid w:val="005A0AAA"/>
    <w:rsid w:val="005A0EA9"/>
    <w:rsid w:val="005A0EB5"/>
    <w:rsid w:val="005A119E"/>
    <w:rsid w:val="005A1481"/>
    <w:rsid w:val="005A1591"/>
    <w:rsid w:val="005A196F"/>
    <w:rsid w:val="005A1A2B"/>
    <w:rsid w:val="005A1B7E"/>
    <w:rsid w:val="005A1EEC"/>
    <w:rsid w:val="005A1FCD"/>
    <w:rsid w:val="005A2494"/>
    <w:rsid w:val="005A2504"/>
    <w:rsid w:val="005A28EE"/>
    <w:rsid w:val="005A28FA"/>
    <w:rsid w:val="005A2942"/>
    <w:rsid w:val="005A2DC7"/>
    <w:rsid w:val="005A31A5"/>
    <w:rsid w:val="005A323F"/>
    <w:rsid w:val="005A340D"/>
    <w:rsid w:val="005A3592"/>
    <w:rsid w:val="005A359F"/>
    <w:rsid w:val="005A36DA"/>
    <w:rsid w:val="005A385B"/>
    <w:rsid w:val="005A3908"/>
    <w:rsid w:val="005A3AFE"/>
    <w:rsid w:val="005A40AE"/>
    <w:rsid w:val="005A42AE"/>
    <w:rsid w:val="005A454D"/>
    <w:rsid w:val="005A4566"/>
    <w:rsid w:val="005A4615"/>
    <w:rsid w:val="005A47D2"/>
    <w:rsid w:val="005A48B6"/>
    <w:rsid w:val="005A4A1A"/>
    <w:rsid w:val="005A4F19"/>
    <w:rsid w:val="005A501B"/>
    <w:rsid w:val="005A5172"/>
    <w:rsid w:val="005A5193"/>
    <w:rsid w:val="005A52AA"/>
    <w:rsid w:val="005A53BB"/>
    <w:rsid w:val="005A5510"/>
    <w:rsid w:val="005A5863"/>
    <w:rsid w:val="005A5FEA"/>
    <w:rsid w:val="005A63BD"/>
    <w:rsid w:val="005A6521"/>
    <w:rsid w:val="005A6563"/>
    <w:rsid w:val="005A66C0"/>
    <w:rsid w:val="005A6B1B"/>
    <w:rsid w:val="005A6E95"/>
    <w:rsid w:val="005A6E99"/>
    <w:rsid w:val="005A6F3B"/>
    <w:rsid w:val="005A6F74"/>
    <w:rsid w:val="005A74FA"/>
    <w:rsid w:val="005A792E"/>
    <w:rsid w:val="005A7AB6"/>
    <w:rsid w:val="005A7CB8"/>
    <w:rsid w:val="005A7DDB"/>
    <w:rsid w:val="005B02D8"/>
    <w:rsid w:val="005B043C"/>
    <w:rsid w:val="005B06EB"/>
    <w:rsid w:val="005B0A64"/>
    <w:rsid w:val="005B0D48"/>
    <w:rsid w:val="005B1079"/>
    <w:rsid w:val="005B1095"/>
    <w:rsid w:val="005B1473"/>
    <w:rsid w:val="005B18EB"/>
    <w:rsid w:val="005B1915"/>
    <w:rsid w:val="005B1CA6"/>
    <w:rsid w:val="005B1CB2"/>
    <w:rsid w:val="005B1EA1"/>
    <w:rsid w:val="005B1F01"/>
    <w:rsid w:val="005B2166"/>
    <w:rsid w:val="005B24E2"/>
    <w:rsid w:val="005B251F"/>
    <w:rsid w:val="005B25E3"/>
    <w:rsid w:val="005B35E4"/>
    <w:rsid w:val="005B3837"/>
    <w:rsid w:val="005B3BCD"/>
    <w:rsid w:val="005B3BEA"/>
    <w:rsid w:val="005B3EC3"/>
    <w:rsid w:val="005B4941"/>
    <w:rsid w:val="005B4974"/>
    <w:rsid w:val="005B4D4C"/>
    <w:rsid w:val="005B4E40"/>
    <w:rsid w:val="005B5218"/>
    <w:rsid w:val="005B59EB"/>
    <w:rsid w:val="005B5A9F"/>
    <w:rsid w:val="005B5F5E"/>
    <w:rsid w:val="005B6658"/>
    <w:rsid w:val="005B6939"/>
    <w:rsid w:val="005B6A86"/>
    <w:rsid w:val="005B6B0E"/>
    <w:rsid w:val="005B70C7"/>
    <w:rsid w:val="005B7254"/>
    <w:rsid w:val="005B773F"/>
    <w:rsid w:val="005B7B5E"/>
    <w:rsid w:val="005C00D5"/>
    <w:rsid w:val="005C02A4"/>
    <w:rsid w:val="005C0BA6"/>
    <w:rsid w:val="005C0D38"/>
    <w:rsid w:val="005C0F2F"/>
    <w:rsid w:val="005C1117"/>
    <w:rsid w:val="005C1378"/>
    <w:rsid w:val="005C17E6"/>
    <w:rsid w:val="005C185E"/>
    <w:rsid w:val="005C1A21"/>
    <w:rsid w:val="005C1A83"/>
    <w:rsid w:val="005C1BCA"/>
    <w:rsid w:val="005C1CFE"/>
    <w:rsid w:val="005C2146"/>
    <w:rsid w:val="005C2884"/>
    <w:rsid w:val="005C28BC"/>
    <w:rsid w:val="005C2999"/>
    <w:rsid w:val="005C2DB4"/>
    <w:rsid w:val="005C3135"/>
    <w:rsid w:val="005C31AF"/>
    <w:rsid w:val="005C32B7"/>
    <w:rsid w:val="005C3446"/>
    <w:rsid w:val="005C3517"/>
    <w:rsid w:val="005C3968"/>
    <w:rsid w:val="005C3C14"/>
    <w:rsid w:val="005C3C74"/>
    <w:rsid w:val="005C4259"/>
    <w:rsid w:val="005C4DBF"/>
    <w:rsid w:val="005C5039"/>
    <w:rsid w:val="005C5152"/>
    <w:rsid w:val="005C530D"/>
    <w:rsid w:val="005C54AD"/>
    <w:rsid w:val="005C565B"/>
    <w:rsid w:val="005C5B56"/>
    <w:rsid w:val="005C5BAA"/>
    <w:rsid w:val="005C5C1E"/>
    <w:rsid w:val="005C5C8D"/>
    <w:rsid w:val="005C5E9A"/>
    <w:rsid w:val="005C5ED9"/>
    <w:rsid w:val="005C679A"/>
    <w:rsid w:val="005C68D5"/>
    <w:rsid w:val="005C6B53"/>
    <w:rsid w:val="005C6D01"/>
    <w:rsid w:val="005C6E97"/>
    <w:rsid w:val="005C6EE7"/>
    <w:rsid w:val="005C7379"/>
    <w:rsid w:val="005C739B"/>
    <w:rsid w:val="005C73B1"/>
    <w:rsid w:val="005C7637"/>
    <w:rsid w:val="005C785C"/>
    <w:rsid w:val="005C7F6F"/>
    <w:rsid w:val="005C7FF1"/>
    <w:rsid w:val="005D02E0"/>
    <w:rsid w:val="005D04F9"/>
    <w:rsid w:val="005D0619"/>
    <w:rsid w:val="005D067B"/>
    <w:rsid w:val="005D0F97"/>
    <w:rsid w:val="005D1091"/>
    <w:rsid w:val="005D124C"/>
    <w:rsid w:val="005D19D2"/>
    <w:rsid w:val="005D1AC8"/>
    <w:rsid w:val="005D1C53"/>
    <w:rsid w:val="005D1C99"/>
    <w:rsid w:val="005D1E26"/>
    <w:rsid w:val="005D1EDD"/>
    <w:rsid w:val="005D211F"/>
    <w:rsid w:val="005D2560"/>
    <w:rsid w:val="005D2C89"/>
    <w:rsid w:val="005D2F05"/>
    <w:rsid w:val="005D3132"/>
    <w:rsid w:val="005D31B9"/>
    <w:rsid w:val="005D3339"/>
    <w:rsid w:val="005D362F"/>
    <w:rsid w:val="005D38E5"/>
    <w:rsid w:val="005D3C4B"/>
    <w:rsid w:val="005D3D57"/>
    <w:rsid w:val="005D40E1"/>
    <w:rsid w:val="005D4218"/>
    <w:rsid w:val="005D4671"/>
    <w:rsid w:val="005D4732"/>
    <w:rsid w:val="005D4885"/>
    <w:rsid w:val="005D495E"/>
    <w:rsid w:val="005D4BA8"/>
    <w:rsid w:val="005D4DEC"/>
    <w:rsid w:val="005D542A"/>
    <w:rsid w:val="005D5BA9"/>
    <w:rsid w:val="005D5F46"/>
    <w:rsid w:val="005D604C"/>
    <w:rsid w:val="005D616D"/>
    <w:rsid w:val="005D6B3E"/>
    <w:rsid w:val="005D6D2F"/>
    <w:rsid w:val="005D715B"/>
    <w:rsid w:val="005D73C9"/>
    <w:rsid w:val="005D76CC"/>
    <w:rsid w:val="005D781C"/>
    <w:rsid w:val="005D7C19"/>
    <w:rsid w:val="005D7DB8"/>
    <w:rsid w:val="005D7E59"/>
    <w:rsid w:val="005E03AC"/>
    <w:rsid w:val="005E0726"/>
    <w:rsid w:val="005E0D24"/>
    <w:rsid w:val="005E1001"/>
    <w:rsid w:val="005E1034"/>
    <w:rsid w:val="005E119D"/>
    <w:rsid w:val="005E138F"/>
    <w:rsid w:val="005E1408"/>
    <w:rsid w:val="005E1636"/>
    <w:rsid w:val="005E1710"/>
    <w:rsid w:val="005E18E6"/>
    <w:rsid w:val="005E1C24"/>
    <w:rsid w:val="005E205D"/>
    <w:rsid w:val="005E2334"/>
    <w:rsid w:val="005E2941"/>
    <w:rsid w:val="005E3190"/>
    <w:rsid w:val="005E3ADA"/>
    <w:rsid w:val="005E3E27"/>
    <w:rsid w:val="005E3E98"/>
    <w:rsid w:val="005E46FF"/>
    <w:rsid w:val="005E4937"/>
    <w:rsid w:val="005E498D"/>
    <w:rsid w:val="005E4BA1"/>
    <w:rsid w:val="005E4CB7"/>
    <w:rsid w:val="005E4E88"/>
    <w:rsid w:val="005E4F7E"/>
    <w:rsid w:val="005E4FA1"/>
    <w:rsid w:val="005E5E60"/>
    <w:rsid w:val="005E617F"/>
    <w:rsid w:val="005E62C7"/>
    <w:rsid w:val="005E6827"/>
    <w:rsid w:val="005E6E41"/>
    <w:rsid w:val="005E6E49"/>
    <w:rsid w:val="005E7F5F"/>
    <w:rsid w:val="005F0034"/>
    <w:rsid w:val="005F00D5"/>
    <w:rsid w:val="005F04C9"/>
    <w:rsid w:val="005F083F"/>
    <w:rsid w:val="005F0AFC"/>
    <w:rsid w:val="005F0EE2"/>
    <w:rsid w:val="005F12F3"/>
    <w:rsid w:val="005F15B0"/>
    <w:rsid w:val="005F1823"/>
    <w:rsid w:val="005F19A9"/>
    <w:rsid w:val="005F2393"/>
    <w:rsid w:val="005F2C10"/>
    <w:rsid w:val="005F2E49"/>
    <w:rsid w:val="005F2FD9"/>
    <w:rsid w:val="005F301E"/>
    <w:rsid w:val="005F3664"/>
    <w:rsid w:val="005F38DA"/>
    <w:rsid w:val="005F38DF"/>
    <w:rsid w:val="005F399B"/>
    <w:rsid w:val="005F3AB7"/>
    <w:rsid w:val="005F3DA3"/>
    <w:rsid w:val="005F3E84"/>
    <w:rsid w:val="005F4531"/>
    <w:rsid w:val="005F4864"/>
    <w:rsid w:val="005F4BDC"/>
    <w:rsid w:val="005F5246"/>
    <w:rsid w:val="005F55C1"/>
    <w:rsid w:val="005F5739"/>
    <w:rsid w:val="005F58C1"/>
    <w:rsid w:val="005F5C7A"/>
    <w:rsid w:val="005F5E78"/>
    <w:rsid w:val="005F61E2"/>
    <w:rsid w:val="005F6202"/>
    <w:rsid w:val="005F6338"/>
    <w:rsid w:val="005F6491"/>
    <w:rsid w:val="005F696D"/>
    <w:rsid w:val="005F6D5B"/>
    <w:rsid w:val="005F72C7"/>
    <w:rsid w:val="005F74F2"/>
    <w:rsid w:val="005F759B"/>
    <w:rsid w:val="005F7AD9"/>
    <w:rsid w:val="005F7FF3"/>
    <w:rsid w:val="00600386"/>
    <w:rsid w:val="006006AA"/>
    <w:rsid w:val="006007A1"/>
    <w:rsid w:val="00600EE2"/>
    <w:rsid w:val="006011A6"/>
    <w:rsid w:val="006011F5"/>
    <w:rsid w:val="006018AD"/>
    <w:rsid w:val="00601941"/>
    <w:rsid w:val="00602639"/>
    <w:rsid w:val="00602682"/>
    <w:rsid w:val="00602AB2"/>
    <w:rsid w:val="00602C99"/>
    <w:rsid w:val="00602DEB"/>
    <w:rsid w:val="00602EDE"/>
    <w:rsid w:val="00603598"/>
    <w:rsid w:val="006035B5"/>
    <w:rsid w:val="00603C5C"/>
    <w:rsid w:val="00603EDA"/>
    <w:rsid w:val="006040A9"/>
    <w:rsid w:val="00604119"/>
    <w:rsid w:val="00604183"/>
    <w:rsid w:val="0060424C"/>
    <w:rsid w:val="0060426D"/>
    <w:rsid w:val="00604AE9"/>
    <w:rsid w:val="00604DC8"/>
    <w:rsid w:val="00604E1B"/>
    <w:rsid w:val="006050E6"/>
    <w:rsid w:val="00605174"/>
    <w:rsid w:val="006054C2"/>
    <w:rsid w:val="006055F7"/>
    <w:rsid w:val="006057D9"/>
    <w:rsid w:val="00605838"/>
    <w:rsid w:val="00605986"/>
    <w:rsid w:val="00605B32"/>
    <w:rsid w:val="0060605B"/>
    <w:rsid w:val="0060615F"/>
    <w:rsid w:val="00606211"/>
    <w:rsid w:val="0060640D"/>
    <w:rsid w:val="0060654B"/>
    <w:rsid w:val="006066EB"/>
    <w:rsid w:val="00606714"/>
    <w:rsid w:val="00606780"/>
    <w:rsid w:val="00606A0F"/>
    <w:rsid w:val="00606BAB"/>
    <w:rsid w:val="00606D41"/>
    <w:rsid w:val="00606D4D"/>
    <w:rsid w:val="00606D5C"/>
    <w:rsid w:val="00606D65"/>
    <w:rsid w:val="00606FB4"/>
    <w:rsid w:val="00607127"/>
    <w:rsid w:val="00607922"/>
    <w:rsid w:val="006079A8"/>
    <w:rsid w:val="006079DB"/>
    <w:rsid w:val="00607B41"/>
    <w:rsid w:val="00607B8A"/>
    <w:rsid w:val="00607D0B"/>
    <w:rsid w:val="00607FFD"/>
    <w:rsid w:val="00610263"/>
    <w:rsid w:val="00610337"/>
    <w:rsid w:val="006108EB"/>
    <w:rsid w:val="00610944"/>
    <w:rsid w:val="00610ABF"/>
    <w:rsid w:val="00610E33"/>
    <w:rsid w:val="00610F08"/>
    <w:rsid w:val="00610FB6"/>
    <w:rsid w:val="006110F9"/>
    <w:rsid w:val="0061137C"/>
    <w:rsid w:val="0061183A"/>
    <w:rsid w:val="006119A1"/>
    <w:rsid w:val="00611A45"/>
    <w:rsid w:val="00611CF6"/>
    <w:rsid w:val="00611E8D"/>
    <w:rsid w:val="00612077"/>
    <w:rsid w:val="006121A8"/>
    <w:rsid w:val="006122B8"/>
    <w:rsid w:val="006127EA"/>
    <w:rsid w:val="006129DD"/>
    <w:rsid w:val="00612C35"/>
    <w:rsid w:val="00612ED5"/>
    <w:rsid w:val="00612EED"/>
    <w:rsid w:val="00612F5A"/>
    <w:rsid w:val="00613393"/>
    <w:rsid w:val="00613BFA"/>
    <w:rsid w:val="00614808"/>
    <w:rsid w:val="0061485A"/>
    <w:rsid w:val="00614D0D"/>
    <w:rsid w:val="00614D26"/>
    <w:rsid w:val="00614F83"/>
    <w:rsid w:val="006150F0"/>
    <w:rsid w:val="00615729"/>
    <w:rsid w:val="00615926"/>
    <w:rsid w:val="00615949"/>
    <w:rsid w:val="00615C29"/>
    <w:rsid w:val="00615DAD"/>
    <w:rsid w:val="006160B7"/>
    <w:rsid w:val="00616732"/>
    <w:rsid w:val="00616C1A"/>
    <w:rsid w:val="006173FB"/>
    <w:rsid w:val="0061740A"/>
    <w:rsid w:val="006177CA"/>
    <w:rsid w:val="00617CF4"/>
    <w:rsid w:val="00617FD0"/>
    <w:rsid w:val="00620413"/>
    <w:rsid w:val="006204F8"/>
    <w:rsid w:val="00620A4D"/>
    <w:rsid w:val="00620BFF"/>
    <w:rsid w:val="00620C4F"/>
    <w:rsid w:val="00620D24"/>
    <w:rsid w:val="00620D4B"/>
    <w:rsid w:val="00621142"/>
    <w:rsid w:val="00621290"/>
    <w:rsid w:val="006213A4"/>
    <w:rsid w:val="00621878"/>
    <w:rsid w:val="00622149"/>
    <w:rsid w:val="006221C2"/>
    <w:rsid w:val="006225FE"/>
    <w:rsid w:val="00622653"/>
    <w:rsid w:val="006227A9"/>
    <w:rsid w:val="00622CA4"/>
    <w:rsid w:val="00622F86"/>
    <w:rsid w:val="00622FFB"/>
    <w:rsid w:val="0062346C"/>
    <w:rsid w:val="006237B5"/>
    <w:rsid w:val="006238B6"/>
    <w:rsid w:val="006238BB"/>
    <w:rsid w:val="00623C27"/>
    <w:rsid w:val="00623C3F"/>
    <w:rsid w:val="00623C42"/>
    <w:rsid w:val="00623D25"/>
    <w:rsid w:val="00623DFE"/>
    <w:rsid w:val="0062458E"/>
    <w:rsid w:val="00624CD7"/>
    <w:rsid w:val="00624D11"/>
    <w:rsid w:val="00624F95"/>
    <w:rsid w:val="006252C4"/>
    <w:rsid w:val="00625345"/>
    <w:rsid w:val="00625420"/>
    <w:rsid w:val="0062544F"/>
    <w:rsid w:val="00625867"/>
    <w:rsid w:val="006258CC"/>
    <w:rsid w:val="00625A6B"/>
    <w:rsid w:val="00625C0F"/>
    <w:rsid w:val="00626018"/>
    <w:rsid w:val="006262D6"/>
    <w:rsid w:val="006266D3"/>
    <w:rsid w:val="00626792"/>
    <w:rsid w:val="00626CB2"/>
    <w:rsid w:val="0062708A"/>
    <w:rsid w:val="00627521"/>
    <w:rsid w:val="006278B1"/>
    <w:rsid w:val="00627BF3"/>
    <w:rsid w:val="006302B7"/>
    <w:rsid w:val="00630422"/>
    <w:rsid w:val="00630498"/>
    <w:rsid w:val="006305E4"/>
    <w:rsid w:val="00630EBA"/>
    <w:rsid w:val="00631131"/>
    <w:rsid w:val="0063156F"/>
    <w:rsid w:val="006317C0"/>
    <w:rsid w:val="0063193F"/>
    <w:rsid w:val="006319B9"/>
    <w:rsid w:val="00631FD8"/>
    <w:rsid w:val="006321BB"/>
    <w:rsid w:val="006328BE"/>
    <w:rsid w:val="00632EB1"/>
    <w:rsid w:val="0063308A"/>
    <w:rsid w:val="00633B54"/>
    <w:rsid w:val="00633BC7"/>
    <w:rsid w:val="00633C9E"/>
    <w:rsid w:val="00633CC2"/>
    <w:rsid w:val="00633D67"/>
    <w:rsid w:val="00634270"/>
    <w:rsid w:val="00634290"/>
    <w:rsid w:val="00634303"/>
    <w:rsid w:val="00634408"/>
    <w:rsid w:val="0063441F"/>
    <w:rsid w:val="00634725"/>
    <w:rsid w:val="00634C75"/>
    <w:rsid w:val="00634E1D"/>
    <w:rsid w:val="0063552B"/>
    <w:rsid w:val="00635619"/>
    <w:rsid w:val="0063580C"/>
    <w:rsid w:val="00635C20"/>
    <w:rsid w:val="00636162"/>
    <w:rsid w:val="006362D0"/>
    <w:rsid w:val="006365C0"/>
    <w:rsid w:val="00636942"/>
    <w:rsid w:val="00636E9E"/>
    <w:rsid w:val="00636FFF"/>
    <w:rsid w:val="0063714B"/>
    <w:rsid w:val="006376A0"/>
    <w:rsid w:val="00637A02"/>
    <w:rsid w:val="00637EA2"/>
    <w:rsid w:val="00640248"/>
    <w:rsid w:val="00640478"/>
    <w:rsid w:val="00640600"/>
    <w:rsid w:val="00640979"/>
    <w:rsid w:val="00640ABA"/>
    <w:rsid w:val="00640DED"/>
    <w:rsid w:val="00641023"/>
    <w:rsid w:val="006414D0"/>
    <w:rsid w:val="00641535"/>
    <w:rsid w:val="00641735"/>
    <w:rsid w:val="00641973"/>
    <w:rsid w:val="006419C9"/>
    <w:rsid w:val="006419FD"/>
    <w:rsid w:val="00641ABD"/>
    <w:rsid w:val="00641AD1"/>
    <w:rsid w:val="00641C33"/>
    <w:rsid w:val="00641D46"/>
    <w:rsid w:val="00641F6A"/>
    <w:rsid w:val="00642200"/>
    <w:rsid w:val="006424C6"/>
    <w:rsid w:val="00642BAC"/>
    <w:rsid w:val="00642F29"/>
    <w:rsid w:val="006432AC"/>
    <w:rsid w:val="006434DF"/>
    <w:rsid w:val="006436D4"/>
    <w:rsid w:val="00643898"/>
    <w:rsid w:val="006439E4"/>
    <w:rsid w:val="006441FF"/>
    <w:rsid w:val="00644648"/>
    <w:rsid w:val="006448D3"/>
    <w:rsid w:val="00644935"/>
    <w:rsid w:val="00644CFA"/>
    <w:rsid w:val="00645034"/>
    <w:rsid w:val="00645279"/>
    <w:rsid w:val="006452B3"/>
    <w:rsid w:val="00645312"/>
    <w:rsid w:val="0064538A"/>
    <w:rsid w:val="00645618"/>
    <w:rsid w:val="006456AB"/>
    <w:rsid w:val="00645B7B"/>
    <w:rsid w:val="00645D32"/>
    <w:rsid w:val="00646181"/>
    <w:rsid w:val="00646501"/>
    <w:rsid w:val="006465D7"/>
    <w:rsid w:val="0064666D"/>
    <w:rsid w:val="006469FB"/>
    <w:rsid w:val="00646B18"/>
    <w:rsid w:val="00646F4C"/>
    <w:rsid w:val="006470AB"/>
    <w:rsid w:val="00647194"/>
    <w:rsid w:val="0064724A"/>
    <w:rsid w:val="006473D4"/>
    <w:rsid w:val="006474DD"/>
    <w:rsid w:val="006478D9"/>
    <w:rsid w:val="006479BB"/>
    <w:rsid w:val="00647D75"/>
    <w:rsid w:val="00647DB8"/>
    <w:rsid w:val="0065010C"/>
    <w:rsid w:val="0065019F"/>
    <w:rsid w:val="00650236"/>
    <w:rsid w:val="0065037A"/>
    <w:rsid w:val="0065042A"/>
    <w:rsid w:val="00650789"/>
    <w:rsid w:val="00650945"/>
    <w:rsid w:val="00650A63"/>
    <w:rsid w:val="00650A79"/>
    <w:rsid w:val="00650C35"/>
    <w:rsid w:val="00650DA0"/>
    <w:rsid w:val="00650DD7"/>
    <w:rsid w:val="00650F69"/>
    <w:rsid w:val="00651007"/>
    <w:rsid w:val="006511D0"/>
    <w:rsid w:val="00651323"/>
    <w:rsid w:val="0065137D"/>
    <w:rsid w:val="00651389"/>
    <w:rsid w:val="00651404"/>
    <w:rsid w:val="00651649"/>
    <w:rsid w:val="00651680"/>
    <w:rsid w:val="006516F7"/>
    <w:rsid w:val="006519F8"/>
    <w:rsid w:val="00651E57"/>
    <w:rsid w:val="00652171"/>
    <w:rsid w:val="00652AAC"/>
    <w:rsid w:val="00652CD9"/>
    <w:rsid w:val="00653380"/>
    <w:rsid w:val="0065341A"/>
    <w:rsid w:val="00653479"/>
    <w:rsid w:val="0065349A"/>
    <w:rsid w:val="006535E5"/>
    <w:rsid w:val="006536E6"/>
    <w:rsid w:val="00653A21"/>
    <w:rsid w:val="00653F60"/>
    <w:rsid w:val="00653FDB"/>
    <w:rsid w:val="00654356"/>
    <w:rsid w:val="00654424"/>
    <w:rsid w:val="006545ED"/>
    <w:rsid w:val="00654865"/>
    <w:rsid w:val="00654979"/>
    <w:rsid w:val="00654B19"/>
    <w:rsid w:val="00654D01"/>
    <w:rsid w:val="00654FA8"/>
    <w:rsid w:val="00655164"/>
    <w:rsid w:val="00655340"/>
    <w:rsid w:val="006556F8"/>
    <w:rsid w:val="006557FD"/>
    <w:rsid w:val="006560AB"/>
    <w:rsid w:val="00656274"/>
    <w:rsid w:val="00656410"/>
    <w:rsid w:val="0065678F"/>
    <w:rsid w:val="00656893"/>
    <w:rsid w:val="00656D9F"/>
    <w:rsid w:val="006570D0"/>
    <w:rsid w:val="006573B8"/>
    <w:rsid w:val="006574A7"/>
    <w:rsid w:val="00657648"/>
    <w:rsid w:val="00657761"/>
    <w:rsid w:val="006577D0"/>
    <w:rsid w:val="00657F89"/>
    <w:rsid w:val="006600AA"/>
    <w:rsid w:val="00660453"/>
    <w:rsid w:val="00660784"/>
    <w:rsid w:val="00660B16"/>
    <w:rsid w:val="00660D6A"/>
    <w:rsid w:val="006610DB"/>
    <w:rsid w:val="00661144"/>
    <w:rsid w:val="00661363"/>
    <w:rsid w:val="006613DB"/>
    <w:rsid w:val="006613F5"/>
    <w:rsid w:val="0066170E"/>
    <w:rsid w:val="00661AAB"/>
    <w:rsid w:val="00661C31"/>
    <w:rsid w:val="00661E03"/>
    <w:rsid w:val="006628A8"/>
    <w:rsid w:val="006629E8"/>
    <w:rsid w:val="00662A4E"/>
    <w:rsid w:val="00663690"/>
    <w:rsid w:val="00663BC8"/>
    <w:rsid w:val="00663E2D"/>
    <w:rsid w:val="00663F74"/>
    <w:rsid w:val="0066410B"/>
    <w:rsid w:val="00664657"/>
    <w:rsid w:val="00664C7F"/>
    <w:rsid w:val="00664E2E"/>
    <w:rsid w:val="00664EDC"/>
    <w:rsid w:val="0066511C"/>
    <w:rsid w:val="00665533"/>
    <w:rsid w:val="006658BF"/>
    <w:rsid w:val="00665969"/>
    <w:rsid w:val="00666245"/>
    <w:rsid w:val="00666247"/>
    <w:rsid w:val="00666368"/>
    <w:rsid w:val="006663EC"/>
    <w:rsid w:val="0066671B"/>
    <w:rsid w:val="00666842"/>
    <w:rsid w:val="00666BD5"/>
    <w:rsid w:val="00667596"/>
    <w:rsid w:val="00667F4A"/>
    <w:rsid w:val="0067031E"/>
    <w:rsid w:val="006707B8"/>
    <w:rsid w:val="00670C3E"/>
    <w:rsid w:val="00670D3F"/>
    <w:rsid w:val="00671019"/>
    <w:rsid w:val="00671323"/>
    <w:rsid w:val="00671DD6"/>
    <w:rsid w:val="0067208B"/>
    <w:rsid w:val="006722FA"/>
    <w:rsid w:val="0067245D"/>
    <w:rsid w:val="00672661"/>
    <w:rsid w:val="00672674"/>
    <w:rsid w:val="00672716"/>
    <w:rsid w:val="0067277B"/>
    <w:rsid w:val="00672A17"/>
    <w:rsid w:val="00672AEB"/>
    <w:rsid w:val="00672B21"/>
    <w:rsid w:val="00672BE9"/>
    <w:rsid w:val="00672EB8"/>
    <w:rsid w:val="006732FD"/>
    <w:rsid w:val="006733C6"/>
    <w:rsid w:val="006733D2"/>
    <w:rsid w:val="006735C8"/>
    <w:rsid w:val="00673B7A"/>
    <w:rsid w:val="00674220"/>
    <w:rsid w:val="006743FF"/>
    <w:rsid w:val="00674C96"/>
    <w:rsid w:val="00674D28"/>
    <w:rsid w:val="0067556D"/>
    <w:rsid w:val="00675BE8"/>
    <w:rsid w:val="0067624B"/>
    <w:rsid w:val="00676347"/>
    <w:rsid w:val="0067664A"/>
    <w:rsid w:val="006767BF"/>
    <w:rsid w:val="00676E8A"/>
    <w:rsid w:val="006772C0"/>
    <w:rsid w:val="006775A2"/>
    <w:rsid w:val="006775D1"/>
    <w:rsid w:val="006801BC"/>
    <w:rsid w:val="006803E5"/>
    <w:rsid w:val="00680B37"/>
    <w:rsid w:val="00680C4A"/>
    <w:rsid w:val="00681610"/>
    <w:rsid w:val="0068195E"/>
    <w:rsid w:val="00681CDD"/>
    <w:rsid w:val="00682418"/>
    <w:rsid w:val="00682671"/>
    <w:rsid w:val="00682D85"/>
    <w:rsid w:val="00682F40"/>
    <w:rsid w:val="00683196"/>
    <w:rsid w:val="0068339B"/>
    <w:rsid w:val="006836A5"/>
    <w:rsid w:val="00683943"/>
    <w:rsid w:val="00683D92"/>
    <w:rsid w:val="006842DF"/>
    <w:rsid w:val="0068453C"/>
    <w:rsid w:val="006845CD"/>
    <w:rsid w:val="0068484B"/>
    <w:rsid w:val="00684BFF"/>
    <w:rsid w:val="00684E0A"/>
    <w:rsid w:val="0068506B"/>
    <w:rsid w:val="006851A5"/>
    <w:rsid w:val="0068523D"/>
    <w:rsid w:val="00685437"/>
    <w:rsid w:val="0068548B"/>
    <w:rsid w:val="00685AC0"/>
    <w:rsid w:val="00685D32"/>
    <w:rsid w:val="00686286"/>
    <w:rsid w:val="006866C7"/>
    <w:rsid w:val="00686796"/>
    <w:rsid w:val="00686B06"/>
    <w:rsid w:val="00686CB5"/>
    <w:rsid w:val="006871AE"/>
    <w:rsid w:val="006871DF"/>
    <w:rsid w:val="00687565"/>
    <w:rsid w:val="0068777B"/>
    <w:rsid w:val="00687C46"/>
    <w:rsid w:val="00687E03"/>
    <w:rsid w:val="00687E91"/>
    <w:rsid w:val="00687FC6"/>
    <w:rsid w:val="00687FDD"/>
    <w:rsid w:val="0069006F"/>
    <w:rsid w:val="006901A7"/>
    <w:rsid w:val="006909D7"/>
    <w:rsid w:val="00690CE6"/>
    <w:rsid w:val="00690D18"/>
    <w:rsid w:val="00690D6D"/>
    <w:rsid w:val="00690E50"/>
    <w:rsid w:val="0069126E"/>
    <w:rsid w:val="00691484"/>
    <w:rsid w:val="006914FB"/>
    <w:rsid w:val="00691821"/>
    <w:rsid w:val="00691847"/>
    <w:rsid w:val="00691972"/>
    <w:rsid w:val="00691A32"/>
    <w:rsid w:val="00691DEF"/>
    <w:rsid w:val="00692064"/>
    <w:rsid w:val="006922B5"/>
    <w:rsid w:val="006924EF"/>
    <w:rsid w:val="0069272A"/>
    <w:rsid w:val="006928FD"/>
    <w:rsid w:val="00692949"/>
    <w:rsid w:val="00692B1B"/>
    <w:rsid w:val="00692BA4"/>
    <w:rsid w:val="00692C25"/>
    <w:rsid w:val="006931CF"/>
    <w:rsid w:val="006937FF"/>
    <w:rsid w:val="006939D0"/>
    <w:rsid w:val="006939F3"/>
    <w:rsid w:val="00693D55"/>
    <w:rsid w:val="00693DD9"/>
    <w:rsid w:val="006941AE"/>
    <w:rsid w:val="006947C3"/>
    <w:rsid w:val="006948F4"/>
    <w:rsid w:val="00694914"/>
    <w:rsid w:val="006949A8"/>
    <w:rsid w:val="00695B4B"/>
    <w:rsid w:val="00695BBE"/>
    <w:rsid w:val="00695C7E"/>
    <w:rsid w:val="00695EF3"/>
    <w:rsid w:val="00695F54"/>
    <w:rsid w:val="00696017"/>
    <w:rsid w:val="00696129"/>
    <w:rsid w:val="00696569"/>
    <w:rsid w:val="00696966"/>
    <w:rsid w:val="00696CDF"/>
    <w:rsid w:val="00696E76"/>
    <w:rsid w:val="00696E8B"/>
    <w:rsid w:val="00697218"/>
    <w:rsid w:val="006973EA"/>
    <w:rsid w:val="0069743E"/>
    <w:rsid w:val="0069775F"/>
    <w:rsid w:val="00697AA2"/>
    <w:rsid w:val="00697B16"/>
    <w:rsid w:val="00697D53"/>
    <w:rsid w:val="006A00A8"/>
    <w:rsid w:val="006A00FA"/>
    <w:rsid w:val="006A0500"/>
    <w:rsid w:val="006A0775"/>
    <w:rsid w:val="006A0AD0"/>
    <w:rsid w:val="006A0B7B"/>
    <w:rsid w:val="006A0D2E"/>
    <w:rsid w:val="006A0E7E"/>
    <w:rsid w:val="006A117F"/>
    <w:rsid w:val="006A1333"/>
    <w:rsid w:val="006A1702"/>
    <w:rsid w:val="006A1737"/>
    <w:rsid w:val="006A1748"/>
    <w:rsid w:val="006A1C07"/>
    <w:rsid w:val="006A1E3E"/>
    <w:rsid w:val="006A1E87"/>
    <w:rsid w:val="006A209C"/>
    <w:rsid w:val="006A20EA"/>
    <w:rsid w:val="006A21CE"/>
    <w:rsid w:val="006A225A"/>
    <w:rsid w:val="006A2454"/>
    <w:rsid w:val="006A2A1C"/>
    <w:rsid w:val="006A2A3A"/>
    <w:rsid w:val="006A2B16"/>
    <w:rsid w:val="006A2B1E"/>
    <w:rsid w:val="006A31A9"/>
    <w:rsid w:val="006A357D"/>
    <w:rsid w:val="006A3857"/>
    <w:rsid w:val="006A3866"/>
    <w:rsid w:val="006A39D2"/>
    <w:rsid w:val="006A47EA"/>
    <w:rsid w:val="006A48C8"/>
    <w:rsid w:val="006A49C7"/>
    <w:rsid w:val="006A4AE7"/>
    <w:rsid w:val="006A4FC1"/>
    <w:rsid w:val="006A507D"/>
    <w:rsid w:val="006A5244"/>
    <w:rsid w:val="006A5281"/>
    <w:rsid w:val="006A52ED"/>
    <w:rsid w:val="006A565A"/>
    <w:rsid w:val="006A5A93"/>
    <w:rsid w:val="006A5E47"/>
    <w:rsid w:val="006A64B7"/>
    <w:rsid w:val="006A66A1"/>
    <w:rsid w:val="006A6854"/>
    <w:rsid w:val="006A6891"/>
    <w:rsid w:val="006A6D81"/>
    <w:rsid w:val="006A6F3E"/>
    <w:rsid w:val="006A7188"/>
    <w:rsid w:val="006A735C"/>
    <w:rsid w:val="006A76C4"/>
    <w:rsid w:val="006A79F0"/>
    <w:rsid w:val="006A7B17"/>
    <w:rsid w:val="006A7CF2"/>
    <w:rsid w:val="006A7E3B"/>
    <w:rsid w:val="006B0313"/>
    <w:rsid w:val="006B03C9"/>
    <w:rsid w:val="006B0843"/>
    <w:rsid w:val="006B0CF2"/>
    <w:rsid w:val="006B1336"/>
    <w:rsid w:val="006B13D4"/>
    <w:rsid w:val="006B1473"/>
    <w:rsid w:val="006B1601"/>
    <w:rsid w:val="006B169B"/>
    <w:rsid w:val="006B1746"/>
    <w:rsid w:val="006B1E56"/>
    <w:rsid w:val="006B21BD"/>
    <w:rsid w:val="006B21F5"/>
    <w:rsid w:val="006B23F9"/>
    <w:rsid w:val="006B2608"/>
    <w:rsid w:val="006B2922"/>
    <w:rsid w:val="006B2BCC"/>
    <w:rsid w:val="006B2C65"/>
    <w:rsid w:val="006B32E3"/>
    <w:rsid w:val="006B33D9"/>
    <w:rsid w:val="006B33DF"/>
    <w:rsid w:val="006B346F"/>
    <w:rsid w:val="006B356F"/>
    <w:rsid w:val="006B3C8B"/>
    <w:rsid w:val="006B42BC"/>
    <w:rsid w:val="006B46B9"/>
    <w:rsid w:val="006B472D"/>
    <w:rsid w:val="006B4FB9"/>
    <w:rsid w:val="006B50C5"/>
    <w:rsid w:val="006B54BC"/>
    <w:rsid w:val="006B58DA"/>
    <w:rsid w:val="006B5A43"/>
    <w:rsid w:val="006B5D8F"/>
    <w:rsid w:val="006B60B2"/>
    <w:rsid w:val="006B62DB"/>
    <w:rsid w:val="006B63A7"/>
    <w:rsid w:val="006B65FB"/>
    <w:rsid w:val="006B66AB"/>
    <w:rsid w:val="006B679E"/>
    <w:rsid w:val="006B6919"/>
    <w:rsid w:val="006B6ACF"/>
    <w:rsid w:val="006B6B47"/>
    <w:rsid w:val="006B6B81"/>
    <w:rsid w:val="006B6F63"/>
    <w:rsid w:val="006B6F82"/>
    <w:rsid w:val="006B71ED"/>
    <w:rsid w:val="006B722D"/>
    <w:rsid w:val="006B72FE"/>
    <w:rsid w:val="006B76A0"/>
    <w:rsid w:val="006B7807"/>
    <w:rsid w:val="006B78DA"/>
    <w:rsid w:val="006B7E0E"/>
    <w:rsid w:val="006B7F15"/>
    <w:rsid w:val="006B7F32"/>
    <w:rsid w:val="006C019D"/>
    <w:rsid w:val="006C0405"/>
    <w:rsid w:val="006C05A0"/>
    <w:rsid w:val="006C096A"/>
    <w:rsid w:val="006C0ACC"/>
    <w:rsid w:val="006C0D32"/>
    <w:rsid w:val="006C146C"/>
    <w:rsid w:val="006C15A5"/>
    <w:rsid w:val="006C17D0"/>
    <w:rsid w:val="006C1C37"/>
    <w:rsid w:val="006C1E35"/>
    <w:rsid w:val="006C21AF"/>
    <w:rsid w:val="006C2298"/>
    <w:rsid w:val="006C23D4"/>
    <w:rsid w:val="006C28EF"/>
    <w:rsid w:val="006C2D33"/>
    <w:rsid w:val="006C30CC"/>
    <w:rsid w:val="006C36C7"/>
    <w:rsid w:val="006C3E91"/>
    <w:rsid w:val="006C3F54"/>
    <w:rsid w:val="006C3FFE"/>
    <w:rsid w:val="006C40BC"/>
    <w:rsid w:val="006C412F"/>
    <w:rsid w:val="006C4899"/>
    <w:rsid w:val="006C4AA2"/>
    <w:rsid w:val="006C4EFF"/>
    <w:rsid w:val="006C518E"/>
    <w:rsid w:val="006C53FE"/>
    <w:rsid w:val="006C56E2"/>
    <w:rsid w:val="006C598E"/>
    <w:rsid w:val="006C6425"/>
    <w:rsid w:val="006C64FE"/>
    <w:rsid w:val="006C6F2F"/>
    <w:rsid w:val="006C7596"/>
    <w:rsid w:val="006C79EE"/>
    <w:rsid w:val="006C7E12"/>
    <w:rsid w:val="006D001C"/>
    <w:rsid w:val="006D0E7B"/>
    <w:rsid w:val="006D0EB1"/>
    <w:rsid w:val="006D0EF3"/>
    <w:rsid w:val="006D0F09"/>
    <w:rsid w:val="006D1128"/>
    <w:rsid w:val="006D1410"/>
    <w:rsid w:val="006D1633"/>
    <w:rsid w:val="006D193D"/>
    <w:rsid w:val="006D1940"/>
    <w:rsid w:val="006D1986"/>
    <w:rsid w:val="006D1B12"/>
    <w:rsid w:val="006D20B7"/>
    <w:rsid w:val="006D23B9"/>
    <w:rsid w:val="006D2458"/>
    <w:rsid w:val="006D264A"/>
    <w:rsid w:val="006D2743"/>
    <w:rsid w:val="006D277C"/>
    <w:rsid w:val="006D2BB4"/>
    <w:rsid w:val="006D2BEF"/>
    <w:rsid w:val="006D2D16"/>
    <w:rsid w:val="006D30EE"/>
    <w:rsid w:val="006D31D4"/>
    <w:rsid w:val="006D3205"/>
    <w:rsid w:val="006D3696"/>
    <w:rsid w:val="006D3A94"/>
    <w:rsid w:val="006D3EF0"/>
    <w:rsid w:val="006D4096"/>
    <w:rsid w:val="006D4245"/>
    <w:rsid w:val="006D4285"/>
    <w:rsid w:val="006D4414"/>
    <w:rsid w:val="006D452F"/>
    <w:rsid w:val="006D4890"/>
    <w:rsid w:val="006D4913"/>
    <w:rsid w:val="006D4CB7"/>
    <w:rsid w:val="006D51D3"/>
    <w:rsid w:val="006D51F7"/>
    <w:rsid w:val="006D5244"/>
    <w:rsid w:val="006D5566"/>
    <w:rsid w:val="006D563F"/>
    <w:rsid w:val="006D567E"/>
    <w:rsid w:val="006D56A6"/>
    <w:rsid w:val="006D5714"/>
    <w:rsid w:val="006D580B"/>
    <w:rsid w:val="006D59D3"/>
    <w:rsid w:val="006D5E14"/>
    <w:rsid w:val="006D5FE7"/>
    <w:rsid w:val="006D64BB"/>
    <w:rsid w:val="006D676F"/>
    <w:rsid w:val="006D683A"/>
    <w:rsid w:val="006D698B"/>
    <w:rsid w:val="006D6AE6"/>
    <w:rsid w:val="006D70AA"/>
    <w:rsid w:val="006D712A"/>
    <w:rsid w:val="006D71F7"/>
    <w:rsid w:val="006D743C"/>
    <w:rsid w:val="006D7780"/>
    <w:rsid w:val="006D7C53"/>
    <w:rsid w:val="006D7E3E"/>
    <w:rsid w:val="006E0225"/>
    <w:rsid w:val="006E028D"/>
    <w:rsid w:val="006E0437"/>
    <w:rsid w:val="006E0466"/>
    <w:rsid w:val="006E06C5"/>
    <w:rsid w:val="006E0B64"/>
    <w:rsid w:val="006E0C36"/>
    <w:rsid w:val="006E0EC6"/>
    <w:rsid w:val="006E1365"/>
    <w:rsid w:val="006E1815"/>
    <w:rsid w:val="006E1D09"/>
    <w:rsid w:val="006E261A"/>
    <w:rsid w:val="006E26D5"/>
    <w:rsid w:val="006E26FD"/>
    <w:rsid w:val="006E34BE"/>
    <w:rsid w:val="006E3905"/>
    <w:rsid w:val="006E3B7A"/>
    <w:rsid w:val="006E480A"/>
    <w:rsid w:val="006E50B8"/>
    <w:rsid w:val="006E51BE"/>
    <w:rsid w:val="006E524B"/>
    <w:rsid w:val="006E52B9"/>
    <w:rsid w:val="006E5377"/>
    <w:rsid w:val="006E5383"/>
    <w:rsid w:val="006E552F"/>
    <w:rsid w:val="006E55EA"/>
    <w:rsid w:val="006E5966"/>
    <w:rsid w:val="006E6132"/>
    <w:rsid w:val="006E636A"/>
    <w:rsid w:val="006E6549"/>
    <w:rsid w:val="006E68A3"/>
    <w:rsid w:val="006E69C7"/>
    <w:rsid w:val="006E6A10"/>
    <w:rsid w:val="006E6B5E"/>
    <w:rsid w:val="006E7088"/>
    <w:rsid w:val="006E7913"/>
    <w:rsid w:val="006E7A4E"/>
    <w:rsid w:val="006E7B88"/>
    <w:rsid w:val="006E7DE0"/>
    <w:rsid w:val="006F005C"/>
    <w:rsid w:val="006F085E"/>
    <w:rsid w:val="006F08E8"/>
    <w:rsid w:val="006F0D25"/>
    <w:rsid w:val="006F0D7E"/>
    <w:rsid w:val="006F0DC3"/>
    <w:rsid w:val="006F1269"/>
    <w:rsid w:val="006F15E4"/>
    <w:rsid w:val="006F1751"/>
    <w:rsid w:val="006F1883"/>
    <w:rsid w:val="006F1D67"/>
    <w:rsid w:val="006F2425"/>
    <w:rsid w:val="006F243C"/>
    <w:rsid w:val="006F2499"/>
    <w:rsid w:val="006F2731"/>
    <w:rsid w:val="006F2E66"/>
    <w:rsid w:val="006F3013"/>
    <w:rsid w:val="006F30BB"/>
    <w:rsid w:val="006F375C"/>
    <w:rsid w:val="006F3F11"/>
    <w:rsid w:val="006F3FAE"/>
    <w:rsid w:val="006F3FCF"/>
    <w:rsid w:val="006F4145"/>
    <w:rsid w:val="006F4464"/>
    <w:rsid w:val="006F44B5"/>
    <w:rsid w:val="006F4688"/>
    <w:rsid w:val="006F4735"/>
    <w:rsid w:val="006F485D"/>
    <w:rsid w:val="006F48DE"/>
    <w:rsid w:val="006F49E4"/>
    <w:rsid w:val="006F4B45"/>
    <w:rsid w:val="006F4C90"/>
    <w:rsid w:val="006F5065"/>
    <w:rsid w:val="006F52B5"/>
    <w:rsid w:val="006F5942"/>
    <w:rsid w:val="006F5973"/>
    <w:rsid w:val="006F59CB"/>
    <w:rsid w:val="006F64EB"/>
    <w:rsid w:val="006F6B1F"/>
    <w:rsid w:val="006F6D2E"/>
    <w:rsid w:val="006F71F0"/>
    <w:rsid w:val="006F7371"/>
    <w:rsid w:val="006F79D9"/>
    <w:rsid w:val="00700208"/>
    <w:rsid w:val="00700269"/>
    <w:rsid w:val="00700426"/>
    <w:rsid w:val="0070083D"/>
    <w:rsid w:val="0070105A"/>
    <w:rsid w:val="00701140"/>
    <w:rsid w:val="007012AF"/>
    <w:rsid w:val="007014D3"/>
    <w:rsid w:val="007015BF"/>
    <w:rsid w:val="00701887"/>
    <w:rsid w:val="00701C11"/>
    <w:rsid w:val="00701EE8"/>
    <w:rsid w:val="0070207B"/>
    <w:rsid w:val="00702166"/>
    <w:rsid w:val="00702237"/>
    <w:rsid w:val="00702352"/>
    <w:rsid w:val="007024E8"/>
    <w:rsid w:val="00702556"/>
    <w:rsid w:val="00702646"/>
    <w:rsid w:val="007026C5"/>
    <w:rsid w:val="007027AE"/>
    <w:rsid w:val="007027DF"/>
    <w:rsid w:val="007031AE"/>
    <w:rsid w:val="007032B7"/>
    <w:rsid w:val="00703580"/>
    <w:rsid w:val="0070358B"/>
    <w:rsid w:val="0070365F"/>
    <w:rsid w:val="007037B5"/>
    <w:rsid w:val="00703B22"/>
    <w:rsid w:val="00703C49"/>
    <w:rsid w:val="00703CA4"/>
    <w:rsid w:val="00703EFD"/>
    <w:rsid w:val="0070412A"/>
    <w:rsid w:val="00704322"/>
    <w:rsid w:val="007043DE"/>
    <w:rsid w:val="007045FB"/>
    <w:rsid w:val="00704A4D"/>
    <w:rsid w:val="00704A6C"/>
    <w:rsid w:val="00704B7A"/>
    <w:rsid w:val="00704BDA"/>
    <w:rsid w:val="00704C19"/>
    <w:rsid w:val="00704FE4"/>
    <w:rsid w:val="007051AD"/>
    <w:rsid w:val="00705536"/>
    <w:rsid w:val="007055C9"/>
    <w:rsid w:val="00705765"/>
    <w:rsid w:val="00705A8E"/>
    <w:rsid w:val="00705F96"/>
    <w:rsid w:val="007060C5"/>
    <w:rsid w:val="00707664"/>
    <w:rsid w:val="00707A1A"/>
    <w:rsid w:val="00707C5B"/>
    <w:rsid w:val="00707D50"/>
    <w:rsid w:val="00707F59"/>
    <w:rsid w:val="00710628"/>
    <w:rsid w:val="007107F0"/>
    <w:rsid w:val="00710873"/>
    <w:rsid w:val="007115CF"/>
    <w:rsid w:val="00711A17"/>
    <w:rsid w:val="00711B4D"/>
    <w:rsid w:val="0071251C"/>
    <w:rsid w:val="007126D9"/>
    <w:rsid w:val="00712830"/>
    <w:rsid w:val="00712E40"/>
    <w:rsid w:val="00712EB3"/>
    <w:rsid w:val="00713645"/>
    <w:rsid w:val="007137F2"/>
    <w:rsid w:val="00713C1A"/>
    <w:rsid w:val="00713F1B"/>
    <w:rsid w:val="007141FB"/>
    <w:rsid w:val="00714565"/>
    <w:rsid w:val="00714BB3"/>
    <w:rsid w:val="00715AEF"/>
    <w:rsid w:val="00715F50"/>
    <w:rsid w:val="007162F3"/>
    <w:rsid w:val="00716339"/>
    <w:rsid w:val="007163EA"/>
    <w:rsid w:val="00716B1D"/>
    <w:rsid w:val="00716CB0"/>
    <w:rsid w:val="00716CC9"/>
    <w:rsid w:val="00716F20"/>
    <w:rsid w:val="0071756F"/>
    <w:rsid w:val="0071762B"/>
    <w:rsid w:val="00717798"/>
    <w:rsid w:val="00717840"/>
    <w:rsid w:val="00717B09"/>
    <w:rsid w:val="0072003F"/>
    <w:rsid w:val="007200B3"/>
    <w:rsid w:val="007206F0"/>
    <w:rsid w:val="00720907"/>
    <w:rsid w:val="00721568"/>
    <w:rsid w:val="00721589"/>
    <w:rsid w:val="007215B0"/>
    <w:rsid w:val="0072169D"/>
    <w:rsid w:val="00721779"/>
    <w:rsid w:val="007218D9"/>
    <w:rsid w:val="007222F7"/>
    <w:rsid w:val="00722428"/>
    <w:rsid w:val="00722574"/>
    <w:rsid w:val="00722D32"/>
    <w:rsid w:val="00722E77"/>
    <w:rsid w:val="00722F06"/>
    <w:rsid w:val="00723363"/>
    <w:rsid w:val="00723D08"/>
    <w:rsid w:val="00723F64"/>
    <w:rsid w:val="00724A36"/>
    <w:rsid w:val="00724A6E"/>
    <w:rsid w:val="0072516D"/>
    <w:rsid w:val="00725F82"/>
    <w:rsid w:val="00725FD0"/>
    <w:rsid w:val="00726211"/>
    <w:rsid w:val="0072666B"/>
    <w:rsid w:val="00726CF4"/>
    <w:rsid w:val="00726E09"/>
    <w:rsid w:val="00726EC4"/>
    <w:rsid w:val="00726F08"/>
    <w:rsid w:val="0072704B"/>
    <w:rsid w:val="00727159"/>
    <w:rsid w:val="0072716D"/>
    <w:rsid w:val="00727848"/>
    <w:rsid w:val="00727874"/>
    <w:rsid w:val="00727A62"/>
    <w:rsid w:val="007300DA"/>
    <w:rsid w:val="00730446"/>
    <w:rsid w:val="00730AB4"/>
    <w:rsid w:val="00730BB5"/>
    <w:rsid w:val="00730C01"/>
    <w:rsid w:val="00730EA5"/>
    <w:rsid w:val="00730FAC"/>
    <w:rsid w:val="007312A4"/>
    <w:rsid w:val="0073143C"/>
    <w:rsid w:val="007314BB"/>
    <w:rsid w:val="007314F7"/>
    <w:rsid w:val="0073150B"/>
    <w:rsid w:val="00731798"/>
    <w:rsid w:val="00731DA8"/>
    <w:rsid w:val="00731F75"/>
    <w:rsid w:val="00732298"/>
    <w:rsid w:val="007324FB"/>
    <w:rsid w:val="007325DA"/>
    <w:rsid w:val="00732B60"/>
    <w:rsid w:val="00732D74"/>
    <w:rsid w:val="00732DFC"/>
    <w:rsid w:val="00732F5A"/>
    <w:rsid w:val="007333DE"/>
    <w:rsid w:val="00733AAC"/>
    <w:rsid w:val="00733B1E"/>
    <w:rsid w:val="00734054"/>
    <w:rsid w:val="00734654"/>
    <w:rsid w:val="0073467F"/>
    <w:rsid w:val="007349E1"/>
    <w:rsid w:val="00734C37"/>
    <w:rsid w:val="00735059"/>
    <w:rsid w:val="00735279"/>
    <w:rsid w:val="00735501"/>
    <w:rsid w:val="007358D5"/>
    <w:rsid w:val="00735BBC"/>
    <w:rsid w:val="00735C30"/>
    <w:rsid w:val="00736300"/>
    <w:rsid w:val="00736482"/>
    <w:rsid w:val="0073675B"/>
    <w:rsid w:val="00736BF5"/>
    <w:rsid w:val="00737339"/>
    <w:rsid w:val="007373B4"/>
    <w:rsid w:val="0073795F"/>
    <w:rsid w:val="00737A6B"/>
    <w:rsid w:val="0074003B"/>
    <w:rsid w:val="007400D9"/>
    <w:rsid w:val="007401C2"/>
    <w:rsid w:val="007402DC"/>
    <w:rsid w:val="007403CB"/>
    <w:rsid w:val="007403DE"/>
    <w:rsid w:val="007407C3"/>
    <w:rsid w:val="00740815"/>
    <w:rsid w:val="007409FC"/>
    <w:rsid w:val="00740B02"/>
    <w:rsid w:val="00740C57"/>
    <w:rsid w:val="00740CDD"/>
    <w:rsid w:val="00741035"/>
    <w:rsid w:val="0074103A"/>
    <w:rsid w:val="007411EB"/>
    <w:rsid w:val="00741300"/>
    <w:rsid w:val="0074159D"/>
    <w:rsid w:val="0074184F"/>
    <w:rsid w:val="00741C51"/>
    <w:rsid w:val="00741E5A"/>
    <w:rsid w:val="00742115"/>
    <w:rsid w:val="007423B1"/>
    <w:rsid w:val="00742423"/>
    <w:rsid w:val="00742495"/>
    <w:rsid w:val="00742A50"/>
    <w:rsid w:val="007437D0"/>
    <w:rsid w:val="00743BC6"/>
    <w:rsid w:val="00743CC2"/>
    <w:rsid w:val="00743D4A"/>
    <w:rsid w:val="00743DF0"/>
    <w:rsid w:val="007446CB"/>
    <w:rsid w:val="007446E3"/>
    <w:rsid w:val="007448C1"/>
    <w:rsid w:val="00744AAE"/>
    <w:rsid w:val="00744E40"/>
    <w:rsid w:val="00744E42"/>
    <w:rsid w:val="00744F00"/>
    <w:rsid w:val="00744F07"/>
    <w:rsid w:val="0074518A"/>
    <w:rsid w:val="007456AC"/>
    <w:rsid w:val="00745D08"/>
    <w:rsid w:val="007464E9"/>
    <w:rsid w:val="00746842"/>
    <w:rsid w:val="00746CCF"/>
    <w:rsid w:val="007472F9"/>
    <w:rsid w:val="00747555"/>
    <w:rsid w:val="0074786E"/>
    <w:rsid w:val="00747B80"/>
    <w:rsid w:val="00747BED"/>
    <w:rsid w:val="00750378"/>
    <w:rsid w:val="00750CFB"/>
    <w:rsid w:val="00750DF4"/>
    <w:rsid w:val="00750F04"/>
    <w:rsid w:val="0075111C"/>
    <w:rsid w:val="007512EA"/>
    <w:rsid w:val="007513A5"/>
    <w:rsid w:val="007516DA"/>
    <w:rsid w:val="00751928"/>
    <w:rsid w:val="00751E4A"/>
    <w:rsid w:val="00751EF6"/>
    <w:rsid w:val="007520C2"/>
    <w:rsid w:val="0075297B"/>
    <w:rsid w:val="00752DBB"/>
    <w:rsid w:val="007532B3"/>
    <w:rsid w:val="00753336"/>
    <w:rsid w:val="007533F4"/>
    <w:rsid w:val="007538DF"/>
    <w:rsid w:val="007541FE"/>
    <w:rsid w:val="007545D2"/>
    <w:rsid w:val="00754739"/>
    <w:rsid w:val="0075483E"/>
    <w:rsid w:val="00754A71"/>
    <w:rsid w:val="00754C35"/>
    <w:rsid w:val="00754E77"/>
    <w:rsid w:val="00755353"/>
    <w:rsid w:val="00755387"/>
    <w:rsid w:val="00755879"/>
    <w:rsid w:val="00755B0D"/>
    <w:rsid w:val="00755CEC"/>
    <w:rsid w:val="00755D0D"/>
    <w:rsid w:val="0075610B"/>
    <w:rsid w:val="00756212"/>
    <w:rsid w:val="0075634C"/>
    <w:rsid w:val="00756383"/>
    <w:rsid w:val="00756610"/>
    <w:rsid w:val="007566B8"/>
    <w:rsid w:val="00756C89"/>
    <w:rsid w:val="00756E1C"/>
    <w:rsid w:val="007570E6"/>
    <w:rsid w:val="0075777A"/>
    <w:rsid w:val="007579FC"/>
    <w:rsid w:val="007579FF"/>
    <w:rsid w:val="00757F47"/>
    <w:rsid w:val="0076019A"/>
    <w:rsid w:val="00760539"/>
    <w:rsid w:val="00760FD1"/>
    <w:rsid w:val="00761042"/>
    <w:rsid w:val="0076144E"/>
    <w:rsid w:val="00761658"/>
    <w:rsid w:val="007619B5"/>
    <w:rsid w:val="00761C44"/>
    <w:rsid w:val="00761F58"/>
    <w:rsid w:val="007623C7"/>
    <w:rsid w:val="0076269B"/>
    <w:rsid w:val="007627EA"/>
    <w:rsid w:val="0076281D"/>
    <w:rsid w:val="00762835"/>
    <w:rsid w:val="00762A73"/>
    <w:rsid w:val="00762B50"/>
    <w:rsid w:val="00762D07"/>
    <w:rsid w:val="00763349"/>
    <w:rsid w:val="00763450"/>
    <w:rsid w:val="007636A5"/>
    <w:rsid w:val="00763976"/>
    <w:rsid w:val="00763B30"/>
    <w:rsid w:val="00763B9D"/>
    <w:rsid w:val="00763D1A"/>
    <w:rsid w:val="00763E1C"/>
    <w:rsid w:val="007644BC"/>
    <w:rsid w:val="007649C7"/>
    <w:rsid w:val="00764BD3"/>
    <w:rsid w:val="00764C38"/>
    <w:rsid w:val="00764F1D"/>
    <w:rsid w:val="00764F9A"/>
    <w:rsid w:val="00764FAC"/>
    <w:rsid w:val="0076506B"/>
    <w:rsid w:val="0076517E"/>
    <w:rsid w:val="007651AC"/>
    <w:rsid w:val="007653BD"/>
    <w:rsid w:val="00765DAB"/>
    <w:rsid w:val="007662D8"/>
    <w:rsid w:val="00766CC8"/>
    <w:rsid w:val="00766F81"/>
    <w:rsid w:val="00767074"/>
    <w:rsid w:val="0076707A"/>
    <w:rsid w:val="00767281"/>
    <w:rsid w:val="0076755E"/>
    <w:rsid w:val="00767578"/>
    <w:rsid w:val="00767974"/>
    <w:rsid w:val="00767A71"/>
    <w:rsid w:val="00767BE4"/>
    <w:rsid w:val="00767BF5"/>
    <w:rsid w:val="00767C8E"/>
    <w:rsid w:val="007704C6"/>
    <w:rsid w:val="007705DF"/>
    <w:rsid w:val="00770683"/>
    <w:rsid w:val="00771671"/>
    <w:rsid w:val="007718DD"/>
    <w:rsid w:val="00771966"/>
    <w:rsid w:val="007719D7"/>
    <w:rsid w:val="00771F08"/>
    <w:rsid w:val="00771FDF"/>
    <w:rsid w:val="007720C6"/>
    <w:rsid w:val="00772550"/>
    <w:rsid w:val="00772767"/>
    <w:rsid w:val="00772DAF"/>
    <w:rsid w:val="00772E61"/>
    <w:rsid w:val="0077368B"/>
    <w:rsid w:val="00773936"/>
    <w:rsid w:val="00773C0E"/>
    <w:rsid w:val="00773D87"/>
    <w:rsid w:val="00774186"/>
    <w:rsid w:val="007742AB"/>
    <w:rsid w:val="00774324"/>
    <w:rsid w:val="0077440E"/>
    <w:rsid w:val="0077454B"/>
    <w:rsid w:val="00774943"/>
    <w:rsid w:val="00774B35"/>
    <w:rsid w:val="00774C32"/>
    <w:rsid w:val="00774C3E"/>
    <w:rsid w:val="00774E7C"/>
    <w:rsid w:val="007753C8"/>
    <w:rsid w:val="007756BF"/>
    <w:rsid w:val="00775774"/>
    <w:rsid w:val="007759E5"/>
    <w:rsid w:val="00775B89"/>
    <w:rsid w:val="0077625A"/>
    <w:rsid w:val="00776490"/>
    <w:rsid w:val="0077672A"/>
    <w:rsid w:val="00776DA6"/>
    <w:rsid w:val="00776EC8"/>
    <w:rsid w:val="00776ECC"/>
    <w:rsid w:val="00776EF6"/>
    <w:rsid w:val="007771B3"/>
    <w:rsid w:val="0077752F"/>
    <w:rsid w:val="00777714"/>
    <w:rsid w:val="00777724"/>
    <w:rsid w:val="00777832"/>
    <w:rsid w:val="00777AC2"/>
    <w:rsid w:val="00777D2E"/>
    <w:rsid w:val="00777F6A"/>
    <w:rsid w:val="00777FC3"/>
    <w:rsid w:val="00780E53"/>
    <w:rsid w:val="00780F08"/>
    <w:rsid w:val="00781813"/>
    <w:rsid w:val="00781842"/>
    <w:rsid w:val="0078196A"/>
    <w:rsid w:val="00781D3F"/>
    <w:rsid w:val="0078202A"/>
    <w:rsid w:val="007822BA"/>
    <w:rsid w:val="0078256D"/>
    <w:rsid w:val="007828BC"/>
    <w:rsid w:val="0078311C"/>
    <w:rsid w:val="007831DD"/>
    <w:rsid w:val="0078330D"/>
    <w:rsid w:val="007836E6"/>
    <w:rsid w:val="00783797"/>
    <w:rsid w:val="0078383E"/>
    <w:rsid w:val="00783BE0"/>
    <w:rsid w:val="00783DC4"/>
    <w:rsid w:val="007848A5"/>
    <w:rsid w:val="00784B47"/>
    <w:rsid w:val="00784BC5"/>
    <w:rsid w:val="00784E18"/>
    <w:rsid w:val="00784EB4"/>
    <w:rsid w:val="00784F4E"/>
    <w:rsid w:val="0078569F"/>
    <w:rsid w:val="007857C5"/>
    <w:rsid w:val="00785A9A"/>
    <w:rsid w:val="007861B8"/>
    <w:rsid w:val="0078672B"/>
    <w:rsid w:val="0078688A"/>
    <w:rsid w:val="00786E69"/>
    <w:rsid w:val="00786EB2"/>
    <w:rsid w:val="00786ED3"/>
    <w:rsid w:val="007871B1"/>
    <w:rsid w:val="007871B2"/>
    <w:rsid w:val="00787A6F"/>
    <w:rsid w:val="00787D73"/>
    <w:rsid w:val="00787F2E"/>
    <w:rsid w:val="007905C5"/>
    <w:rsid w:val="007906B9"/>
    <w:rsid w:val="007906BC"/>
    <w:rsid w:val="00790F4A"/>
    <w:rsid w:val="00791900"/>
    <w:rsid w:val="00791BB6"/>
    <w:rsid w:val="00791C6B"/>
    <w:rsid w:val="00791EA1"/>
    <w:rsid w:val="00791EEE"/>
    <w:rsid w:val="00792195"/>
    <w:rsid w:val="007928EC"/>
    <w:rsid w:val="00792BF3"/>
    <w:rsid w:val="007933FF"/>
    <w:rsid w:val="00793608"/>
    <w:rsid w:val="0079368F"/>
    <w:rsid w:val="007937E9"/>
    <w:rsid w:val="00793C8B"/>
    <w:rsid w:val="00793CF0"/>
    <w:rsid w:val="00794225"/>
    <w:rsid w:val="0079458D"/>
    <w:rsid w:val="0079461B"/>
    <w:rsid w:val="007948AC"/>
    <w:rsid w:val="00794A08"/>
    <w:rsid w:val="00794B48"/>
    <w:rsid w:val="00794E6D"/>
    <w:rsid w:val="00794FD1"/>
    <w:rsid w:val="00795046"/>
    <w:rsid w:val="0079504B"/>
    <w:rsid w:val="007950B9"/>
    <w:rsid w:val="00795254"/>
    <w:rsid w:val="00795462"/>
    <w:rsid w:val="00795593"/>
    <w:rsid w:val="00795977"/>
    <w:rsid w:val="00795D10"/>
    <w:rsid w:val="00795DD0"/>
    <w:rsid w:val="00795E9C"/>
    <w:rsid w:val="00796002"/>
    <w:rsid w:val="00796073"/>
    <w:rsid w:val="0079617F"/>
    <w:rsid w:val="007964C0"/>
    <w:rsid w:val="00796CA2"/>
    <w:rsid w:val="00796DF9"/>
    <w:rsid w:val="00796FBC"/>
    <w:rsid w:val="007970DE"/>
    <w:rsid w:val="00797596"/>
    <w:rsid w:val="007976EA"/>
    <w:rsid w:val="00797915"/>
    <w:rsid w:val="00797A63"/>
    <w:rsid w:val="00797CE8"/>
    <w:rsid w:val="007A00BE"/>
    <w:rsid w:val="007A01FC"/>
    <w:rsid w:val="007A02AD"/>
    <w:rsid w:val="007A05AE"/>
    <w:rsid w:val="007A091A"/>
    <w:rsid w:val="007A0D48"/>
    <w:rsid w:val="007A1230"/>
    <w:rsid w:val="007A1406"/>
    <w:rsid w:val="007A1639"/>
    <w:rsid w:val="007A1A05"/>
    <w:rsid w:val="007A1A73"/>
    <w:rsid w:val="007A1BCA"/>
    <w:rsid w:val="007A1DDB"/>
    <w:rsid w:val="007A1FCE"/>
    <w:rsid w:val="007A2011"/>
    <w:rsid w:val="007A2438"/>
    <w:rsid w:val="007A26B3"/>
    <w:rsid w:val="007A2EB7"/>
    <w:rsid w:val="007A3056"/>
    <w:rsid w:val="007A32AD"/>
    <w:rsid w:val="007A35A9"/>
    <w:rsid w:val="007A3673"/>
    <w:rsid w:val="007A387C"/>
    <w:rsid w:val="007A388D"/>
    <w:rsid w:val="007A3970"/>
    <w:rsid w:val="007A399D"/>
    <w:rsid w:val="007A39D3"/>
    <w:rsid w:val="007A3A02"/>
    <w:rsid w:val="007A3AE0"/>
    <w:rsid w:val="007A3E49"/>
    <w:rsid w:val="007A4EE3"/>
    <w:rsid w:val="007A5060"/>
    <w:rsid w:val="007A50A4"/>
    <w:rsid w:val="007A51F9"/>
    <w:rsid w:val="007A5294"/>
    <w:rsid w:val="007A55EE"/>
    <w:rsid w:val="007A5B9A"/>
    <w:rsid w:val="007A5C3B"/>
    <w:rsid w:val="007A61E0"/>
    <w:rsid w:val="007A65CD"/>
    <w:rsid w:val="007A6659"/>
    <w:rsid w:val="007A676C"/>
    <w:rsid w:val="007A67CE"/>
    <w:rsid w:val="007A6A0D"/>
    <w:rsid w:val="007A6F52"/>
    <w:rsid w:val="007A741F"/>
    <w:rsid w:val="007A7C59"/>
    <w:rsid w:val="007A7E93"/>
    <w:rsid w:val="007B00F3"/>
    <w:rsid w:val="007B04BB"/>
    <w:rsid w:val="007B079F"/>
    <w:rsid w:val="007B0E7C"/>
    <w:rsid w:val="007B0FF3"/>
    <w:rsid w:val="007B1038"/>
    <w:rsid w:val="007B1132"/>
    <w:rsid w:val="007B12B9"/>
    <w:rsid w:val="007B1540"/>
    <w:rsid w:val="007B15C5"/>
    <w:rsid w:val="007B1950"/>
    <w:rsid w:val="007B1A75"/>
    <w:rsid w:val="007B1C44"/>
    <w:rsid w:val="007B1D53"/>
    <w:rsid w:val="007B1DD9"/>
    <w:rsid w:val="007B229B"/>
    <w:rsid w:val="007B22E6"/>
    <w:rsid w:val="007B244D"/>
    <w:rsid w:val="007B2616"/>
    <w:rsid w:val="007B26DF"/>
    <w:rsid w:val="007B2709"/>
    <w:rsid w:val="007B33AE"/>
    <w:rsid w:val="007B33C7"/>
    <w:rsid w:val="007B36CC"/>
    <w:rsid w:val="007B3B65"/>
    <w:rsid w:val="007B5479"/>
    <w:rsid w:val="007B55A9"/>
    <w:rsid w:val="007B56A6"/>
    <w:rsid w:val="007B593D"/>
    <w:rsid w:val="007B5BFE"/>
    <w:rsid w:val="007B6557"/>
    <w:rsid w:val="007B6D3F"/>
    <w:rsid w:val="007B71A4"/>
    <w:rsid w:val="007B72E8"/>
    <w:rsid w:val="007B73DA"/>
    <w:rsid w:val="007C0030"/>
    <w:rsid w:val="007C0290"/>
    <w:rsid w:val="007C071B"/>
    <w:rsid w:val="007C07A1"/>
    <w:rsid w:val="007C0A27"/>
    <w:rsid w:val="007C1A8D"/>
    <w:rsid w:val="007C2681"/>
    <w:rsid w:val="007C2836"/>
    <w:rsid w:val="007C284C"/>
    <w:rsid w:val="007C2B05"/>
    <w:rsid w:val="007C2B54"/>
    <w:rsid w:val="007C2F0C"/>
    <w:rsid w:val="007C3248"/>
    <w:rsid w:val="007C326C"/>
    <w:rsid w:val="007C3A5E"/>
    <w:rsid w:val="007C3BE4"/>
    <w:rsid w:val="007C3F28"/>
    <w:rsid w:val="007C45C7"/>
    <w:rsid w:val="007C4650"/>
    <w:rsid w:val="007C4EEB"/>
    <w:rsid w:val="007C5041"/>
    <w:rsid w:val="007C5133"/>
    <w:rsid w:val="007C53F4"/>
    <w:rsid w:val="007C5464"/>
    <w:rsid w:val="007C5C92"/>
    <w:rsid w:val="007C61D9"/>
    <w:rsid w:val="007C61F3"/>
    <w:rsid w:val="007C65CD"/>
    <w:rsid w:val="007C67CE"/>
    <w:rsid w:val="007C6CB8"/>
    <w:rsid w:val="007C6D20"/>
    <w:rsid w:val="007C6FAC"/>
    <w:rsid w:val="007C735D"/>
    <w:rsid w:val="007C76FD"/>
    <w:rsid w:val="007C7868"/>
    <w:rsid w:val="007C7A8D"/>
    <w:rsid w:val="007C7CF3"/>
    <w:rsid w:val="007C7F75"/>
    <w:rsid w:val="007D0263"/>
    <w:rsid w:val="007D034A"/>
    <w:rsid w:val="007D03EC"/>
    <w:rsid w:val="007D0554"/>
    <w:rsid w:val="007D0599"/>
    <w:rsid w:val="007D0739"/>
    <w:rsid w:val="007D0B77"/>
    <w:rsid w:val="007D1068"/>
    <w:rsid w:val="007D1178"/>
    <w:rsid w:val="007D117B"/>
    <w:rsid w:val="007D1457"/>
    <w:rsid w:val="007D1710"/>
    <w:rsid w:val="007D1B59"/>
    <w:rsid w:val="007D1D8C"/>
    <w:rsid w:val="007D1EEE"/>
    <w:rsid w:val="007D2256"/>
    <w:rsid w:val="007D299D"/>
    <w:rsid w:val="007D29FB"/>
    <w:rsid w:val="007D2E1F"/>
    <w:rsid w:val="007D3203"/>
    <w:rsid w:val="007D3665"/>
    <w:rsid w:val="007D36C6"/>
    <w:rsid w:val="007D3752"/>
    <w:rsid w:val="007D3B15"/>
    <w:rsid w:val="007D431C"/>
    <w:rsid w:val="007D4361"/>
    <w:rsid w:val="007D445C"/>
    <w:rsid w:val="007D46DD"/>
    <w:rsid w:val="007D4B9E"/>
    <w:rsid w:val="007D5560"/>
    <w:rsid w:val="007D559B"/>
    <w:rsid w:val="007D56E8"/>
    <w:rsid w:val="007D591A"/>
    <w:rsid w:val="007D5D16"/>
    <w:rsid w:val="007D5D44"/>
    <w:rsid w:val="007D5ED3"/>
    <w:rsid w:val="007D5FDB"/>
    <w:rsid w:val="007D60D9"/>
    <w:rsid w:val="007D646C"/>
    <w:rsid w:val="007D6862"/>
    <w:rsid w:val="007D69CD"/>
    <w:rsid w:val="007D6DB2"/>
    <w:rsid w:val="007D71E0"/>
    <w:rsid w:val="007D73EE"/>
    <w:rsid w:val="007D7511"/>
    <w:rsid w:val="007D7719"/>
    <w:rsid w:val="007D776B"/>
    <w:rsid w:val="007D7936"/>
    <w:rsid w:val="007D7998"/>
    <w:rsid w:val="007D79C2"/>
    <w:rsid w:val="007D7A89"/>
    <w:rsid w:val="007D7BAD"/>
    <w:rsid w:val="007D7C3B"/>
    <w:rsid w:val="007D7DF1"/>
    <w:rsid w:val="007E0251"/>
    <w:rsid w:val="007E031E"/>
    <w:rsid w:val="007E0346"/>
    <w:rsid w:val="007E0598"/>
    <w:rsid w:val="007E0836"/>
    <w:rsid w:val="007E0863"/>
    <w:rsid w:val="007E09FB"/>
    <w:rsid w:val="007E0A18"/>
    <w:rsid w:val="007E0C4F"/>
    <w:rsid w:val="007E0EC3"/>
    <w:rsid w:val="007E0EFC"/>
    <w:rsid w:val="007E10CE"/>
    <w:rsid w:val="007E1809"/>
    <w:rsid w:val="007E199F"/>
    <w:rsid w:val="007E1AE3"/>
    <w:rsid w:val="007E1C15"/>
    <w:rsid w:val="007E2016"/>
    <w:rsid w:val="007E2B41"/>
    <w:rsid w:val="007E2BDB"/>
    <w:rsid w:val="007E3696"/>
    <w:rsid w:val="007E3786"/>
    <w:rsid w:val="007E4195"/>
    <w:rsid w:val="007E4891"/>
    <w:rsid w:val="007E49DB"/>
    <w:rsid w:val="007E4B64"/>
    <w:rsid w:val="007E4B69"/>
    <w:rsid w:val="007E4D9B"/>
    <w:rsid w:val="007E508F"/>
    <w:rsid w:val="007E54F1"/>
    <w:rsid w:val="007E55CA"/>
    <w:rsid w:val="007E55EA"/>
    <w:rsid w:val="007E5A9E"/>
    <w:rsid w:val="007E5D41"/>
    <w:rsid w:val="007E6319"/>
    <w:rsid w:val="007E635A"/>
    <w:rsid w:val="007E6A35"/>
    <w:rsid w:val="007E6BF7"/>
    <w:rsid w:val="007E70FC"/>
    <w:rsid w:val="007E7D73"/>
    <w:rsid w:val="007E7D9B"/>
    <w:rsid w:val="007F0559"/>
    <w:rsid w:val="007F067B"/>
    <w:rsid w:val="007F08F9"/>
    <w:rsid w:val="007F15F3"/>
    <w:rsid w:val="007F16D4"/>
    <w:rsid w:val="007F17C1"/>
    <w:rsid w:val="007F1E58"/>
    <w:rsid w:val="007F2027"/>
    <w:rsid w:val="007F267E"/>
    <w:rsid w:val="007F26E2"/>
    <w:rsid w:val="007F28D7"/>
    <w:rsid w:val="007F2B79"/>
    <w:rsid w:val="007F2F0F"/>
    <w:rsid w:val="007F320B"/>
    <w:rsid w:val="007F3591"/>
    <w:rsid w:val="007F3622"/>
    <w:rsid w:val="007F3964"/>
    <w:rsid w:val="007F3B88"/>
    <w:rsid w:val="007F3E76"/>
    <w:rsid w:val="007F40E5"/>
    <w:rsid w:val="007F4297"/>
    <w:rsid w:val="007F43B2"/>
    <w:rsid w:val="007F457C"/>
    <w:rsid w:val="007F45E6"/>
    <w:rsid w:val="007F4671"/>
    <w:rsid w:val="007F4E7D"/>
    <w:rsid w:val="007F51F8"/>
    <w:rsid w:val="007F52FD"/>
    <w:rsid w:val="007F530B"/>
    <w:rsid w:val="007F55BD"/>
    <w:rsid w:val="007F56E0"/>
    <w:rsid w:val="007F5B03"/>
    <w:rsid w:val="007F5C48"/>
    <w:rsid w:val="007F5E1C"/>
    <w:rsid w:val="007F5EA3"/>
    <w:rsid w:val="007F5EBD"/>
    <w:rsid w:val="007F613D"/>
    <w:rsid w:val="007F61FF"/>
    <w:rsid w:val="007F6434"/>
    <w:rsid w:val="007F6669"/>
    <w:rsid w:val="007F66BD"/>
    <w:rsid w:val="007F68A6"/>
    <w:rsid w:val="007F69F2"/>
    <w:rsid w:val="007F6C29"/>
    <w:rsid w:val="007F6C6C"/>
    <w:rsid w:val="007F7361"/>
    <w:rsid w:val="007F7756"/>
    <w:rsid w:val="007F77FB"/>
    <w:rsid w:val="007F7923"/>
    <w:rsid w:val="007F7F04"/>
    <w:rsid w:val="00800563"/>
    <w:rsid w:val="00800610"/>
    <w:rsid w:val="008006B9"/>
    <w:rsid w:val="00800B73"/>
    <w:rsid w:val="00801A90"/>
    <w:rsid w:val="00801D1C"/>
    <w:rsid w:val="00801F94"/>
    <w:rsid w:val="0080206C"/>
    <w:rsid w:val="008020FE"/>
    <w:rsid w:val="00802227"/>
    <w:rsid w:val="0080228D"/>
    <w:rsid w:val="00802647"/>
    <w:rsid w:val="008028AE"/>
    <w:rsid w:val="00802AC3"/>
    <w:rsid w:val="00802CF8"/>
    <w:rsid w:val="00803008"/>
    <w:rsid w:val="0080306A"/>
    <w:rsid w:val="00803120"/>
    <w:rsid w:val="008031C0"/>
    <w:rsid w:val="008031C4"/>
    <w:rsid w:val="008036AA"/>
    <w:rsid w:val="00803C27"/>
    <w:rsid w:val="00803FBA"/>
    <w:rsid w:val="0080428F"/>
    <w:rsid w:val="0080436A"/>
    <w:rsid w:val="008043CD"/>
    <w:rsid w:val="00804A55"/>
    <w:rsid w:val="00804BDF"/>
    <w:rsid w:val="00804FAA"/>
    <w:rsid w:val="00805105"/>
    <w:rsid w:val="00805654"/>
    <w:rsid w:val="008056DB"/>
    <w:rsid w:val="008056F1"/>
    <w:rsid w:val="008057CF"/>
    <w:rsid w:val="00805E4D"/>
    <w:rsid w:val="008061BA"/>
    <w:rsid w:val="00806497"/>
    <w:rsid w:val="008068F9"/>
    <w:rsid w:val="00806AB4"/>
    <w:rsid w:val="00806AD4"/>
    <w:rsid w:val="00806AE3"/>
    <w:rsid w:val="008071EE"/>
    <w:rsid w:val="008072C4"/>
    <w:rsid w:val="00807423"/>
    <w:rsid w:val="00807517"/>
    <w:rsid w:val="00807730"/>
    <w:rsid w:val="00807AAA"/>
    <w:rsid w:val="00807BB9"/>
    <w:rsid w:val="00807C33"/>
    <w:rsid w:val="00807E27"/>
    <w:rsid w:val="00807FAD"/>
    <w:rsid w:val="008104BB"/>
    <w:rsid w:val="00810951"/>
    <w:rsid w:val="00810C18"/>
    <w:rsid w:val="008113F2"/>
    <w:rsid w:val="008114BD"/>
    <w:rsid w:val="008115C7"/>
    <w:rsid w:val="008116C4"/>
    <w:rsid w:val="00811893"/>
    <w:rsid w:val="00811A10"/>
    <w:rsid w:val="00811AE1"/>
    <w:rsid w:val="00811E61"/>
    <w:rsid w:val="00812608"/>
    <w:rsid w:val="00812690"/>
    <w:rsid w:val="008126D3"/>
    <w:rsid w:val="00812F6D"/>
    <w:rsid w:val="0081304B"/>
    <w:rsid w:val="00813462"/>
    <w:rsid w:val="0081376D"/>
    <w:rsid w:val="00814029"/>
    <w:rsid w:val="008140AB"/>
    <w:rsid w:val="00814BA2"/>
    <w:rsid w:val="00815244"/>
    <w:rsid w:val="00815A00"/>
    <w:rsid w:val="00815A4B"/>
    <w:rsid w:val="008163B2"/>
    <w:rsid w:val="008165CD"/>
    <w:rsid w:val="008165CF"/>
    <w:rsid w:val="008168E6"/>
    <w:rsid w:val="00817019"/>
    <w:rsid w:val="00820C66"/>
    <w:rsid w:val="00820D2C"/>
    <w:rsid w:val="00820D57"/>
    <w:rsid w:val="00820F47"/>
    <w:rsid w:val="008211F9"/>
    <w:rsid w:val="008214BD"/>
    <w:rsid w:val="0082150F"/>
    <w:rsid w:val="008216C6"/>
    <w:rsid w:val="0082191D"/>
    <w:rsid w:val="00821B21"/>
    <w:rsid w:val="00821B42"/>
    <w:rsid w:val="00821C65"/>
    <w:rsid w:val="00821D4F"/>
    <w:rsid w:val="00822018"/>
    <w:rsid w:val="0082264D"/>
    <w:rsid w:val="00822986"/>
    <w:rsid w:val="00822C4C"/>
    <w:rsid w:val="00822D19"/>
    <w:rsid w:val="00823006"/>
    <w:rsid w:val="0082327B"/>
    <w:rsid w:val="0082412E"/>
    <w:rsid w:val="008242A2"/>
    <w:rsid w:val="00824429"/>
    <w:rsid w:val="008246E7"/>
    <w:rsid w:val="00824AA7"/>
    <w:rsid w:val="00824CFE"/>
    <w:rsid w:val="00824DCD"/>
    <w:rsid w:val="00824DFE"/>
    <w:rsid w:val="008253AB"/>
    <w:rsid w:val="008257BA"/>
    <w:rsid w:val="00825974"/>
    <w:rsid w:val="00825F41"/>
    <w:rsid w:val="00825FD4"/>
    <w:rsid w:val="008262F2"/>
    <w:rsid w:val="00826487"/>
    <w:rsid w:val="00826D9D"/>
    <w:rsid w:val="00826D9E"/>
    <w:rsid w:val="0082754D"/>
    <w:rsid w:val="00827661"/>
    <w:rsid w:val="00827A91"/>
    <w:rsid w:val="00827AF3"/>
    <w:rsid w:val="00830272"/>
    <w:rsid w:val="00830DD0"/>
    <w:rsid w:val="00830ECF"/>
    <w:rsid w:val="008313A6"/>
    <w:rsid w:val="00831437"/>
    <w:rsid w:val="00831F2A"/>
    <w:rsid w:val="00832074"/>
    <w:rsid w:val="00832386"/>
    <w:rsid w:val="0083270C"/>
    <w:rsid w:val="0083335A"/>
    <w:rsid w:val="008333EC"/>
    <w:rsid w:val="008333F3"/>
    <w:rsid w:val="00833483"/>
    <w:rsid w:val="0083361E"/>
    <w:rsid w:val="00833C30"/>
    <w:rsid w:val="00833DBE"/>
    <w:rsid w:val="00833F18"/>
    <w:rsid w:val="00833F21"/>
    <w:rsid w:val="008349B3"/>
    <w:rsid w:val="00834B25"/>
    <w:rsid w:val="00834B89"/>
    <w:rsid w:val="00835182"/>
    <w:rsid w:val="00835191"/>
    <w:rsid w:val="00835207"/>
    <w:rsid w:val="00835543"/>
    <w:rsid w:val="00835D1B"/>
    <w:rsid w:val="00835DC7"/>
    <w:rsid w:val="00836494"/>
    <w:rsid w:val="008365D4"/>
    <w:rsid w:val="00836921"/>
    <w:rsid w:val="0083696F"/>
    <w:rsid w:val="0083698A"/>
    <w:rsid w:val="00837014"/>
    <w:rsid w:val="0083726B"/>
    <w:rsid w:val="00837278"/>
    <w:rsid w:val="0083792D"/>
    <w:rsid w:val="00837976"/>
    <w:rsid w:val="00837F01"/>
    <w:rsid w:val="00837F6F"/>
    <w:rsid w:val="008407DB"/>
    <w:rsid w:val="008409C7"/>
    <w:rsid w:val="00840C35"/>
    <w:rsid w:val="00840E3D"/>
    <w:rsid w:val="00840EA2"/>
    <w:rsid w:val="008411B0"/>
    <w:rsid w:val="00841EC3"/>
    <w:rsid w:val="0084220E"/>
    <w:rsid w:val="008422A3"/>
    <w:rsid w:val="008424A1"/>
    <w:rsid w:val="008424C1"/>
    <w:rsid w:val="008425CC"/>
    <w:rsid w:val="00842956"/>
    <w:rsid w:val="00842C75"/>
    <w:rsid w:val="00842CC0"/>
    <w:rsid w:val="00843705"/>
    <w:rsid w:val="00843B55"/>
    <w:rsid w:val="00843D1B"/>
    <w:rsid w:val="00843F13"/>
    <w:rsid w:val="008441C5"/>
    <w:rsid w:val="0084439B"/>
    <w:rsid w:val="00844732"/>
    <w:rsid w:val="008449B5"/>
    <w:rsid w:val="00844E48"/>
    <w:rsid w:val="00844EC9"/>
    <w:rsid w:val="00845253"/>
    <w:rsid w:val="0084535B"/>
    <w:rsid w:val="00845577"/>
    <w:rsid w:val="008455CD"/>
    <w:rsid w:val="00845881"/>
    <w:rsid w:val="0084597B"/>
    <w:rsid w:val="008459FB"/>
    <w:rsid w:val="00845B6E"/>
    <w:rsid w:val="00845C32"/>
    <w:rsid w:val="00845C60"/>
    <w:rsid w:val="00845F63"/>
    <w:rsid w:val="008462B1"/>
    <w:rsid w:val="008462CB"/>
    <w:rsid w:val="0084634C"/>
    <w:rsid w:val="0084678C"/>
    <w:rsid w:val="0084688F"/>
    <w:rsid w:val="00846C70"/>
    <w:rsid w:val="00846E83"/>
    <w:rsid w:val="00846ED1"/>
    <w:rsid w:val="00846EEA"/>
    <w:rsid w:val="0084717C"/>
    <w:rsid w:val="0084722C"/>
    <w:rsid w:val="00847356"/>
    <w:rsid w:val="00847591"/>
    <w:rsid w:val="00847789"/>
    <w:rsid w:val="00847849"/>
    <w:rsid w:val="00847871"/>
    <w:rsid w:val="00847B7A"/>
    <w:rsid w:val="00847F98"/>
    <w:rsid w:val="008500FE"/>
    <w:rsid w:val="008501C5"/>
    <w:rsid w:val="008503CB"/>
    <w:rsid w:val="00850947"/>
    <w:rsid w:val="00850B5D"/>
    <w:rsid w:val="00850EFB"/>
    <w:rsid w:val="00851307"/>
    <w:rsid w:val="00851619"/>
    <w:rsid w:val="00851716"/>
    <w:rsid w:val="00851ABF"/>
    <w:rsid w:val="00852083"/>
    <w:rsid w:val="0085253F"/>
    <w:rsid w:val="008526E8"/>
    <w:rsid w:val="00852B20"/>
    <w:rsid w:val="00852C00"/>
    <w:rsid w:val="00853445"/>
    <w:rsid w:val="00853770"/>
    <w:rsid w:val="008538B5"/>
    <w:rsid w:val="00853985"/>
    <w:rsid w:val="00853A9E"/>
    <w:rsid w:val="00854180"/>
    <w:rsid w:val="0085433D"/>
    <w:rsid w:val="008545FC"/>
    <w:rsid w:val="008546D2"/>
    <w:rsid w:val="0085476D"/>
    <w:rsid w:val="0085494E"/>
    <w:rsid w:val="00854CE3"/>
    <w:rsid w:val="0085535A"/>
    <w:rsid w:val="00855890"/>
    <w:rsid w:val="00856494"/>
    <w:rsid w:val="008564B7"/>
    <w:rsid w:val="00856793"/>
    <w:rsid w:val="008567B6"/>
    <w:rsid w:val="00856B0C"/>
    <w:rsid w:val="00856DD0"/>
    <w:rsid w:val="0085717C"/>
    <w:rsid w:val="00857343"/>
    <w:rsid w:val="00857471"/>
    <w:rsid w:val="00857797"/>
    <w:rsid w:val="00857867"/>
    <w:rsid w:val="00857F52"/>
    <w:rsid w:val="00860222"/>
    <w:rsid w:val="0086079C"/>
    <w:rsid w:val="008608A7"/>
    <w:rsid w:val="008608CD"/>
    <w:rsid w:val="00860A9A"/>
    <w:rsid w:val="00861319"/>
    <w:rsid w:val="00861631"/>
    <w:rsid w:val="00861994"/>
    <w:rsid w:val="00862159"/>
    <w:rsid w:val="00862201"/>
    <w:rsid w:val="00862286"/>
    <w:rsid w:val="0086255B"/>
    <w:rsid w:val="00863102"/>
    <w:rsid w:val="00863392"/>
    <w:rsid w:val="008635F3"/>
    <w:rsid w:val="00863634"/>
    <w:rsid w:val="008637B1"/>
    <w:rsid w:val="0086399D"/>
    <w:rsid w:val="00863AF2"/>
    <w:rsid w:val="008644BD"/>
    <w:rsid w:val="00865403"/>
    <w:rsid w:val="008654AE"/>
    <w:rsid w:val="008654BF"/>
    <w:rsid w:val="00865714"/>
    <w:rsid w:val="008658A3"/>
    <w:rsid w:val="0086594E"/>
    <w:rsid w:val="00865A89"/>
    <w:rsid w:val="00865D16"/>
    <w:rsid w:val="00865D41"/>
    <w:rsid w:val="008661B2"/>
    <w:rsid w:val="00866661"/>
    <w:rsid w:val="008668D8"/>
    <w:rsid w:val="0086695A"/>
    <w:rsid w:val="00866A26"/>
    <w:rsid w:val="00866F34"/>
    <w:rsid w:val="00867425"/>
    <w:rsid w:val="00867750"/>
    <w:rsid w:val="008677D2"/>
    <w:rsid w:val="008678C7"/>
    <w:rsid w:val="00867A59"/>
    <w:rsid w:val="00867FA8"/>
    <w:rsid w:val="00870083"/>
    <w:rsid w:val="008700DB"/>
    <w:rsid w:val="0087014D"/>
    <w:rsid w:val="00870782"/>
    <w:rsid w:val="00870B70"/>
    <w:rsid w:val="00870D97"/>
    <w:rsid w:val="00870E43"/>
    <w:rsid w:val="00871119"/>
    <w:rsid w:val="0087116C"/>
    <w:rsid w:val="00871187"/>
    <w:rsid w:val="00871345"/>
    <w:rsid w:val="00871410"/>
    <w:rsid w:val="0087163C"/>
    <w:rsid w:val="00871A17"/>
    <w:rsid w:val="00871A50"/>
    <w:rsid w:val="00872238"/>
    <w:rsid w:val="008726B7"/>
    <w:rsid w:val="008726F0"/>
    <w:rsid w:val="00873220"/>
    <w:rsid w:val="00873617"/>
    <w:rsid w:val="00873866"/>
    <w:rsid w:val="00873AB6"/>
    <w:rsid w:val="00873AE1"/>
    <w:rsid w:val="00873C3B"/>
    <w:rsid w:val="00874734"/>
    <w:rsid w:val="00874740"/>
    <w:rsid w:val="00874B5C"/>
    <w:rsid w:val="00874F82"/>
    <w:rsid w:val="00875157"/>
    <w:rsid w:val="00875606"/>
    <w:rsid w:val="0087563E"/>
    <w:rsid w:val="008756B8"/>
    <w:rsid w:val="00875BA9"/>
    <w:rsid w:val="00875DEE"/>
    <w:rsid w:val="0087632E"/>
    <w:rsid w:val="008766AE"/>
    <w:rsid w:val="00876908"/>
    <w:rsid w:val="008769BE"/>
    <w:rsid w:val="008769FF"/>
    <w:rsid w:val="00876B3B"/>
    <w:rsid w:val="00876B54"/>
    <w:rsid w:val="00876CA4"/>
    <w:rsid w:val="00876F45"/>
    <w:rsid w:val="0087736E"/>
    <w:rsid w:val="0087756A"/>
    <w:rsid w:val="008778C7"/>
    <w:rsid w:val="00877A02"/>
    <w:rsid w:val="00877AEC"/>
    <w:rsid w:val="00877BA9"/>
    <w:rsid w:val="00877BC6"/>
    <w:rsid w:val="00877DCE"/>
    <w:rsid w:val="00877F83"/>
    <w:rsid w:val="00880217"/>
    <w:rsid w:val="00880511"/>
    <w:rsid w:val="008807EB"/>
    <w:rsid w:val="00880A51"/>
    <w:rsid w:val="00880BE4"/>
    <w:rsid w:val="00880F54"/>
    <w:rsid w:val="008811E4"/>
    <w:rsid w:val="00881777"/>
    <w:rsid w:val="0088196E"/>
    <w:rsid w:val="00882B7C"/>
    <w:rsid w:val="00882C9C"/>
    <w:rsid w:val="00883064"/>
    <w:rsid w:val="0088306F"/>
    <w:rsid w:val="00883AB5"/>
    <w:rsid w:val="00883ABD"/>
    <w:rsid w:val="00883BBD"/>
    <w:rsid w:val="00884380"/>
    <w:rsid w:val="0088447C"/>
    <w:rsid w:val="00884970"/>
    <w:rsid w:val="00884A52"/>
    <w:rsid w:val="00884CD7"/>
    <w:rsid w:val="0088520B"/>
    <w:rsid w:val="0088554C"/>
    <w:rsid w:val="00885997"/>
    <w:rsid w:val="0088607B"/>
    <w:rsid w:val="00886494"/>
    <w:rsid w:val="00886BC1"/>
    <w:rsid w:val="0088785E"/>
    <w:rsid w:val="00887885"/>
    <w:rsid w:val="008900BA"/>
    <w:rsid w:val="00890154"/>
    <w:rsid w:val="008904AE"/>
    <w:rsid w:val="00890589"/>
    <w:rsid w:val="008905CA"/>
    <w:rsid w:val="00890AC9"/>
    <w:rsid w:val="00890CA6"/>
    <w:rsid w:val="00891054"/>
    <w:rsid w:val="00891275"/>
    <w:rsid w:val="00891489"/>
    <w:rsid w:val="00891586"/>
    <w:rsid w:val="00891CBE"/>
    <w:rsid w:val="00891EB7"/>
    <w:rsid w:val="008921A1"/>
    <w:rsid w:val="00892977"/>
    <w:rsid w:val="00892C0F"/>
    <w:rsid w:val="00892C23"/>
    <w:rsid w:val="00892C77"/>
    <w:rsid w:val="00892D17"/>
    <w:rsid w:val="00892E80"/>
    <w:rsid w:val="00893326"/>
    <w:rsid w:val="0089360A"/>
    <w:rsid w:val="00893A16"/>
    <w:rsid w:val="00893ACF"/>
    <w:rsid w:val="00893B5E"/>
    <w:rsid w:val="00893F19"/>
    <w:rsid w:val="008940F4"/>
    <w:rsid w:val="00894253"/>
    <w:rsid w:val="008943E6"/>
    <w:rsid w:val="008946B7"/>
    <w:rsid w:val="008947C8"/>
    <w:rsid w:val="00894B43"/>
    <w:rsid w:val="00894F61"/>
    <w:rsid w:val="00894F67"/>
    <w:rsid w:val="00895821"/>
    <w:rsid w:val="00895863"/>
    <w:rsid w:val="00895A51"/>
    <w:rsid w:val="00895ABB"/>
    <w:rsid w:val="00895CAD"/>
    <w:rsid w:val="00895E48"/>
    <w:rsid w:val="008967AE"/>
    <w:rsid w:val="00896AE7"/>
    <w:rsid w:val="00896E54"/>
    <w:rsid w:val="008971FB"/>
    <w:rsid w:val="00897426"/>
    <w:rsid w:val="008975D0"/>
    <w:rsid w:val="00897703"/>
    <w:rsid w:val="00897BE1"/>
    <w:rsid w:val="008A0090"/>
    <w:rsid w:val="008A0249"/>
    <w:rsid w:val="008A072A"/>
    <w:rsid w:val="008A0934"/>
    <w:rsid w:val="008A0A2E"/>
    <w:rsid w:val="008A0BF2"/>
    <w:rsid w:val="008A0CC5"/>
    <w:rsid w:val="008A0F3E"/>
    <w:rsid w:val="008A1903"/>
    <w:rsid w:val="008A1AF7"/>
    <w:rsid w:val="008A1D73"/>
    <w:rsid w:val="008A1E59"/>
    <w:rsid w:val="008A206C"/>
    <w:rsid w:val="008A2081"/>
    <w:rsid w:val="008A2936"/>
    <w:rsid w:val="008A2B38"/>
    <w:rsid w:val="008A2DD6"/>
    <w:rsid w:val="008A31F0"/>
    <w:rsid w:val="008A337A"/>
    <w:rsid w:val="008A384F"/>
    <w:rsid w:val="008A3901"/>
    <w:rsid w:val="008A3DDE"/>
    <w:rsid w:val="008A3F71"/>
    <w:rsid w:val="008A42D5"/>
    <w:rsid w:val="008A43FE"/>
    <w:rsid w:val="008A5119"/>
    <w:rsid w:val="008A5780"/>
    <w:rsid w:val="008A59C8"/>
    <w:rsid w:val="008A5E64"/>
    <w:rsid w:val="008A626E"/>
    <w:rsid w:val="008A6469"/>
    <w:rsid w:val="008A6793"/>
    <w:rsid w:val="008A67DF"/>
    <w:rsid w:val="008A6C50"/>
    <w:rsid w:val="008A6EF8"/>
    <w:rsid w:val="008A6F42"/>
    <w:rsid w:val="008A75D5"/>
    <w:rsid w:val="008B0124"/>
    <w:rsid w:val="008B025A"/>
    <w:rsid w:val="008B031F"/>
    <w:rsid w:val="008B04C5"/>
    <w:rsid w:val="008B05BF"/>
    <w:rsid w:val="008B0CAD"/>
    <w:rsid w:val="008B1076"/>
    <w:rsid w:val="008B11C6"/>
    <w:rsid w:val="008B13C5"/>
    <w:rsid w:val="008B13EA"/>
    <w:rsid w:val="008B1AB5"/>
    <w:rsid w:val="008B1CBF"/>
    <w:rsid w:val="008B1DCA"/>
    <w:rsid w:val="008B1F1F"/>
    <w:rsid w:val="008B1F2E"/>
    <w:rsid w:val="008B232F"/>
    <w:rsid w:val="008B28DE"/>
    <w:rsid w:val="008B2AF3"/>
    <w:rsid w:val="008B2DDC"/>
    <w:rsid w:val="008B2EC6"/>
    <w:rsid w:val="008B3600"/>
    <w:rsid w:val="008B3B60"/>
    <w:rsid w:val="008B3E0A"/>
    <w:rsid w:val="008B4881"/>
    <w:rsid w:val="008B4B01"/>
    <w:rsid w:val="008B4E25"/>
    <w:rsid w:val="008B4EC7"/>
    <w:rsid w:val="008B51C5"/>
    <w:rsid w:val="008B56A3"/>
    <w:rsid w:val="008B5831"/>
    <w:rsid w:val="008B58C0"/>
    <w:rsid w:val="008B5B83"/>
    <w:rsid w:val="008B5B8B"/>
    <w:rsid w:val="008B5BDA"/>
    <w:rsid w:val="008B5C26"/>
    <w:rsid w:val="008B5CC4"/>
    <w:rsid w:val="008B6139"/>
    <w:rsid w:val="008B63C2"/>
    <w:rsid w:val="008B659E"/>
    <w:rsid w:val="008B6675"/>
    <w:rsid w:val="008B69A0"/>
    <w:rsid w:val="008B69FB"/>
    <w:rsid w:val="008B6BE8"/>
    <w:rsid w:val="008B7044"/>
    <w:rsid w:val="008B7655"/>
    <w:rsid w:val="008C0036"/>
    <w:rsid w:val="008C0412"/>
    <w:rsid w:val="008C0651"/>
    <w:rsid w:val="008C08E9"/>
    <w:rsid w:val="008C094C"/>
    <w:rsid w:val="008C0B68"/>
    <w:rsid w:val="008C0F03"/>
    <w:rsid w:val="008C10D7"/>
    <w:rsid w:val="008C139A"/>
    <w:rsid w:val="008C14F0"/>
    <w:rsid w:val="008C1890"/>
    <w:rsid w:val="008C234E"/>
    <w:rsid w:val="008C2362"/>
    <w:rsid w:val="008C24B4"/>
    <w:rsid w:val="008C28DA"/>
    <w:rsid w:val="008C2A11"/>
    <w:rsid w:val="008C2C41"/>
    <w:rsid w:val="008C2E97"/>
    <w:rsid w:val="008C30B3"/>
    <w:rsid w:val="008C317A"/>
    <w:rsid w:val="008C3407"/>
    <w:rsid w:val="008C340E"/>
    <w:rsid w:val="008C3697"/>
    <w:rsid w:val="008C3917"/>
    <w:rsid w:val="008C394D"/>
    <w:rsid w:val="008C3A99"/>
    <w:rsid w:val="008C3B31"/>
    <w:rsid w:val="008C4025"/>
    <w:rsid w:val="008C40A5"/>
    <w:rsid w:val="008C4220"/>
    <w:rsid w:val="008C4631"/>
    <w:rsid w:val="008C4B33"/>
    <w:rsid w:val="008C4F2A"/>
    <w:rsid w:val="008C51B0"/>
    <w:rsid w:val="008C52DB"/>
    <w:rsid w:val="008C53C8"/>
    <w:rsid w:val="008C541A"/>
    <w:rsid w:val="008C5971"/>
    <w:rsid w:val="008C5BC6"/>
    <w:rsid w:val="008C5F45"/>
    <w:rsid w:val="008C62A1"/>
    <w:rsid w:val="008C6476"/>
    <w:rsid w:val="008C64AD"/>
    <w:rsid w:val="008C6AAF"/>
    <w:rsid w:val="008C77AB"/>
    <w:rsid w:val="008C7B5F"/>
    <w:rsid w:val="008D00F7"/>
    <w:rsid w:val="008D03A1"/>
    <w:rsid w:val="008D058A"/>
    <w:rsid w:val="008D0D06"/>
    <w:rsid w:val="008D0D10"/>
    <w:rsid w:val="008D0D71"/>
    <w:rsid w:val="008D0F23"/>
    <w:rsid w:val="008D1068"/>
    <w:rsid w:val="008D139B"/>
    <w:rsid w:val="008D1896"/>
    <w:rsid w:val="008D1AE5"/>
    <w:rsid w:val="008D1CAD"/>
    <w:rsid w:val="008D1EC6"/>
    <w:rsid w:val="008D1EF9"/>
    <w:rsid w:val="008D1FCB"/>
    <w:rsid w:val="008D1FD6"/>
    <w:rsid w:val="008D20C7"/>
    <w:rsid w:val="008D2D37"/>
    <w:rsid w:val="008D30DC"/>
    <w:rsid w:val="008D3208"/>
    <w:rsid w:val="008D326F"/>
    <w:rsid w:val="008D3644"/>
    <w:rsid w:val="008D3AF7"/>
    <w:rsid w:val="008D3C09"/>
    <w:rsid w:val="008D3EF1"/>
    <w:rsid w:val="008D41B3"/>
    <w:rsid w:val="008D42B3"/>
    <w:rsid w:val="008D44BD"/>
    <w:rsid w:val="008D44CD"/>
    <w:rsid w:val="008D46A5"/>
    <w:rsid w:val="008D4838"/>
    <w:rsid w:val="008D494C"/>
    <w:rsid w:val="008D4E4A"/>
    <w:rsid w:val="008D4F3F"/>
    <w:rsid w:val="008D51DC"/>
    <w:rsid w:val="008D5439"/>
    <w:rsid w:val="008D578B"/>
    <w:rsid w:val="008D63BC"/>
    <w:rsid w:val="008D653E"/>
    <w:rsid w:val="008D6BC9"/>
    <w:rsid w:val="008D6C1E"/>
    <w:rsid w:val="008D6E72"/>
    <w:rsid w:val="008D70D7"/>
    <w:rsid w:val="008D77B4"/>
    <w:rsid w:val="008D7F94"/>
    <w:rsid w:val="008E020D"/>
    <w:rsid w:val="008E03A5"/>
    <w:rsid w:val="008E04D2"/>
    <w:rsid w:val="008E094C"/>
    <w:rsid w:val="008E09D4"/>
    <w:rsid w:val="008E0A73"/>
    <w:rsid w:val="008E0CBB"/>
    <w:rsid w:val="008E14E4"/>
    <w:rsid w:val="008E163D"/>
    <w:rsid w:val="008E1942"/>
    <w:rsid w:val="008E20C5"/>
    <w:rsid w:val="008E2130"/>
    <w:rsid w:val="008E238E"/>
    <w:rsid w:val="008E2543"/>
    <w:rsid w:val="008E25C8"/>
    <w:rsid w:val="008E2702"/>
    <w:rsid w:val="008E2768"/>
    <w:rsid w:val="008E278E"/>
    <w:rsid w:val="008E28E7"/>
    <w:rsid w:val="008E2EDF"/>
    <w:rsid w:val="008E3045"/>
    <w:rsid w:val="008E342A"/>
    <w:rsid w:val="008E34E1"/>
    <w:rsid w:val="008E3D69"/>
    <w:rsid w:val="008E40CA"/>
    <w:rsid w:val="008E421E"/>
    <w:rsid w:val="008E43D6"/>
    <w:rsid w:val="008E473B"/>
    <w:rsid w:val="008E47D3"/>
    <w:rsid w:val="008E487B"/>
    <w:rsid w:val="008E4DF8"/>
    <w:rsid w:val="008E4EC6"/>
    <w:rsid w:val="008E527C"/>
    <w:rsid w:val="008E5309"/>
    <w:rsid w:val="008E5636"/>
    <w:rsid w:val="008E5BA1"/>
    <w:rsid w:val="008E5ECB"/>
    <w:rsid w:val="008E5FA4"/>
    <w:rsid w:val="008E6186"/>
    <w:rsid w:val="008E61E4"/>
    <w:rsid w:val="008E6261"/>
    <w:rsid w:val="008E66BC"/>
    <w:rsid w:val="008E6735"/>
    <w:rsid w:val="008E6812"/>
    <w:rsid w:val="008E6C99"/>
    <w:rsid w:val="008E6DCE"/>
    <w:rsid w:val="008E6F36"/>
    <w:rsid w:val="008E70F5"/>
    <w:rsid w:val="008E71AD"/>
    <w:rsid w:val="008E7591"/>
    <w:rsid w:val="008E7A0C"/>
    <w:rsid w:val="008F00A7"/>
    <w:rsid w:val="008F02FF"/>
    <w:rsid w:val="008F046D"/>
    <w:rsid w:val="008F0713"/>
    <w:rsid w:val="008F0901"/>
    <w:rsid w:val="008F0DE5"/>
    <w:rsid w:val="008F0E49"/>
    <w:rsid w:val="008F1D18"/>
    <w:rsid w:val="008F2A97"/>
    <w:rsid w:val="008F2E20"/>
    <w:rsid w:val="008F2FBF"/>
    <w:rsid w:val="008F3B96"/>
    <w:rsid w:val="008F3BA9"/>
    <w:rsid w:val="008F3BDE"/>
    <w:rsid w:val="008F4034"/>
    <w:rsid w:val="008F4078"/>
    <w:rsid w:val="008F4503"/>
    <w:rsid w:val="008F4651"/>
    <w:rsid w:val="008F4933"/>
    <w:rsid w:val="008F4B3F"/>
    <w:rsid w:val="008F4FD0"/>
    <w:rsid w:val="008F52EA"/>
    <w:rsid w:val="008F5555"/>
    <w:rsid w:val="008F556F"/>
    <w:rsid w:val="008F566C"/>
    <w:rsid w:val="008F5685"/>
    <w:rsid w:val="008F570F"/>
    <w:rsid w:val="008F572D"/>
    <w:rsid w:val="008F5735"/>
    <w:rsid w:val="008F59FB"/>
    <w:rsid w:val="008F5C02"/>
    <w:rsid w:val="008F5FEC"/>
    <w:rsid w:val="008F6367"/>
    <w:rsid w:val="008F6860"/>
    <w:rsid w:val="008F68B9"/>
    <w:rsid w:val="008F68E8"/>
    <w:rsid w:val="008F6981"/>
    <w:rsid w:val="008F713E"/>
    <w:rsid w:val="008F715C"/>
    <w:rsid w:val="008F7405"/>
    <w:rsid w:val="008F7640"/>
    <w:rsid w:val="008F7C3B"/>
    <w:rsid w:val="008F7D2A"/>
    <w:rsid w:val="008F7D63"/>
    <w:rsid w:val="009000D5"/>
    <w:rsid w:val="009000EA"/>
    <w:rsid w:val="0090052F"/>
    <w:rsid w:val="00900638"/>
    <w:rsid w:val="0090076F"/>
    <w:rsid w:val="00900E95"/>
    <w:rsid w:val="00900F5F"/>
    <w:rsid w:val="0090124D"/>
    <w:rsid w:val="0090173E"/>
    <w:rsid w:val="00901CD3"/>
    <w:rsid w:val="0090208F"/>
    <w:rsid w:val="00902177"/>
    <w:rsid w:val="009023AB"/>
    <w:rsid w:val="0090259F"/>
    <w:rsid w:val="00902608"/>
    <w:rsid w:val="00902D27"/>
    <w:rsid w:val="00902E59"/>
    <w:rsid w:val="0090301A"/>
    <w:rsid w:val="0090312A"/>
    <w:rsid w:val="00903602"/>
    <w:rsid w:val="00903698"/>
    <w:rsid w:val="0090389A"/>
    <w:rsid w:val="00903BA0"/>
    <w:rsid w:val="009045E6"/>
    <w:rsid w:val="00904821"/>
    <w:rsid w:val="00904CBE"/>
    <w:rsid w:val="00904D7A"/>
    <w:rsid w:val="00904F43"/>
    <w:rsid w:val="00905831"/>
    <w:rsid w:val="00905B57"/>
    <w:rsid w:val="00905C57"/>
    <w:rsid w:val="00905C5E"/>
    <w:rsid w:val="00905DA9"/>
    <w:rsid w:val="00905E99"/>
    <w:rsid w:val="00906033"/>
    <w:rsid w:val="0090631C"/>
    <w:rsid w:val="0090631D"/>
    <w:rsid w:val="00906398"/>
    <w:rsid w:val="00906CD2"/>
    <w:rsid w:val="00906E35"/>
    <w:rsid w:val="00906EFC"/>
    <w:rsid w:val="00906F21"/>
    <w:rsid w:val="0090739B"/>
    <w:rsid w:val="009074A3"/>
    <w:rsid w:val="009074F6"/>
    <w:rsid w:val="0090750B"/>
    <w:rsid w:val="00907992"/>
    <w:rsid w:val="009079A6"/>
    <w:rsid w:val="00907C99"/>
    <w:rsid w:val="00907E9B"/>
    <w:rsid w:val="00910A16"/>
    <w:rsid w:val="00911168"/>
    <w:rsid w:val="00911F62"/>
    <w:rsid w:val="00912031"/>
    <w:rsid w:val="00913263"/>
    <w:rsid w:val="0091369C"/>
    <w:rsid w:val="009136C4"/>
    <w:rsid w:val="00913728"/>
    <w:rsid w:val="0091374F"/>
    <w:rsid w:val="009139C7"/>
    <w:rsid w:val="00914061"/>
    <w:rsid w:val="0091421C"/>
    <w:rsid w:val="0091443E"/>
    <w:rsid w:val="009144CF"/>
    <w:rsid w:val="009149AD"/>
    <w:rsid w:val="00914FD0"/>
    <w:rsid w:val="0091533A"/>
    <w:rsid w:val="009157CA"/>
    <w:rsid w:val="00915AC5"/>
    <w:rsid w:val="00915B27"/>
    <w:rsid w:val="00915B30"/>
    <w:rsid w:val="00915F4D"/>
    <w:rsid w:val="00916032"/>
    <w:rsid w:val="009162F9"/>
    <w:rsid w:val="009166F1"/>
    <w:rsid w:val="00917210"/>
    <w:rsid w:val="0091766E"/>
    <w:rsid w:val="00917700"/>
    <w:rsid w:val="00917825"/>
    <w:rsid w:val="00917B35"/>
    <w:rsid w:val="00917D30"/>
    <w:rsid w:val="009201FE"/>
    <w:rsid w:val="0092049B"/>
    <w:rsid w:val="009205DE"/>
    <w:rsid w:val="009206A8"/>
    <w:rsid w:val="00920800"/>
    <w:rsid w:val="0092081E"/>
    <w:rsid w:val="0092098F"/>
    <w:rsid w:val="00921463"/>
    <w:rsid w:val="009216AD"/>
    <w:rsid w:val="00921744"/>
    <w:rsid w:val="009217C0"/>
    <w:rsid w:val="00921AD8"/>
    <w:rsid w:val="00921E8C"/>
    <w:rsid w:val="0092212C"/>
    <w:rsid w:val="009225D4"/>
    <w:rsid w:val="009226AF"/>
    <w:rsid w:val="00922D79"/>
    <w:rsid w:val="0092369E"/>
    <w:rsid w:val="009237F8"/>
    <w:rsid w:val="00923E06"/>
    <w:rsid w:val="009240E3"/>
    <w:rsid w:val="0092478E"/>
    <w:rsid w:val="0092486D"/>
    <w:rsid w:val="00924962"/>
    <w:rsid w:val="00924B8B"/>
    <w:rsid w:val="00924ED3"/>
    <w:rsid w:val="00925023"/>
    <w:rsid w:val="0092586C"/>
    <w:rsid w:val="00925B71"/>
    <w:rsid w:val="00925D4A"/>
    <w:rsid w:val="00926175"/>
    <w:rsid w:val="009261E6"/>
    <w:rsid w:val="00926701"/>
    <w:rsid w:val="0092674E"/>
    <w:rsid w:val="00926AA0"/>
    <w:rsid w:val="00927494"/>
    <w:rsid w:val="009275A1"/>
    <w:rsid w:val="00927771"/>
    <w:rsid w:val="00927E9C"/>
    <w:rsid w:val="00927EA5"/>
    <w:rsid w:val="00930345"/>
    <w:rsid w:val="00930667"/>
    <w:rsid w:val="00930989"/>
    <w:rsid w:val="00930F78"/>
    <w:rsid w:val="00931213"/>
    <w:rsid w:val="00931420"/>
    <w:rsid w:val="0093155E"/>
    <w:rsid w:val="0093188D"/>
    <w:rsid w:val="00931E46"/>
    <w:rsid w:val="00931E95"/>
    <w:rsid w:val="00931ED0"/>
    <w:rsid w:val="00932109"/>
    <w:rsid w:val="0093262E"/>
    <w:rsid w:val="00932742"/>
    <w:rsid w:val="00932788"/>
    <w:rsid w:val="00932B5E"/>
    <w:rsid w:val="00932C26"/>
    <w:rsid w:val="009330FD"/>
    <w:rsid w:val="00933236"/>
    <w:rsid w:val="00933405"/>
    <w:rsid w:val="00933645"/>
    <w:rsid w:val="009337D6"/>
    <w:rsid w:val="00933874"/>
    <w:rsid w:val="00933A99"/>
    <w:rsid w:val="00933CDC"/>
    <w:rsid w:val="00933D2A"/>
    <w:rsid w:val="0093413A"/>
    <w:rsid w:val="00934692"/>
    <w:rsid w:val="00934717"/>
    <w:rsid w:val="0093479E"/>
    <w:rsid w:val="00934864"/>
    <w:rsid w:val="0093487B"/>
    <w:rsid w:val="00934E4A"/>
    <w:rsid w:val="00935486"/>
    <w:rsid w:val="009354B1"/>
    <w:rsid w:val="009354CF"/>
    <w:rsid w:val="00935597"/>
    <w:rsid w:val="009355A3"/>
    <w:rsid w:val="009355AA"/>
    <w:rsid w:val="00935E77"/>
    <w:rsid w:val="00935F99"/>
    <w:rsid w:val="009360F4"/>
    <w:rsid w:val="0093621C"/>
    <w:rsid w:val="00936667"/>
    <w:rsid w:val="00936CF9"/>
    <w:rsid w:val="009370CB"/>
    <w:rsid w:val="0093727A"/>
    <w:rsid w:val="009373D4"/>
    <w:rsid w:val="00937471"/>
    <w:rsid w:val="00937A8F"/>
    <w:rsid w:val="00937B71"/>
    <w:rsid w:val="00937D24"/>
    <w:rsid w:val="00937F04"/>
    <w:rsid w:val="00940561"/>
    <w:rsid w:val="00940AB3"/>
    <w:rsid w:val="009410DD"/>
    <w:rsid w:val="0094169C"/>
    <w:rsid w:val="00941A05"/>
    <w:rsid w:val="00941C14"/>
    <w:rsid w:val="00941C94"/>
    <w:rsid w:val="00941D87"/>
    <w:rsid w:val="0094251D"/>
    <w:rsid w:val="00942618"/>
    <w:rsid w:val="0094292F"/>
    <w:rsid w:val="00942945"/>
    <w:rsid w:val="00942A6A"/>
    <w:rsid w:val="00942F28"/>
    <w:rsid w:val="0094341B"/>
    <w:rsid w:val="00943690"/>
    <w:rsid w:val="00943787"/>
    <w:rsid w:val="0094378E"/>
    <w:rsid w:val="00943857"/>
    <w:rsid w:val="00943894"/>
    <w:rsid w:val="00943CB2"/>
    <w:rsid w:val="00943D0C"/>
    <w:rsid w:val="009443DA"/>
    <w:rsid w:val="00944430"/>
    <w:rsid w:val="00944964"/>
    <w:rsid w:val="00944A56"/>
    <w:rsid w:val="009452FA"/>
    <w:rsid w:val="0094570A"/>
    <w:rsid w:val="00945FFD"/>
    <w:rsid w:val="00946152"/>
    <w:rsid w:val="0094617B"/>
    <w:rsid w:val="009462AC"/>
    <w:rsid w:val="0094666E"/>
    <w:rsid w:val="00946697"/>
    <w:rsid w:val="009469C9"/>
    <w:rsid w:val="009470FB"/>
    <w:rsid w:val="00947143"/>
    <w:rsid w:val="00947310"/>
    <w:rsid w:val="00947474"/>
    <w:rsid w:val="009475B3"/>
    <w:rsid w:val="0094783B"/>
    <w:rsid w:val="00947A07"/>
    <w:rsid w:val="00947F05"/>
    <w:rsid w:val="00950214"/>
    <w:rsid w:val="00950216"/>
    <w:rsid w:val="009502AC"/>
    <w:rsid w:val="0095054E"/>
    <w:rsid w:val="0095075C"/>
    <w:rsid w:val="00950E8B"/>
    <w:rsid w:val="00951A26"/>
    <w:rsid w:val="00951C3E"/>
    <w:rsid w:val="00951CA3"/>
    <w:rsid w:val="00951D6E"/>
    <w:rsid w:val="00951F3C"/>
    <w:rsid w:val="009529F6"/>
    <w:rsid w:val="00952D3A"/>
    <w:rsid w:val="0095328B"/>
    <w:rsid w:val="009533C0"/>
    <w:rsid w:val="00953415"/>
    <w:rsid w:val="00953E53"/>
    <w:rsid w:val="00953EDB"/>
    <w:rsid w:val="00953EF7"/>
    <w:rsid w:val="00953FB1"/>
    <w:rsid w:val="00954345"/>
    <w:rsid w:val="009543B5"/>
    <w:rsid w:val="0095447F"/>
    <w:rsid w:val="00954573"/>
    <w:rsid w:val="00954A00"/>
    <w:rsid w:val="00954C0B"/>
    <w:rsid w:val="009554BD"/>
    <w:rsid w:val="00955521"/>
    <w:rsid w:val="0095570B"/>
    <w:rsid w:val="009557A1"/>
    <w:rsid w:val="00955836"/>
    <w:rsid w:val="00955AD1"/>
    <w:rsid w:val="00955D57"/>
    <w:rsid w:val="00956326"/>
    <w:rsid w:val="0095633E"/>
    <w:rsid w:val="00956796"/>
    <w:rsid w:val="00956951"/>
    <w:rsid w:val="00956B76"/>
    <w:rsid w:val="00956C74"/>
    <w:rsid w:val="00956E75"/>
    <w:rsid w:val="009571CA"/>
    <w:rsid w:val="00957432"/>
    <w:rsid w:val="009576E8"/>
    <w:rsid w:val="00957B6B"/>
    <w:rsid w:val="00957BFC"/>
    <w:rsid w:val="00957C7B"/>
    <w:rsid w:val="00957DF8"/>
    <w:rsid w:val="009602E4"/>
    <w:rsid w:val="00960994"/>
    <w:rsid w:val="00960C38"/>
    <w:rsid w:val="00961314"/>
    <w:rsid w:val="00961407"/>
    <w:rsid w:val="009619DE"/>
    <w:rsid w:val="00961B00"/>
    <w:rsid w:val="00961BE2"/>
    <w:rsid w:val="00961D01"/>
    <w:rsid w:val="00961F4A"/>
    <w:rsid w:val="00962163"/>
    <w:rsid w:val="009623FB"/>
    <w:rsid w:val="00962619"/>
    <w:rsid w:val="00962C47"/>
    <w:rsid w:val="00963095"/>
    <w:rsid w:val="00963A75"/>
    <w:rsid w:val="00963EEF"/>
    <w:rsid w:val="0096404D"/>
    <w:rsid w:val="009640D1"/>
    <w:rsid w:val="009643A1"/>
    <w:rsid w:val="009646EA"/>
    <w:rsid w:val="009647FA"/>
    <w:rsid w:val="00964C9A"/>
    <w:rsid w:val="00964D54"/>
    <w:rsid w:val="00964FA4"/>
    <w:rsid w:val="00965090"/>
    <w:rsid w:val="009650B8"/>
    <w:rsid w:val="00965318"/>
    <w:rsid w:val="0096550C"/>
    <w:rsid w:val="009655D9"/>
    <w:rsid w:val="00965715"/>
    <w:rsid w:val="00965BE3"/>
    <w:rsid w:val="00965FB9"/>
    <w:rsid w:val="00966092"/>
    <w:rsid w:val="00966395"/>
    <w:rsid w:val="00966455"/>
    <w:rsid w:val="009668A7"/>
    <w:rsid w:val="00966BBA"/>
    <w:rsid w:val="00966DEC"/>
    <w:rsid w:val="00966E2F"/>
    <w:rsid w:val="00967266"/>
    <w:rsid w:val="00967556"/>
    <w:rsid w:val="00967C17"/>
    <w:rsid w:val="00967D20"/>
    <w:rsid w:val="00967DF8"/>
    <w:rsid w:val="00967EB2"/>
    <w:rsid w:val="009701C6"/>
    <w:rsid w:val="009701EA"/>
    <w:rsid w:val="0097024E"/>
    <w:rsid w:val="009702B7"/>
    <w:rsid w:val="009704CF"/>
    <w:rsid w:val="009711F9"/>
    <w:rsid w:val="009715C0"/>
    <w:rsid w:val="009718B6"/>
    <w:rsid w:val="00971A61"/>
    <w:rsid w:val="00971AA2"/>
    <w:rsid w:val="00971AA5"/>
    <w:rsid w:val="00971BDC"/>
    <w:rsid w:val="00972561"/>
    <w:rsid w:val="00972A1D"/>
    <w:rsid w:val="00972C69"/>
    <w:rsid w:val="00972D08"/>
    <w:rsid w:val="00972D48"/>
    <w:rsid w:val="00972D59"/>
    <w:rsid w:val="00972D6E"/>
    <w:rsid w:val="009734EB"/>
    <w:rsid w:val="00973651"/>
    <w:rsid w:val="009737FC"/>
    <w:rsid w:val="009738DA"/>
    <w:rsid w:val="00973AB9"/>
    <w:rsid w:val="00973D89"/>
    <w:rsid w:val="00973DEF"/>
    <w:rsid w:val="00973E63"/>
    <w:rsid w:val="00973E86"/>
    <w:rsid w:val="00974033"/>
    <w:rsid w:val="009742C1"/>
    <w:rsid w:val="0097488E"/>
    <w:rsid w:val="00974A8B"/>
    <w:rsid w:val="00974AF5"/>
    <w:rsid w:val="00974D89"/>
    <w:rsid w:val="00975088"/>
    <w:rsid w:val="00975209"/>
    <w:rsid w:val="009753CE"/>
    <w:rsid w:val="00975695"/>
    <w:rsid w:val="009756F6"/>
    <w:rsid w:val="0097589D"/>
    <w:rsid w:val="00975A0B"/>
    <w:rsid w:val="00975B03"/>
    <w:rsid w:val="00976634"/>
    <w:rsid w:val="00976663"/>
    <w:rsid w:val="00976E20"/>
    <w:rsid w:val="0097704B"/>
    <w:rsid w:val="0097704E"/>
    <w:rsid w:val="0097794D"/>
    <w:rsid w:val="00977B8B"/>
    <w:rsid w:val="00977FE5"/>
    <w:rsid w:val="0098022A"/>
    <w:rsid w:val="00980475"/>
    <w:rsid w:val="00980678"/>
    <w:rsid w:val="0098089B"/>
    <w:rsid w:val="00980A34"/>
    <w:rsid w:val="00980C92"/>
    <w:rsid w:val="00980F91"/>
    <w:rsid w:val="009811D3"/>
    <w:rsid w:val="009812C2"/>
    <w:rsid w:val="009818E2"/>
    <w:rsid w:val="00982179"/>
    <w:rsid w:val="009823B0"/>
    <w:rsid w:val="00982804"/>
    <w:rsid w:val="009829BE"/>
    <w:rsid w:val="00982A1E"/>
    <w:rsid w:val="00982B66"/>
    <w:rsid w:val="00982BDD"/>
    <w:rsid w:val="00982C33"/>
    <w:rsid w:val="00982D99"/>
    <w:rsid w:val="00982E04"/>
    <w:rsid w:val="00982E19"/>
    <w:rsid w:val="00983495"/>
    <w:rsid w:val="009839B3"/>
    <w:rsid w:val="00983ACB"/>
    <w:rsid w:val="00983BDF"/>
    <w:rsid w:val="00983E45"/>
    <w:rsid w:val="00984035"/>
    <w:rsid w:val="0098413B"/>
    <w:rsid w:val="00984A5E"/>
    <w:rsid w:val="00984CEF"/>
    <w:rsid w:val="00984DFE"/>
    <w:rsid w:val="00984FEC"/>
    <w:rsid w:val="009850CE"/>
    <w:rsid w:val="009851FC"/>
    <w:rsid w:val="0098523B"/>
    <w:rsid w:val="009857A2"/>
    <w:rsid w:val="00985A4A"/>
    <w:rsid w:val="00985D26"/>
    <w:rsid w:val="009862DC"/>
    <w:rsid w:val="009865A1"/>
    <w:rsid w:val="00986716"/>
    <w:rsid w:val="00986738"/>
    <w:rsid w:val="009869DE"/>
    <w:rsid w:val="00986A83"/>
    <w:rsid w:val="00986B89"/>
    <w:rsid w:val="00986D8F"/>
    <w:rsid w:val="00986DD8"/>
    <w:rsid w:val="00986F9A"/>
    <w:rsid w:val="00987517"/>
    <w:rsid w:val="00987597"/>
    <w:rsid w:val="0098761D"/>
    <w:rsid w:val="0098764D"/>
    <w:rsid w:val="009878D4"/>
    <w:rsid w:val="00987EDC"/>
    <w:rsid w:val="00987FDE"/>
    <w:rsid w:val="00990607"/>
    <w:rsid w:val="009907DC"/>
    <w:rsid w:val="00990A25"/>
    <w:rsid w:val="00990BDB"/>
    <w:rsid w:val="00991105"/>
    <w:rsid w:val="009911F0"/>
    <w:rsid w:val="00991B8F"/>
    <w:rsid w:val="00991EDC"/>
    <w:rsid w:val="00991FE5"/>
    <w:rsid w:val="00992275"/>
    <w:rsid w:val="00992346"/>
    <w:rsid w:val="009926B5"/>
    <w:rsid w:val="00992719"/>
    <w:rsid w:val="0099285F"/>
    <w:rsid w:val="00992B34"/>
    <w:rsid w:val="00993331"/>
    <w:rsid w:val="009935D1"/>
    <w:rsid w:val="00993A9A"/>
    <w:rsid w:val="00993B9D"/>
    <w:rsid w:val="00993D28"/>
    <w:rsid w:val="00993D5C"/>
    <w:rsid w:val="00993F9C"/>
    <w:rsid w:val="009940CC"/>
    <w:rsid w:val="0099432B"/>
    <w:rsid w:val="0099450A"/>
    <w:rsid w:val="00994600"/>
    <w:rsid w:val="009948F4"/>
    <w:rsid w:val="00994ABA"/>
    <w:rsid w:val="00994BAE"/>
    <w:rsid w:val="00995480"/>
    <w:rsid w:val="009956E4"/>
    <w:rsid w:val="00995911"/>
    <w:rsid w:val="00995A90"/>
    <w:rsid w:val="00995E93"/>
    <w:rsid w:val="00996252"/>
    <w:rsid w:val="009967F6"/>
    <w:rsid w:val="009967FF"/>
    <w:rsid w:val="00996942"/>
    <w:rsid w:val="00996F94"/>
    <w:rsid w:val="0099737B"/>
    <w:rsid w:val="0099745E"/>
    <w:rsid w:val="00997B2A"/>
    <w:rsid w:val="00997CB2"/>
    <w:rsid w:val="00997D4F"/>
    <w:rsid w:val="009A0238"/>
    <w:rsid w:val="009A0290"/>
    <w:rsid w:val="009A11BE"/>
    <w:rsid w:val="009A11FA"/>
    <w:rsid w:val="009A14E0"/>
    <w:rsid w:val="009A1B2D"/>
    <w:rsid w:val="009A1B6E"/>
    <w:rsid w:val="009A1B9A"/>
    <w:rsid w:val="009A1D81"/>
    <w:rsid w:val="009A1F1F"/>
    <w:rsid w:val="009A210F"/>
    <w:rsid w:val="009A2286"/>
    <w:rsid w:val="009A261C"/>
    <w:rsid w:val="009A30D2"/>
    <w:rsid w:val="009A36A5"/>
    <w:rsid w:val="009A3985"/>
    <w:rsid w:val="009A3C08"/>
    <w:rsid w:val="009A402A"/>
    <w:rsid w:val="009A4A11"/>
    <w:rsid w:val="009A4B3E"/>
    <w:rsid w:val="009A4B81"/>
    <w:rsid w:val="009A4DB7"/>
    <w:rsid w:val="009A4F2F"/>
    <w:rsid w:val="009A5432"/>
    <w:rsid w:val="009A5476"/>
    <w:rsid w:val="009A54D6"/>
    <w:rsid w:val="009A57B8"/>
    <w:rsid w:val="009A584A"/>
    <w:rsid w:val="009A5B7D"/>
    <w:rsid w:val="009A5D66"/>
    <w:rsid w:val="009A5E0B"/>
    <w:rsid w:val="009A5E31"/>
    <w:rsid w:val="009A5EAE"/>
    <w:rsid w:val="009A69EB"/>
    <w:rsid w:val="009A6B46"/>
    <w:rsid w:val="009A6B90"/>
    <w:rsid w:val="009A7100"/>
    <w:rsid w:val="009A740E"/>
    <w:rsid w:val="009A74ED"/>
    <w:rsid w:val="009A77E2"/>
    <w:rsid w:val="009A77E4"/>
    <w:rsid w:val="009A7DF1"/>
    <w:rsid w:val="009A7FBB"/>
    <w:rsid w:val="009B0051"/>
    <w:rsid w:val="009B02DD"/>
    <w:rsid w:val="009B0550"/>
    <w:rsid w:val="009B06EA"/>
    <w:rsid w:val="009B0784"/>
    <w:rsid w:val="009B0789"/>
    <w:rsid w:val="009B0A11"/>
    <w:rsid w:val="009B0DA8"/>
    <w:rsid w:val="009B1728"/>
    <w:rsid w:val="009B173E"/>
    <w:rsid w:val="009B1783"/>
    <w:rsid w:val="009B180F"/>
    <w:rsid w:val="009B1CF5"/>
    <w:rsid w:val="009B1F0E"/>
    <w:rsid w:val="009B2325"/>
    <w:rsid w:val="009B2338"/>
    <w:rsid w:val="009B23F1"/>
    <w:rsid w:val="009B26A6"/>
    <w:rsid w:val="009B2CDB"/>
    <w:rsid w:val="009B31CD"/>
    <w:rsid w:val="009B3218"/>
    <w:rsid w:val="009B3284"/>
    <w:rsid w:val="009B40E8"/>
    <w:rsid w:val="009B41F9"/>
    <w:rsid w:val="009B4390"/>
    <w:rsid w:val="009B43CE"/>
    <w:rsid w:val="009B45FC"/>
    <w:rsid w:val="009B479E"/>
    <w:rsid w:val="009B4AB0"/>
    <w:rsid w:val="009B534B"/>
    <w:rsid w:val="009B5565"/>
    <w:rsid w:val="009B5824"/>
    <w:rsid w:val="009B584B"/>
    <w:rsid w:val="009B5D55"/>
    <w:rsid w:val="009B5DAF"/>
    <w:rsid w:val="009B5E51"/>
    <w:rsid w:val="009B6097"/>
    <w:rsid w:val="009B6F66"/>
    <w:rsid w:val="009B773F"/>
    <w:rsid w:val="009B7BB8"/>
    <w:rsid w:val="009B7EDC"/>
    <w:rsid w:val="009B7EE0"/>
    <w:rsid w:val="009C003A"/>
    <w:rsid w:val="009C056A"/>
    <w:rsid w:val="009C079D"/>
    <w:rsid w:val="009C0AA9"/>
    <w:rsid w:val="009C0FD5"/>
    <w:rsid w:val="009C18DA"/>
    <w:rsid w:val="009C2032"/>
    <w:rsid w:val="009C2442"/>
    <w:rsid w:val="009C2602"/>
    <w:rsid w:val="009C2813"/>
    <w:rsid w:val="009C29EA"/>
    <w:rsid w:val="009C2D48"/>
    <w:rsid w:val="009C3396"/>
    <w:rsid w:val="009C3480"/>
    <w:rsid w:val="009C3967"/>
    <w:rsid w:val="009C3A5A"/>
    <w:rsid w:val="009C3CFB"/>
    <w:rsid w:val="009C4016"/>
    <w:rsid w:val="009C4F32"/>
    <w:rsid w:val="009C547F"/>
    <w:rsid w:val="009C58CD"/>
    <w:rsid w:val="009C5D2A"/>
    <w:rsid w:val="009C5EDD"/>
    <w:rsid w:val="009C6084"/>
    <w:rsid w:val="009C6577"/>
    <w:rsid w:val="009C6995"/>
    <w:rsid w:val="009C6DD0"/>
    <w:rsid w:val="009C6E49"/>
    <w:rsid w:val="009C732E"/>
    <w:rsid w:val="009C7395"/>
    <w:rsid w:val="009C7BA6"/>
    <w:rsid w:val="009D043A"/>
    <w:rsid w:val="009D0D32"/>
    <w:rsid w:val="009D0DC5"/>
    <w:rsid w:val="009D0FAB"/>
    <w:rsid w:val="009D0FFE"/>
    <w:rsid w:val="009D14EE"/>
    <w:rsid w:val="009D1716"/>
    <w:rsid w:val="009D196C"/>
    <w:rsid w:val="009D199D"/>
    <w:rsid w:val="009D1CD1"/>
    <w:rsid w:val="009D1D75"/>
    <w:rsid w:val="009D1F93"/>
    <w:rsid w:val="009D20BC"/>
    <w:rsid w:val="009D2123"/>
    <w:rsid w:val="009D2154"/>
    <w:rsid w:val="009D231D"/>
    <w:rsid w:val="009D24F1"/>
    <w:rsid w:val="009D26DE"/>
    <w:rsid w:val="009D26E9"/>
    <w:rsid w:val="009D2F9D"/>
    <w:rsid w:val="009D31F5"/>
    <w:rsid w:val="009D3463"/>
    <w:rsid w:val="009D3494"/>
    <w:rsid w:val="009D374F"/>
    <w:rsid w:val="009D38AF"/>
    <w:rsid w:val="009D405B"/>
    <w:rsid w:val="009D4565"/>
    <w:rsid w:val="009D4A5F"/>
    <w:rsid w:val="009D4A71"/>
    <w:rsid w:val="009D4C4A"/>
    <w:rsid w:val="009D5354"/>
    <w:rsid w:val="009D5372"/>
    <w:rsid w:val="009D5776"/>
    <w:rsid w:val="009D57C9"/>
    <w:rsid w:val="009D5B41"/>
    <w:rsid w:val="009D5CE6"/>
    <w:rsid w:val="009D5FEE"/>
    <w:rsid w:val="009D665F"/>
    <w:rsid w:val="009D6B0A"/>
    <w:rsid w:val="009D6D2D"/>
    <w:rsid w:val="009D78BB"/>
    <w:rsid w:val="009D7D16"/>
    <w:rsid w:val="009D7D43"/>
    <w:rsid w:val="009D7EBB"/>
    <w:rsid w:val="009E01A0"/>
    <w:rsid w:val="009E044C"/>
    <w:rsid w:val="009E09CE"/>
    <w:rsid w:val="009E0BEB"/>
    <w:rsid w:val="009E0DF7"/>
    <w:rsid w:val="009E1744"/>
    <w:rsid w:val="009E17E7"/>
    <w:rsid w:val="009E1C4A"/>
    <w:rsid w:val="009E1E0D"/>
    <w:rsid w:val="009E1FA8"/>
    <w:rsid w:val="009E20DA"/>
    <w:rsid w:val="009E25CC"/>
    <w:rsid w:val="009E26A6"/>
    <w:rsid w:val="009E27C5"/>
    <w:rsid w:val="009E2B5E"/>
    <w:rsid w:val="009E2DCD"/>
    <w:rsid w:val="009E2E2F"/>
    <w:rsid w:val="009E300C"/>
    <w:rsid w:val="009E3087"/>
    <w:rsid w:val="009E364F"/>
    <w:rsid w:val="009E3650"/>
    <w:rsid w:val="009E41F6"/>
    <w:rsid w:val="009E49A0"/>
    <w:rsid w:val="009E4EF1"/>
    <w:rsid w:val="009E516D"/>
    <w:rsid w:val="009E578B"/>
    <w:rsid w:val="009E58B0"/>
    <w:rsid w:val="009E5978"/>
    <w:rsid w:val="009E610D"/>
    <w:rsid w:val="009E62BE"/>
    <w:rsid w:val="009E6356"/>
    <w:rsid w:val="009E64A6"/>
    <w:rsid w:val="009E664B"/>
    <w:rsid w:val="009E680F"/>
    <w:rsid w:val="009E6AE7"/>
    <w:rsid w:val="009E6F2B"/>
    <w:rsid w:val="009E70B3"/>
    <w:rsid w:val="009E74A3"/>
    <w:rsid w:val="009E7522"/>
    <w:rsid w:val="009E7604"/>
    <w:rsid w:val="009E763A"/>
    <w:rsid w:val="009E7992"/>
    <w:rsid w:val="009E7A8F"/>
    <w:rsid w:val="009E7A90"/>
    <w:rsid w:val="009E7B79"/>
    <w:rsid w:val="009E7B97"/>
    <w:rsid w:val="009E7C6C"/>
    <w:rsid w:val="009E7DC7"/>
    <w:rsid w:val="009F014B"/>
    <w:rsid w:val="009F0187"/>
    <w:rsid w:val="009F0272"/>
    <w:rsid w:val="009F033B"/>
    <w:rsid w:val="009F05CC"/>
    <w:rsid w:val="009F06DB"/>
    <w:rsid w:val="009F0C89"/>
    <w:rsid w:val="009F0E38"/>
    <w:rsid w:val="009F10E7"/>
    <w:rsid w:val="009F112C"/>
    <w:rsid w:val="009F1462"/>
    <w:rsid w:val="009F147A"/>
    <w:rsid w:val="009F14AB"/>
    <w:rsid w:val="009F1657"/>
    <w:rsid w:val="009F184A"/>
    <w:rsid w:val="009F1AAF"/>
    <w:rsid w:val="009F1CD8"/>
    <w:rsid w:val="009F1DA0"/>
    <w:rsid w:val="009F1EB2"/>
    <w:rsid w:val="009F2057"/>
    <w:rsid w:val="009F2130"/>
    <w:rsid w:val="009F217B"/>
    <w:rsid w:val="009F281F"/>
    <w:rsid w:val="009F2B7B"/>
    <w:rsid w:val="009F2F12"/>
    <w:rsid w:val="009F32DB"/>
    <w:rsid w:val="009F3627"/>
    <w:rsid w:val="009F3731"/>
    <w:rsid w:val="009F3E1F"/>
    <w:rsid w:val="009F3FC3"/>
    <w:rsid w:val="009F41D6"/>
    <w:rsid w:val="009F4A62"/>
    <w:rsid w:val="009F4F09"/>
    <w:rsid w:val="009F4FD2"/>
    <w:rsid w:val="009F505B"/>
    <w:rsid w:val="009F517A"/>
    <w:rsid w:val="009F56EF"/>
    <w:rsid w:val="009F61C6"/>
    <w:rsid w:val="009F62C7"/>
    <w:rsid w:val="009F6A35"/>
    <w:rsid w:val="009F6EB5"/>
    <w:rsid w:val="009F7576"/>
    <w:rsid w:val="009F75EC"/>
    <w:rsid w:val="009F76FD"/>
    <w:rsid w:val="009F7BCA"/>
    <w:rsid w:val="00A00125"/>
    <w:rsid w:val="00A0028B"/>
    <w:rsid w:val="00A00400"/>
    <w:rsid w:val="00A00425"/>
    <w:rsid w:val="00A0070B"/>
    <w:rsid w:val="00A00ABD"/>
    <w:rsid w:val="00A00E31"/>
    <w:rsid w:val="00A00E7E"/>
    <w:rsid w:val="00A00E9E"/>
    <w:rsid w:val="00A01279"/>
    <w:rsid w:val="00A0150A"/>
    <w:rsid w:val="00A01765"/>
    <w:rsid w:val="00A0183B"/>
    <w:rsid w:val="00A01CE7"/>
    <w:rsid w:val="00A020AB"/>
    <w:rsid w:val="00A024C7"/>
    <w:rsid w:val="00A02580"/>
    <w:rsid w:val="00A0297A"/>
    <w:rsid w:val="00A02DD0"/>
    <w:rsid w:val="00A031F1"/>
    <w:rsid w:val="00A036F5"/>
    <w:rsid w:val="00A037C1"/>
    <w:rsid w:val="00A03AE8"/>
    <w:rsid w:val="00A03E45"/>
    <w:rsid w:val="00A03EA5"/>
    <w:rsid w:val="00A042E3"/>
    <w:rsid w:val="00A0435B"/>
    <w:rsid w:val="00A043C5"/>
    <w:rsid w:val="00A049B9"/>
    <w:rsid w:val="00A04E14"/>
    <w:rsid w:val="00A05148"/>
    <w:rsid w:val="00A054D5"/>
    <w:rsid w:val="00A05630"/>
    <w:rsid w:val="00A056BE"/>
    <w:rsid w:val="00A0576C"/>
    <w:rsid w:val="00A0584E"/>
    <w:rsid w:val="00A058B3"/>
    <w:rsid w:val="00A059D1"/>
    <w:rsid w:val="00A05BCF"/>
    <w:rsid w:val="00A05CAF"/>
    <w:rsid w:val="00A06549"/>
    <w:rsid w:val="00A067E6"/>
    <w:rsid w:val="00A06930"/>
    <w:rsid w:val="00A0698D"/>
    <w:rsid w:val="00A06CF3"/>
    <w:rsid w:val="00A07628"/>
    <w:rsid w:val="00A077D4"/>
    <w:rsid w:val="00A079D0"/>
    <w:rsid w:val="00A07ECA"/>
    <w:rsid w:val="00A1000E"/>
    <w:rsid w:val="00A10E24"/>
    <w:rsid w:val="00A10EC1"/>
    <w:rsid w:val="00A114CB"/>
    <w:rsid w:val="00A123C1"/>
    <w:rsid w:val="00A1244F"/>
    <w:rsid w:val="00A124EB"/>
    <w:rsid w:val="00A12B71"/>
    <w:rsid w:val="00A12F6D"/>
    <w:rsid w:val="00A13049"/>
    <w:rsid w:val="00A130DF"/>
    <w:rsid w:val="00A13121"/>
    <w:rsid w:val="00A132C0"/>
    <w:rsid w:val="00A132E7"/>
    <w:rsid w:val="00A135F6"/>
    <w:rsid w:val="00A138A1"/>
    <w:rsid w:val="00A13AFB"/>
    <w:rsid w:val="00A13DFE"/>
    <w:rsid w:val="00A13FAD"/>
    <w:rsid w:val="00A14204"/>
    <w:rsid w:val="00A142F7"/>
    <w:rsid w:val="00A1483A"/>
    <w:rsid w:val="00A14A50"/>
    <w:rsid w:val="00A14B5C"/>
    <w:rsid w:val="00A14DEB"/>
    <w:rsid w:val="00A1506E"/>
    <w:rsid w:val="00A1509A"/>
    <w:rsid w:val="00A150B4"/>
    <w:rsid w:val="00A155CC"/>
    <w:rsid w:val="00A15612"/>
    <w:rsid w:val="00A1564A"/>
    <w:rsid w:val="00A15927"/>
    <w:rsid w:val="00A15A07"/>
    <w:rsid w:val="00A15C39"/>
    <w:rsid w:val="00A15EDF"/>
    <w:rsid w:val="00A168E9"/>
    <w:rsid w:val="00A16C90"/>
    <w:rsid w:val="00A16E2A"/>
    <w:rsid w:val="00A16F1F"/>
    <w:rsid w:val="00A16FBA"/>
    <w:rsid w:val="00A17267"/>
    <w:rsid w:val="00A17336"/>
    <w:rsid w:val="00A174A3"/>
    <w:rsid w:val="00A17A5C"/>
    <w:rsid w:val="00A17B2C"/>
    <w:rsid w:val="00A17BCD"/>
    <w:rsid w:val="00A17F6D"/>
    <w:rsid w:val="00A17FB4"/>
    <w:rsid w:val="00A17FCA"/>
    <w:rsid w:val="00A2041C"/>
    <w:rsid w:val="00A20500"/>
    <w:rsid w:val="00A20537"/>
    <w:rsid w:val="00A2063C"/>
    <w:rsid w:val="00A20B8D"/>
    <w:rsid w:val="00A21554"/>
    <w:rsid w:val="00A218EB"/>
    <w:rsid w:val="00A21BED"/>
    <w:rsid w:val="00A2214F"/>
    <w:rsid w:val="00A2216B"/>
    <w:rsid w:val="00A221BE"/>
    <w:rsid w:val="00A22294"/>
    <w:rsid w:val="00A22362"/>
    <w:rsid w:val="00A224C9"/>
    <w:rsid w:val="00A22601"/>
    <w:rsid w:val="00A22855"/>
    <w:rsid w:val="00A22CCE"/>
    <w:rsid w:val="00A22DC8"/>
    <w:rsid w:val="00A22F46"/>
    <w:rsid w:val="00A2304F"/>
    <w:rsid w:val="00A2334B"/>
    <w:rsid w:val="00A23436"/>
    <w:rsid w:val="00A2352B"/>
    <w:rsid w:val="00A23A7A"/>
    <w:rsid w:val="00A23B87"/>
    <w:rsid w:val="00A23BDA"/>
    <w:rsid w:val="00A23D2E"/>
    <w:rsid w:val="00A23E92"/>
    <w:rsid w:val="00A243DD"/>
    <w:rsid w:val="00A24597"/>
    <w:rsid w:val="00A248B1"/>
    <w:rsid w:val="00A24B1E"/>
    <w:rsid w:val="00A24BE1"/>
    <w:rsid w:val="00A25374"/>
    <w:rsid w:val="00A25454"/>
    <w:rsid w:val="00A256A8"/>
    <w:rsid w:val="00A256C9"/>
    <w:rsid w:val="00A256DB"/>
    <w:rsid w:val="00A25A6F"/>
    <w:rsid w:val="00A25E0D"/>
    <w:rsid w:val="00A25FF5"/>
    <w:rsid w:val="00A26204"/>
    <w:rsid w:val="00A2658D"/>
    <w:rsid w:val="00A268D8"/>
    <w:rsid w:val="00A26E21"/>
    <w:rsid w:val="00A26E35"/>
    <w:rsid w:val="00A26E98"/>
    <w:rsid w:val="00A2743C"/>
    <w:rsid w:val="00A27465"/>
    <w:rsid w:val="00A27B02"/>
    <w:rsid w:val="00A27DAE"/>
    <w:rsid w:val="00A3019E"/>
    <w:rsid w:val="00A3046C"/>
    <w:rsid w:val="00A304C4"/>
    <w:rsid w:val="00A30917"/>
    <w:rsid w:val="00A30D3E"/>
    <w:rsid w:val="00A30EA0"/>
    <w:rsid w:val="00A314BD"/>
    <w:rsid w:val="00A319FD"/>
    <w:rsid w:val="00A31CF5"/>
    <w:rsid w:val="00A323D0"/>
    <w:rsid w:val="00A327AB"/>
    <w:rsid w:val="00A32AFC"/>
    <w:rsid w:val="00A335A4"/>
    <w:rsid w:val="00A3369E"/>
    <w:rsid w:val="00A33B65"/>
    <w:rsid w:val="00A341AD"/>
    <w:rsid w:val="00A34275"/>
    <w:rsid w:val="00A344A5"/>
    <w:rsid w:val="00A344D8"/>
    <w:rsid w:val="00A344E6"/>
    <w:rsid w:val="00A3519F"/>
    <w:rsid w:val="00A3526B"/>
    <w:rsid w:val="00A3532C"/>
    <w:rsid w:val="00A35498"/>
    <w:rsid w:val="00A3636C"/>
    <w:rsid w:val="00A36716"/>
    <w:rsid w:val="00A367D5"/>
    <w:rsid w:val="00A369AC"/>
    <w:rsid w:val="00A36C95"/>
    <w:rsid w:val="00A36CD3"/>
    <w:rsid w:val="00A36D58"/>
    <w:rsid w:val="00A36D5C"/>
    <w:rsid w:val="00A371FA"/>
    <w:rsid w:val="00A37698"/>
    <w:rsid w:val="00A37705"/>
    <w:rsid w:val="00A37B14"/>
    <w:rsid w:val="00A37DA9"/>
    <w:rsid w:val="00A40691"/>
    <w:rsid w:val="00A408E5"/>
    <w:rsid w:val="00A41348"/>
    <w:rsid w:val="00A41723"/>
    <w:rsid w:val="00A419D3"/>
    <w:rsid w:val="00A42039"/>
    <w:rsid w:val="00A43146"/>
    <w:rsid w:val="00A4314D"/>
    <w:rsid w:val="00A431D9"/>
    <w:rsid w:val="00A43218"/>
    <w:rsid w:val="00A43324"/>
    <w:rsid w:val="00A4332D"/>
    <w:rsid w:val="00A43881"/>
    <w:rsid w:val="00A43A78"/>
    <w:rsid w:val="00A43B3B"/>
    <w:rsid w:val="00A43D0A"/>
    <w:rsid w:val="00A44427"/>
    <w:rsid w:val="00A44A77"/>
    <w:rsid w:val="00A44AF4"/>
    <w:rsid w:val="00A45018"/>
    <w:rsid w:val="00A4511F"/>
    <w:rsid w:val="00A456B1"/>
    <w:rsid w:val="00A456FC"/>
    <w:rsid w:val="00A45E58"/>
    <w:rsid w:val="00A461F3"/>
    <w:rsid w:val="00A4636C"/>
    <w:rsid w:val="00A467D9"/>
    <w:rsid w:val="00A46804"/>
    <w:rsid w:val="00A46A7B"/>
    <w:rsid w:val="00A46ABD"/>
    <w:rsid w:val="00A46D8D"/>
    <w:rsid w:val="00A46D8E"/>
    <w:rsid w:val="00A4742B"/>
    <w:rsid w:val="00A47931"/>
    <w:rsid w:val="00A47AC7"/>
    <w:rsid w:val="00A47AD1"/>
    <w:rsid w:val="00A47D28"/>
    <w:rsid w:val="00A47DB6"/>
    <w:rsid w:val="00A47F20"/>
    <w:rsid w:val="00A502CB"/>
    <w:rsid w:val="00A5051F"/>
    <w:rsid w:val="00A50694"/>
    <w:rsid w:val="00A507E0"/>
    <w:rsid w:val="00A509D3"/>
    <w:rsid w:val="00A50D33"/>
    <w:rsid w:val="00A512E1"/>
    <w:rsid w:val="00A51304"/>
    <w:rsid w:val="00A517FB"/>
    <w:rsid w:val="00A51AD6"/>
    <w:rsid w:val="00A5211E"/>
    <w:rsid w:val="00A5244A"/>
    <w:rsid w:val="00A52B0D"/>
    <w:rsid w:val="00A52E03"/>
    <w:rsid w:val="00A53818"/>
    <w:rsid w:val="00A53CEB"/>
    <w:rsid w:val="00A5412F"/>
    <w:rsid w:val="00A5415B"/>
    <w:rsid w:val="00A5416E"/>
    <w:rsid w:val="00A541BD"/>
    <w:rsid w:val="00A547F7"/>
    <w:rsid w:val="00A54881"/>
    <w:rsid w:val="00A54A6F"/>
    <w:rsid w:val="00A54F3E"/>
    <w:rsid w:val="00A54FEA"/>
    <w:rsid w:val="00A558D2"/>
    <w:rsid w:val="00A559B7"/>
    <w:rsid w:val="00A55CCC"/>
    <w:rsid w:val="00A56122"/>
    <w:rsid w:val="00A5627C"/>
    <w:rsid w:val="00A5632C"/>
    <w:rsid w:val="00A5632F"/>
    <w:rsid w:val="00A563E1"/>
    <w:rsid w:val="00A5659A"/>
    <w:rsid w:val="00A56735"/>
    <w:rsid w:val="00A567B4"/>
    <w:rsid w:val="00A56FDC"/>
    <w:rsid w:val="00A57394"/>
    <w:rsid w:val="00A576FA"/>
    <w:rsid w:val="00A578C7"/>
    <w:rsid w:val="00A600AD"/>
    <w:rsid w:val="00A60A80"/>
    <w:rsid w:val="00A60B77"/>
    <w:rsid w:val="00A60B84"/>
    <w:rsid w:val="00A60C69"/>
    <w:rsid w:val="00A6105F"/>
    <w:rsid w:val="00A61551"/>
    <w:rsid w:val="00A61A46"/>
    <w:rsid w:val="00A6250B"/>
    <w:rsid w:val="00A6252E"/>
    <w:rsid w:val="00A6343C"/>
    <w:rsid w:val="00A6382E"/>
    <w:rsid w:val="00A63866"/>
    <w:rsid w:val="00A643B5"/>
    <w:rsid w:val="00A648E0"/>
    <w:rsid w:val="00A649C5"/>
    <w:rsid w:val="00A64E39"/>
    <w:rsid w:val="00A65181"/>
    <w:rsid w:val="00A65588"/>
    <w:rsid w:val="00A65F78"/>
    <w:rsid w:val="00A663FA"/>
    <w:rsid w:val="00A66443"/>
    <w:rsid w:val="00A66535"/>
    <w:rsid w:val="00A66848"/>
    <w:rsid w:val="00A66C15"/>
    <w:rsid w:val="00A66DA2"/>
    <w:rsid w:val="00A66E0B"/>
    <w:rsid w:val="00A66FB6"/>
    <w:rsid w:val="00A673C0"/>
    <w:rsid w:val="00A7080E"/>
    <w:rsid w:val="00A70842"/>
    <w:rsid w:val="00A70C19"/>
    <w:rsid w:val="00A70D7C"/>
    <w:rsid w:val="00A71F46"/>
    <w:rsid w:val="00A720A7"/>
    <w:rsid w:val="00A7232B"/>
    <w:rsid w:val="00A724DA"/>
    <w:rsid w:val="00A728C2"/>
    <w:rsid w:val="00A72B8A"/>
    <w:rsid w:val="00A7345E"/>
    <w:rsid w:val="00A734CD"/>
    <w:rsid w:val="00A7359A"/>
    <w:rsid w:val="00A736A9"/>
    <w:rsid w:val="00A7386D"/>
    <w:rsid w:val="00A73DD1"/>
    <w:rsid w:val="00A73FD6"/>
    <w:rsid w:val="00A745DC"/>
    <w:rsid w:val="00A7496F"/>
    <w:rsid w:val="00A74D99"/>
    <w:rsid w:val="00A75230"/>
    <w:rsid w:val="00A7553A"/>
    <w:rsid w:val="00A75638"/>
    <w:rsid w:val="00A76095"/>
    <w:rsid w:val="00A764CD"/>
    <w:rsid w:val="00A76841"/>
    <w:rsid w:val="00A76C6D"/>
    <w:rsid w:val="00A76C9B"/>
    <w:rsid w:val="00A7718C"/>
    <w:rsid w:val="00A773C9"/>
    <w:rsid w:val="00A776DF"/>
    <w:rsid w:val="00A77BCC"/>
    <w:rsid w:val="00A77BD3"/>
    <w:rsid w:val="00A802AA"/>
    <w:rsid w:val="00A80D9B"/>
    <w:rsid w:val="00A81169"/>
    <w:rsid w:val="00A81884"/>
    <w:rsid w:val="00A8198E"/>
    <w:rsid w:val="00A81A02"/>
    <w:rsid w:val="00A81BAD"/>
    <w:rsid w:val="00A81BFF"/>
    <w:rsid w:val="00A81CB8"/>
    <w:rsid w:val="00A82057"/>
    <w:rsid w:val="00A8239A"/>
    <w:rsid w:val="00A82928"/>
    <w:rsid w:val="00A82E03"/>
    <w:rsid w:val="00A8305C"/>
    <w:rsid w:val="00A8354A"/>
    <w:rsid w:val="00A83617"/>
    <w:rsid w:val="00A837B0"/>
    <w:rsid w:val="00A83827"/>
    <w:rsid w:val="00A83A90"/>
    <w:rsid w:val="00A83DB5"/>
    <w:rsid w:val="00A83F2C"/>
    <w:rsid w:val="00A84059"/>
    <w:rsid w:val="00A8406A"/>
    <w:rsid w:val="00A840F3"/>
    <w:rsid w:val="00A8441A"/>
    <w:rsid w:val="00A84737"/>
    <w:rsid w:val="00A850B2"/>
    <w:rsid w:val="00A854AE"/>
    <w:rsid w:val="00A85BEC"/>
    <w:rsid w:val="00A86991"/>
    <w:rsid w:val="00A86BB0"/>
    <w:rsid w:val="00A86EAD"/>
    <w:rsid w:val="00A86EDE"/>
    <w:rsid w:val="00A875F7"/>
    <w:rsid w:val="00A87614"/>
    <w:rsid w:val="00A87706"/>
    <w:rsid w:val="00A877C8"/>
    <w:rsid w:val="00A87966"/>
    <w:rsid w:val="00A87970"/>
    <w:rsid w:val="00A87A7B"/>
    <w:rsid w:val="00A87B70"/>
    <w:rsid w:val="00A87E49"/>
    <w:rsid w:val="00A90016"/>
    <w:rsid w:val="00A905FB"/>
    <w:rsid w:val="00A90691"/>
    <w:rsid w:val="00A90824"/>
    <w:rsid w:val="00A909DE"/>
    <w:rsid w:val="00A90A7F"/>
    <w:rsid w:val="00A90FDC"/>
    <w:rsid w:val="00A910FB"/>
    <w:rsid w:val="00A91141"/>
    <w:rsid w:val="00A911B2"/>
    <w:rsid w:val="00A91216"/>
    <w:rsid w:val="00A9174A"/>
    <w:rsid w:val="00A9185D"/>
    <w:rsid w:val="00A9197C"/>
    <w:rsid w:val="00A91E8B"/>
    <w:rsid w:val="00A91EDA"/>
    <w:rsid w:val="00A91FDA"/>
    <w:rsid w:val="00A92383"/>
    <w:rsid w:val="00A92591"/>
    <w:rsid w:val="00A926B4"/>
    <w:rsid w:val="00A92917"/>
    <w:rsid w:val="00A92B3C"/>
    <w:rsid w:val="00A92CE7"/>
    <w:rsid w:val="00A92D6A"/>
    <w:rsid w:val="00A92FA1"/>
    <w:rsid w:val="00A9385D"/>
    <w:rsid w:val="00A9386A"/>
    <w:rsid w:val="00A938EE"/>
    <w:rsid w:val="00A93A88"/>
    <w:rsid w:val="00A93A9D"/>
    <w:rsid w:val="00A93C2A"/>
    <w:rsid w:val="00A93CD1"/>
    <w:rsid w:val="00A94119"/>
    <w:rsid w:val="00A94653"/>
    <w:rsid w:val="00A9474C"/>
    <w:rsid w:val="00A94BBB"/>
    <w:rsid w:val="00A94C66"/>
    <w:rsid w:val="00A95144"/>
    <w:rsid w:val="00A95247"/>
    <w:rsid w:val="00A952BD"/>
    <w:rsid w:val="00A952C9"/>
    <w:rsid w:val="00A953BE"/>
    <w:rsid w:val="00A956CC"/>
    <w:rsid w:val="00A958EA"/>
    <w:rsid w:val="00A95988"/>
    <w:rsid w:val="00A95BE6"/>
    <w:rsid w:val="00A96D3D"/>
    <w:rsid w:val="00A96E98"/>
    <w:rsid w:val="00A96EE4"/>
    <w:rsid w:val="00A973B4"/>
    <w:rsid w:val="00A978C7"/>
    <w:rsid w:val="00A9793E"/>
    <w:rsid w:val="00A979B0"/>
    <w:rsid w:val="00A97D5C"/>
    <w:rsid w:val="00A97E8F"/>
    <w:rsid w:val="00AA0182"/>
    <w:rsid w:val="00AA0B48"/>
    <w:rsid w:val="00AA0C7B"/>
    <w:rsid w:val="00AA0E2C"/>
    <w:rsid w:val="00AA1010"/>
    <w:rsid w:val="00AA1073"/>
    <w:rsid w:val="00AA12A8"/>
    <w:rsid w:val="00AA1363"/>
    <w:rsid w:val="00AA1405"/>
    <w:rsid w:val="00AA1D38"/>
    <w:rsid w:val="00AA1ED1"/>
    <w:rsid w:val="00AA2110"/>
    <w:rsid w:val="00AA29EA"/>
    <w:rsid w:val="00AA31BA"/>
    <w:rsid w:val="00AA33ED"/>
    <w:rsid w:val="00AA3476"/>
    <w:rsid w:val="00AA34F0"/>
    <w:rsid w:val="00AA3647"/>
    <w:rsid w:val="00AA3804"/>
    <w:rsid w:val="00AA3A9C"/>
    <w:rsid w:val="00AA3BCA"/>
    <w:rsid w:val="00AA3FAB"/>
    <w:rsid w:val="00AA4316"/>
    <w:rsid w:val="00AA4565"/>
    <w:rsid w:val="00AA4750"/>
    <w:rsid w:val="00AA4EA6"/>
    <w:rsid w:val="00AA5BA0"/>
    <w:rsid w:val="00AA5ED7"/>
    <w:rsid w:val="00AA66E2"/>
    <w:rsid w:val="00AA6786"/>
    <w:rsid w:val="00AA7079"/>
    <w:rsid w:val="00AA7216"/>
    <w:rsid w:val="00AA7360"/>
    <w:rsid w:val="00AA7526"/>
    <w:rsid w:val="00AA772B"/>
    <w:rsid w:val="00AA7C21"/>
    <w:rsid w:val="00AA7C62"/>
    <w:rsid w:val="00AA7D74"/>
    <w:rsid w:val="00AB056F"/>
    <w:rsid w:val="00AB0765"/>
    <w:rsid w:val="00AB0EC8"/>
    <w:rsid w:val="00AB0F93"/>
    <w:rsid w:val="00AB0F9F"/>
    <w:rsid w:val="00AB10BA"/>
    <w:rsid w:val="00AB11BE"/>
    <w:rsid w:val="00AB12C7"/>
    <w:rsid w:val="00AB141C"/>
    <w:rsid w:val="00AB1856"/>
    <w:rsid w:val="00AB18CF"/>
    <w:rsid w:val="00AB19E5"/>
    <w:rsid w:val="00AB1BF2"/>
    <w:rsid w:val="00AB216B"/>
    <w:rsid w:val="00AB2321"/>
    <w:rsid w:val="00AB2329"/>
    <w:rsid w:val="00AB2334"/>
    <w:rsid w:val="00AB238E"/>
    <w:rsid w:val="00AB25D5"/>
    <w:rsid w:val="00AB271D"/>
    <w:rsid w:val="00AB2865"/>
    <w:rsid w:val="00AB2D75"/>
    <w:rsid w:val="00AB300A"/>
    <w:rsid w:val="00AB31D4"/>
    <w:rsid w:val="00AB3380"/>
    <w:rsid w:val="00AB3383"/>
    <w:rsid w:val="00AB3613"/>
    <w:rsid w:val="00AB39F8"/>
    <w:rsid w:val="00AB3DBE"/>
    <w:rsid w:val="00AB3F19"/>
    <w:rsid w:val="00AB4145"/>
    <w:rsid w:val="00AB429C"/>
    <w:rsid w:val="00AB44C3"/>
    <w:rsid w:val="00AB4737"/>
    <w:rsid w:val="00AB4A4F"/>
    <w:rsid w:val="00AB4C40"/>
    <w:rsid w:val="00AB4FCE"/>
    <w:rsid w:val="00AB5187"/>
    <w:rsid w:val="00AB5B1E"/>
    <w:rsid w:val="00AB5EF5"/>
    <w:rsid w:val="00AB60A3"/>
    <w:rsid w:val="00AB6107"/>
    <w:rsid w:val="00AB6311"/>
    <w:rsid w:val="00AB647A"/>
    <w:rsid w:val="00AB651F"/>
    <w:rsid w:val="00AB67B6"/>
    <w:rsid w:val="00AB68D6"/>
    <w:rsid w:val="00AB6CA1"/>
    <w:rsid w:val="00AB6FC7"/>
    <w:rsid w:val="00AB7373"/>
    <w:rsid w:val="00AB7CF6"/>
    <w:rsid w:val="00AB7F0C"/>
    <w:rsid w:val="00AC0316"/>
    <w:rsid w:val="00AC071E"/>
    <w:rsid w:val="00AC0A57"/>
    <w:rsid w:val="00AC0F03"/>
    <w:rsid w:val="00AC14A4"/>
    <w:rsid w:val="00AC174D"/>
    <w:rsid w:val="00AC1DD8"/>
    <w:rsid w:val="00AC2158"/>
    <w:rsid w:val="00AC238A"/>
    <w:rsid w:val="00AC23D0"/>
    <w:rsid w:val="00AC29FC"/>
    <w:rsid w:val="00AC2CA7"/>
    <w:rsid w:val="00AC3B16"/>
    <w:rsid w:val="00AC3E35"/>
    <w:rsid w:val="00AC403E"/>
    <w:rsid w:val="00AC420D"/>
    <w:rsid w:val="00AC42F4"/>
    <w:rsid w:val="00AC444D"/>
    <w:rsid w:val="00AC4B04"/>
    <w:rsid w:val="00AC4B1B"/>
    <w:rsid w:val="00AC4D7B"/>
    <w:rsid w:val="00AC510D"/>
    <w:rsid w:val="00AC589B"/>
    <w:rsid w:val="00AC5A18"/>
    <w:rsid w:val="00AC5A58"/>
    <w:rsid w:val="00AC62E1"/>
    <w:rsid w:val="00AC649D"/>
    <w:rsid w:val="00AC6698"/>
    <w:rsid w:val="00AC683E"/>
    <w:rsid w:val="00AC6858"/>
    <w:rsid w:val="00AC6876"/>
    <w:rsid w:val="00AC6CCA"/>
    <w:rsid w:val="00AC6F05"/>
    <w:rsid w:val="00AC6F1F"/>
    <w:rsid w:val="00AC6F35"/>
    <w:rsid w:val="00AC6FA2"/>
    <w:rsid w:val="00AC6FB7"/>
    <w:rsid w:val="00AC71B5"/>
    <w:rsid w:val="00AC7383"/>
    <w:rsid w:val="00AC77B2"/>
    <w:rsid w:val="00AC785A"/>
    <w:rsid w:val="00AC7871"/>
    <w:rsid w:val="00AC7B14"/>
    <w:rsid w:val="00AD01F5"/>
    <w:rsid w:val="00AD0378"/>
    <w:rsid w:val="00AD0482"/>
    <w:rsid w:val="00AD116F"/>
    <w:rsid w:val="00AD1571"/>
    <w:rsid w:val="00AD17FE"/>
    <w:rsid w:val="00AD1DE9"/>
    <w:rsid w:val="00AD1E68"/>
    <w:rsid w:val="00AD2127"/>
    <w:rsid w:val="00AD2213"/>
    <w:rsid w:val="00AD2580"/>
    <w:rsid w:val="00AD2993"/>
    <w:rsid w:val="00AD31B3"/>
    <w:rsid w:val="00AD35C9"/>
    <w:rsid w:val="00AD36B2"/>
    <w:rsid w:val="00AD38DF"/>
    <w:rsid w:val="00AD3DCA"/>
    <w:rsid w:val="00AD3E35"/>
    <w:rsid w:val="00AD4082"/>
    <w:rsid w:val="00AD42E6"/>
    <w:rsid w:val="00AD43E9"/>
    <w:rsid w:val="00AD44AA"/>
    <w:rsid w:val="00AD4B13"/>
    <w:rsid w:val="00AD4EB0"/>
    <w:rsid w:val="00AD5198"/>
    <w:rsid w:val="00AD54E6"/>
    <w:rsid w:val="00AD580C"/>
    <w:rsid w:val="00AD5A28"/>
    <w:rsid w:val="00AD5C7D"/>
    <w:rsid w:val="00AD5D1E"/>
    <w:rsid w:val="00AD5F70"/>
    <w:rsid w:val="00AD60D0"/>
    <w:rsid w:val="00AD6317"/>
    <w:rsid w:val="00AD636D"/>
    <w:rsid w:val="00AD652F"/>
    <w:rsid w:val="00AD6847"/>
    <w:rsid w:val="00AD6B01"/>
    <w:rsid w:val="00AD703F"/>
    <w:rsid w:val="00AD75F5"/>
    <w:rsid w:val="00AD7946"/>
    <w:rsid w:val="00AD7AB1"/>
    <w:rsid w:val="00AD7B84"/>
    <w:rsid w:val="00AD7F55"/>
    <w:rsid w:val="00AE003C"/>
    <w:rsid w:val="00AE0C6D"/>
    <w:rsid w:val="00AE0D7C"/>
    <w:rsid w:val="00AE0DA0"/>
    <w:rsid w:val="00AE0DF1"/>
    <w:rsid w:val="00AE0E59"/>
    <w:rsid w:val="00AE118E"/>
    <w:rsid w:val="00AE1317"/>
    <w:rsid w:val="00AE1577"/>
    <w:rsid w:val="00AE18E4"/>
    <w:rsid w:val="00AE1CD7"/>
    <w:rsid w:val="00AE2270"/>
    <w:rsid w:val="00AE2816"/>
    <w:rsid w:val="00AE29D9"/>
    <w:rsid w:val="00AE2E1B"/>
    <w:rsid w:val="00AE3109"/>
    <w:rsid w:val="00AE32E9"/>
    <w:rsid w:val="00AE37B9"/>
    <w:rsid w:val="00AE3910"/>
    <w:rsid w:val="00AE39BD"/>
    <w:rsid w:val="00AE4064"/>
    <w:rsid w:val="00AE4108"/>
    <w:rsid w:val="00AE41F7"/>
    <w:rsid w:val="00AE48C2"/>
    <w:rsid w:val="00AE501A"/>
    <w:rsid w:val="00AE546F"/>
    <w:rsid w:val="00AE556E"/>
    <w:rsid w:val="00AE5667"/>
    <w:rsid w:val="00AE5B5C"/>
    <w:rsid w:val="00AE5B68"/>
    <w:rsid w:val="00AE5E8E"/>
    <w:rsid w:val="00AE6086"/>
    <w:rsid w:val="00AE621E"/>
    <w:rsid w:val="00AE640D"/>
    <w:rsid w:val="00AE681F"/>
    <w:rsid w:val="00AE6850"/>
    <w:rsid w:val="00AE7045"/>
    <w:rsid w:val="00AE7057"/>
    <w:rsid w:val="00AE7A78"/>
    <w:rsid w:val="00AE7E6E"/>
    <w:rsid w:val="00AF0481"/>
    <w:rsid w:val="00AF054C"/>
    <w:rsid w:val="00AF057A"/>
    <w:rsid w:val="00AF0B6D"/>
    <w:rsid w:val="00AF0D2B"/>
    <w:rsid w:val="00AF0E2B"/>
    <w:rsid w:val="00AF12FA"/>
    <w:rsid w:val="00AF13C6"/>
    <w:rsid w:val="00AF159E"/>
    <w:rsid w:val="00AF15E9"/>
    <w:rsid w:val="00AF1F76"/>
    <w:rsid w:val="00AF208F"/>
    <w:rsid w:val="00AF209C"/>
    <w:rsid w:val="00AF2305"/>
    <w:rsid w:val="00AF2489"/>
    <w:rsid w:val="00AF2620"/>
    <w:rsid w:val="00AF26A5"/>
    <w:rsid w:val="00AF2AC7"/>
    <w:rsid w:val="00AF2B23"/>
    <w:rsid w:val="00AF3048"/>
    <w:rsid w:val="00AF3054"/>
    <w:rsid w:val="00AF30F1"/>
    <w:rsid w:val="00AF3137"/>
    <w:rsid w:val="00AF315B"/>
    <w:rsid w:val="00AF33DB"/>
    <w:rsid w:val="00AF379E"/>
    <w:rsid w:val="00AF3979"/>
    <w:rsid w:val="00AF3996"/>
    <w:rsid w:val="00AF3D78"/>
    <w:rsid w:val="00AF408A"/>
    <w:rsid w:val="00AF43E7"/>
    <w:rsid w:val="00AF4409"/>
    <w:rsid w:val="00AF465D"/>
    <w:rsid w:val="00AF4750"/>
    <w:rsid w:val="00AF4860"/>
    <w:rsid w:val="00AF4CF8"/>
    <w:rsid w:val="00AF5203"/>
    <w:rsid w:val="00AF559C"/>
    <w:rsid w:val="00AF5869"/>
    <w:rsid w:val="00AF64A7"/>
    <w:rsid w:val="00AF7606"/>
    <w:rsid w:val="00AF77A4"/>
    <w:rsid w:val="00AF7886"/>
    <w:rsid w:val="00AF7E26"/>
    <w:rsid w:val="00AF7EB2"/>
    <w:rsid w:val="00B009FB"/>
    <w:rsid w:val="00B00D47"/>
    <w:rsid w:val="00B00F25"/>
    <w:rsid w:val="00B0152A"/>
    <w:rsid w:val="00B015B6"/>
    <w:rsid w:val="00B01632"/>
    <w:rsid w:val="00B021F7"/>
    <w:rsid w:val="00B027E9"/>
    <w:rsid w:val="00B0293C"/>
    <w:rsid w:val="00B02A4F"/>
    <w:rsid w:val="00B02D22"/>
    <w:rsid w:val="00B02EE7"/>
    <w:rsid w:val="00B03082"/>
    <w:rsid w:val="00B031B3"/>
    <w:rsid w:val="00B034A3"/>
    <w:rsid w:val="00B03598"/>
    <w:rsid w:val="00B036ED"/>
    <w:rsid w:val="00B037A0"/>
    <w:rsid w:val="00B0393B"/>
    <w:rsid w:val="00B03961"/>
    <w:rsid w:val="00B03AB3"/>
    <w:rsid w:val="00B04466"/>
    <w:rsid w:val="00B04551"/>
    <w:rsid w:val="00B04791"/>
    <w:rsid w:val="00B04823"/>
    <w:rsid w:val="00B051C5"/>
    <w:rsid w:val="00B059B6"/>
    <w:rsid w:val="00B05A31"/>
    <w:rsid w:val="00B05A87"/>
    <w:rsid w:val="00B05B11"/>
    <w:rsid w:val="00B05F59"/>
    <w:rsid w:val="00B068D9"/>
    <w:rsid w:val="00B069CB"/>
    <w:rsid w:val="00B06F23"/>
    <w:rsid w:val="00B0765D"/>
    <w:rsid w:val="00B077DA"/>
    <w:rsid w:val="00B079CB"/>
    <w:rsid w:val="00B10216"/>
    <w:rsid w:val="00B10254"/>
    <w:rsid w:val="00B10459"/>
    <w:rsid w:val="00B105BB"/>
    <w:rsid w:val="00B10936"/>
    <w:rsid w:val="00B10A3A"/>
    <w:rsid w:val="00B10FF7"/>
    <w:rsid w:val="00B11874"/>
    <w:rsid w:val="00B12440"/>
    <w:rsid w:val="00B12688"/>
    <w:rsid w:val="00B12FC2"/>
    <w:rsid w:val="00B13003"/>
    <w:rsid w:val="00B1356B"/>
    <w:rsid w:val="00B13968"/>
    <w:rsid w:val="00B139FB"/>
    <w:rsid w:val="00B13C2A"/>
    <w:rsid w:val="00B13D33"/>
    <w:rsid w:val="00B141D7"/>
    <w:rsid w:val="00B146BD"/>
    <w:rsid w:val="00B14810"/>
    <w:rsid w:val="00B15274"/>
    <w:rsid w:val="00B1552C"/>
    <w:rsid w:val="00B155B5"/>
    <w:rsid w:val="00B15667"/>
    <w:rsid w:val="00B15E6C"/>
    <w:rsid w:val="00B165D2"/>
    <w:rsid w:val="00B16A96"/>
    <w:rsid w:val="00B16B50"/>
    <w:rsid w:val="00B16E13"/>
    <w:rsid w:val="00B17023"/>
    <w:rsid w:val="00B17069"/>
    <w:rsid w:val="00B1722E"/>
    <w:rsid w:val="00B17275"/>
    <w:rsid w:val="00B179BD"/>
    <w:rsid w:val="00B17E54"/>
    <w:rsid w:val="00B2038E"/>
    <w:rsid w:val="00B207AE"/>
    <w:rsid w:val="00B20CB3"/>
    <w:rsid w:val="00B20E88"/>
    <w:rsid w:val="00B21079"/>
    <w:rsid w:val="00B21375"/>
    <w:rsid w:val="00B214D2"/>
    <w:rsid w:val="00B21575"/>
    <w:rsid w:val="00B216F8"/>
    <w:rsid w:val="00B217E9"/>
    <w:rsid w:val="00B21B6B"/>
    <w:rsid w:val="00B21D6B"/>
    <w:rsid w:val="00B21F00"/>
    <w:rsid w:val="00B22390"/>
    <w:rsid w:val="00B2245F"/>
    <w:rsid w:val="00B22869"/>
    <w:rsid w:val="00B23024"/>
    <w:rsid w:val="00B2345E"/>
    <w:rsid w:val="00B2347C"/>
    <w:rsid w:val="00B2375D"/>
    <w:rsid w:val="00B24155"/>
    <w:rsid w:val="00B241A8"/>
    <w:rsid w:val="00B24582"/>
    <w:rsid w:val="00B247D8"/>
    <w:rsid w:val="00B2487F"/>
    <w:rsid w:val="00B252A4"/>
    <w:rsid w:val="00B25387"/>
    <w:rsid w:val="00B258D6"/>
    <w:rsid w:val="00B25A1F"/>
    <w:rsid w:val="00B26038"/>
    <w:rsid w:val="00B26943"/>
    <w:rsid w:val="00B269C6"/>
    <w:rsid w:val="00B26F80"/>
    <w:rsid w:val="00B27225"/>
    <w:rsid w:val="00B27244"/>
    <w:rsid w:val="00B27549"/>
    <w:rsid w:val="00B275A8"/>
    <w:rsid w:val="00B27834"/>
    <w:rsid w:val="00B27B21"/>
    <w:rsid w:val="00B27DD0"/>
    <w:rsid w:val="00B30323"/>
    <w:rsid w:val="00B307D7"/>
    <w:rsid w:val="00B30B8B"/>
    <w:rsid w:val="00B3123F"/>
    <w:rsid w:val="00B313F5"/>
    <w:rsid w:val="00B31511"/>
    <w:rsid w:val="00B31AE6"/>
    <w:rsid w:val="00B31AEE"/>
    <w:rsid w:val="00B31C64"/>
    <w:rsid w:val="00B31C67"/>
    <w:rsid w:val="00B31CC6"/>
    <w:rsid w:val="00B32513"/>
    <w:rsid w:val="00B32CDF"/>
    <w:rsid w:val="00B32D24"/>
    <w:rsid w:val="00B333FD"/>
    <w:rsid w:val="00B3381A"/>
    <w:rsid w:val="00B3389B"/>
    <w:rsid w:val="00B338E4"/>
    <w:rsid w:val="00B339FB"/>
    <w:rsid w:val="00B33F8B"/>
    <w:rsid w:val="00B340EF"/>
    <w:rsid w:val="00B342A2"/>
    <w:rsid w:val="00B347C7"/>
    <w:rsid w:val="00B349E4"/>
    <w:rsid w:val="00B34A51"/>
    <w:rsid w:val="00B34A8F"/>
    <w:rsid w:val="00B34FE3"/>
    <w:rsid w:val="00B350AD"/>
    <w:rsid w:val="00B35169"/>
    <w:rsid w:val="00B3548D"/>
    <w:rsid w:val="00B355C2"/>
    <w:rsid w:val="00B359DB"/>
    <w:rsid w:val="00B35E2F"/>
    <w:rsid w:val="00B365CF"/>
    <w:rsid w:val="00B36D06"/>
    <w:rsid w:val="00B36F83"/>
    <w:rsid w:val="00B3700E"/>
    <w:rsid w:val="00B3733E"/>
    <w:rsid w:val="00B37F1C"/>
    <w:rsid w:val="00B400DA"/>
    <w:rsid w:val="00B40A30"/>
    <w:rsid w:val="00B40EE6"/>
    <w:rsid w:val="00B40F65"/>
    <w:rsid w:val="00B410AB"/>
    <w:rsid w:val="00B413D2"/>
    <w:rsid w:val="00B41451"/>
    <w:rsid w:val="00B4156F"/>
    <w:rsid w:val="00B418FC"/>
    <w:rsid w:val="00B41E89"/>
    <w:rsid w:val="00B41EAC"/>
    <w:rsid w:val="00B426B4"/>
    <w:rsid w:val="00B42799"/>
    <w:rsid w:val="00B42C7F"/>
    <w:rsid w:val="00B42CD8"/>
    <w:rsid w:val="00B42D80"/>
    <w:rsid w:val="00B42DD4"/>
    <w:rsid w:val="00B42F50"/>
    <w:rsid w:val="00B43452"/>
    <w:rsid w:val="00B43965"/>
    <w:rsid w:val="00B445CF"/>
    <w:rsid w:val="00B4471B"/>
    <w:rsid w:val="00B44DC2"/>
    <w:rsid w:val="00B4549D"/>
    <w:rsid w:val="00B4558B"/>
    <w:rsid w:val="00B4570A"/>
    <w:rsid w:val="00B4591D"/>
    <w:rsid w:val="00B45A5A"/>
    <w:rsid w:val="00B45B5D"/>
    <w:rsid w:val="00B46C1D"/>
    <w:rsid w:val="00B46C72"/>
    <w:rsid w:val="00B4700E"/>
    <w:rsid w:val="00B47161"/>
    <w:rsid w:val="00B47438"/>
    <w:rsid w:val="00B47AEC"/>
    <w:rsid w:val="00B50C58"/>
    <w:rsid w:val="00B50D4A"/>
    <w:rsid w:val="00B50F3B"/>
    <w:rsid w:val="00B50F82"/>
    <w:rsid w:val="00B517B7"/>
    <w:rsid w:val="00B526BC"/>
    <w:rsid w:val="00B52AC1"/>
    <w:rsid w:val="00B52C50"/>
    <w:rsid w:val="00B539EF"/>
    <w:rsid w:val="00B53A66"/>
    <w:rsid w:val="00B53B90"/>
    <w:rsid w:val="00B53D76"/>
    <w:rsid w:val="00B546B0"/>
    <w:rsid w:val="00B549B4"/>
    <w:rsid w:val="00B54A95"/>
    <w:rsid w:val="00B54B6A"/>
    <w:rsid w:val="00B54D65"/>
    <w:rsid w:val="00B550B8"/>
    <w:rsid w:val="00B55821"/>
    <w:rsid w:val="00B5589F"/>
    <w:rsid w:val="00B559DC"/>
    <w:rsid w:val="00B55C5A"/>
    <w:rsid w:val="00B55D4E"/>
    <w:rsid w:val="00B55E3E"/>
    <w:rsid w:val="00B563AC"/>
    <w:rsid w:val="00B564AA"/>
    <w:rsid w:val="00B56693"/>
    <w:rsid w:val="00B56A90"/>
    <w:rsid w:val="00B56CE3"/>
    <w:rsid w:val="00B56E20"/>
    <w:rsid w:val="00B56E8E"/>
    <w:rsid w:val="00B56E9A"/>
    <w:rsid w:val="00B56EAA"/>
    <w:rsid w:val="00B56F5C"/>
    <w:rsid w:val="00B5714D"/>
    <w:rsid w:val="00B57683"/>
    <w:rsid w:val="00B576E9"/>
    <w:rsid w:val="00B57735"/>
    <w:rsid w:val="00B57771"/>
    <w:rsid w:val="00B578CF"/>
    <w:rsid w:val="00B57BAC"/>
    <w:rsid w:val="00B57C33"/>
    <w:rsid w:val="00B57FE7"/>
    <w:rsid w:val="00B602CF"/>
    <w:rsid w:val="00B604B3"/>
    <w:rsid w:val="00B60ACC"/>
    <w:rsid w:val="00B61097"/>
    <w:rsid w:val="00B61300"/>
    <w:rsid w:val="00B61883"/>
    <w:rsid w:val="00B61991"/>
    <w:rsid w:val="00B61A44"/>
    <w:rsid w:val="00B61CEB"/>
    <w:rsid w:val="00B62375"/>
    <w:rsid w:val="00B62839"/>
    <w:rsid w:val="00B62B1E"/>
    <w:rsid w:val="00B62D5D"/>
    <w:rsid w:val="00B6334D"/>
    <w:rsid w:val="00B635C8"/>
    <w:rsid w:val="00B63785"/>
    <w:rsid w:val="00B63965"/>
    <w:rsid w:val="00B6400A"/>
    <w:rsid w:val="00B64266"/>
    <w:rsid w:val="00B64E40"/>
    <w:rsid w:val="00B64F78"/>
    <w:rsid w:val="00B65164"/>
    <w:rsid w:val="00B651F1"/>
    <w:rsid w:val="00B6535E"/>
    <w:rsid w:val="00B65592"/>
    <w:rsid w:val="00B657C3"/>
    <w:rsid w:val="00B65B9F"/>
    <w:rsid w:val="00B665E2"/>
    <w:rsid w:val="00B6727B"/>
    <w:rsid w:val="00B6737A"/>
    <w:rsid w:val="00B67BEB"/>
    <w:rsid w:val="00B67C4A"/>
    <w:rsid w:val="00B67E47"/>
    <w:rsid w:val="00B703EA"/>
    <w:rsid w:val="00B70687"/>
    <w:rsid w:val="00B70775"/>
    <w:rsid w:val="00B70EF5"/>
    <w:rsid w:val="00B7147A"/>
    <w:rsid w:val="00B7189A"/>
    <w:rsid w:val="00B71919"/>
    <w:rsid w:val="00B71B70"/>
    <w:rsid w:val="00B71E60"/>
    <w:rsid w:val="00B71F41"/>
    <w:rsid w:val="00B72600"/>
    <w:rsid w:val="00B72C34"/>
    <w:rsid w:val="00B72CB2"/>
    <w:rsid w:val="00B72CEF"/>
    <w:rsid w:val="00B72DBC"/>
    <w:rsid w:val="00B72F63"/>
    <w:rsid w:val="00B72F73"/>
    <w:rsid w:val="00B72FF5"/>
    <w:rsid w:val="00B73158"/>
    <w:rsid w:val="00B734A3"/>
    <w:rsid w:val="00B738FB"/>
    <w:rsid w:val="00B73C31"/>
    <w:rsid w:val="00B73CC3"/>
    <w:rsid w:val="00B73E33"/>
    <w:rsid w:val="00B73FDA"/>
    <w:rsid w:val="00B741AE"/>
    <w:rsid w:val="00B741D7"/>
    <w:rsid w:val="00B742BD"/>
    <w:rsid w:val="00B74428"/>
    <w:rsid w:val="00B746A0"/>
    <w:rsid w:val="00B74C0A"/>
    <w:rsid w:val="00B74D01"/>
    <w:rsid w:val="00B753F6"/>
    <w:rsid w:val="00B755E4"/>
    <w:rsid w:val="00B75731"/>
    <w:rsid w:val="00B7583E"/>
    <w:rsid w:val="00B75A21"/>
    <w:rsid w:val="00B75C96"/>
    <w:rsid w:val="00B75CFF"/>
    <w:rsid w:val="00B76016"/>
    <w:rsid w:val="00B764C5"/>
    <w:rsid w:val="00B76743"/>
    <w:rsid w:val="00B76882"/>
    <w:rsid w:val="00B768D0"/>
    <w:rsid w:val="00B76A60"/>
    <w:rsid w:val="00B76B1B"/>
    <w:rsid w:val="00B76BB2"/>
    <w:rsid w:val="00B76D04"/>
    <w:rsid w:val="00B770FC"/>
    <w:rsid w:val="00B77475"/>
    <w:rsid w:val="00B77B90"/>
    <w:rsid w:val="00B77CBB"/>
    <w:rsid w:val="00B77DCC"/>
    <w:rsid w:val="00B80090"/>
    <w:rsid w:val="00B802B1"/>
    <w:rsid w:val="00B805DF"/>
    <w:rsid w:val="00B80A6A"/>
    <w:rsid w:val="00B80B76"/>
    <w:rsid w:val="00B80B7B"/>
    <w:rsid w:val="00B80D32"/>
    <w:rsid w:val="00B80DA7"/>
    <w:rsid w:val="00B80DCA"/>
    <w:rsid w:val="00B80F0F"/>
    <w:rsid w:val="00B810F0"/>
    <w:rsid w:val="00B81110"/>
    <w:rsid w:val="00B8114A"/>
    <w:rsid w:val="00B8147D"/>
    <w:rsid w:val="00B8200D"/>
    <w:rsid w:val="00B82EFF"/>
    <w:rsid w:val="00B82F39"/>
    <w:rsid w:val="00B8305C"/>
    <w:rsid w:val="00B830FB"/>
    <w:rsid w:val="00B833CA"/>
    <w:rsid w:val="00B8362D"/>
    <w:rsid w:val="00B83753"/>
    <w:rsid w:val="00B8379C"/>
    <w:rsid w:val="00B83D51"/>
    <w:rsid w:val="00B83D90"/>
    <w:rsid w:val="00B84052"/>
    <w:rsid w:val="00B84089"/>
    <w:rsid w:val="00B8424A"/>
    <w:rsid w:val="00B84840"/>
    <w:rsid w:val="00B849EE"/>
    <w:rsid w:val="00B849F3"/>
    <w:rsid w:val="00B84D58"/>
    <w:rsid w:val="00B84FFF"/>
    <w:rsid w:val="00B8502A"/>
    <w:rsid w:val="00B8508E"/>
    <w:rsid w:val="00B851DD"/>
    <w:rsid w:val="00B857AA"/>
    <w:rsid w:val="00B85821"/>
    <w:rsid w:val="00B8585A"/>
    <w:rsid w:val="00B858C8"/>
    <w:rsid w:val="00B85A13"/>
    <w:rsid w:val="00B85C03"/>
    <w:rsid w:val="00B85DC7"/>
    <w:rsid w:val="00B85ED7"/>
    <w:rsid w:val="00B85F11"/>
    <w:rsid w:val="00B8687B"/>
    <w:rsid w:val="00B87C21"/>
    <w:rsid w:val="00B90060"/>
    <w:rsid w:val="00B90352"/>
    <w:rsid w:val="00B90427"/>
    <w:rsid w:val="00B90492"/>
    <w:rsid w:val="00B90ABF"/>
    <w:rsid w:val="00B90AFA"/>
    <w:rsid w:val="00B90EB5"/>
    <w:rsid w:val="00B90F76"/>
    <w:rsid w:val="00B9101F"/>
    <w:rsid w:val="00B915D3"/>
    <w:rsid w:val="00B9181B"/>
    <w:rsid w:val="00B91DD5"/>
    <w:rsid w:val="00B91EB3"/>
    <w:rsid w:val="00B91F87"/>
    <w:rsid w:val="00B92393"/>
    <w:rsid w:val="00B924E8"/>
    <w:rsid w:val="00B928FB"/>
    <w:rsid w:val="00B92CAB"/>
    <w:rsid w:val="00B93472"/>
    <w:rsid w:val="00B9363D"/>
    <w:rsid w:val="00B93677"/>
    <w:rsid w:val="00B94043"/>
    <w:rsid w:val="00B9405F"/>
    <w:rsid w:val="00B9426D"/>
    <w:rsid w:val="00B9443D"/>
    <w:rsid w:val="00B94782"/>
    <w:rsid w:val="00B95474"/>
    <w:rsid w:val="00B95671"/>
    <w:rsid w:val="00B957D8"/>
    <w:rsid w:val="00B9599D"/>
    <w:rsid w:val="00B95EC9"/>
    <w:rsid w:val="00B95F8B"/>
    <w:rsid w:val="00B9601C"/>
    <w:rsid w:val="00B96040"/>
    <w:rsid w:val="00B963E4"/>
    <w:rsid w:val="00B96877"/>
    <w:rsid w:val="00B96989"/>
    <w:rsid w:val="00B96ABD"/>
    <w:rsid w:val="00B96ACB"/>
    <w:rsid w:val="00B97172"/>
    <w:rsid w:val="00B97531"/>
    <w:rsid w:val="00B97633"/>
    <w:rsid w:val="00B97D0B"/>
    <w:rsid w:val="00BA008E"/>
    <w:rsid w:val="00BA0972"/>
    <w:rsid w:val="00BA0E5B"/>
    <w:rsid w:val="00BA0EF3"/>
    <w:rsid w:val="00BA1000"/>
    <w:rsid w:val="00BA104C"/>
    <w:rsid w:val="00BA10B9"/>
    <w:rsid w:val="00BA14BD"/>
    <w:rsid w:val="00BA179B"/>
    <w:rsid w:val="00BA1933"/>
    <w:rsid w:val="00BA19BF"/>
    <w:rsid w:val="00BA1A9D"/>
    <w:rsid w:val="00BA1D28"/>
    <w:rsid w:val="00BA1D7F"/>
    <w:rsid w:val="00BA26D7"/>
    <w:rsid w:val="00BA283A"/>
    <w:rsid w:val="00BA2BE6"/>
    <w:rsid w:val="00BA2D6E"/>
    <w:rsid w:val="00BA2E54"/>
    <w:rsid w:val="00BA2E94"/>
    <w:rsid w:val="00BA300A"/>
    <w:rsid w:val="00BA307F"/>
    <w:rsid w:val="00BA3300"/>
    <w:rsid w:val="00BA33BC"/>
    <w:rsid w:val="00BA363A"/>
    <w:rsid w:val="00BA3658"/>
    <w:rsid w:val="00BA4251"/>
    <w:rsid w:val="00BA4915"/>
    <w:rsid w:val="00BA4D32"/>
    <w:rsid w:val="00BA4FC2"/>
    <w:rsid w:val="00BA503C"/>
    <w:rsid w:val="00BA5396"/>
    <w:rsid w:val="00BA542B"/>
    <w:rsid w:val="00BA562A"/>
    <w:rsid w:val="00BA5630"/>
    <w:rsid w:val="00BA5E70"/>
    <w:rsid w:val="00BA5F71"/>
    <w:rsid w:val="00BA6064"/>
    <w:rsid w:val="00BA6534"/>
    <w:rsid w:val="00BA658E"/>
    <w:rsid w:val="00BA67D6"/>
    <w:rsid w:val="00BA6A40"/>
    <w:rsid w:val="00BA7459"/>
    <w:rsid w:val="00BA74FA"/>
    <w:rsid w:val="00BA7711"/>
    <w:rsid w:val="00BA7AF1"/>
    <w:rsid w:val="00BA7C17"/>
    <w:rsid w:val="00BA7CCA"/>
    <w:rsid w:val="00BA7D22"/>
    <w:rsid w:val="00BB002E"/>
    <w:rsid w:val="00BB03CA"/>
    <w:rsid w:val="00BB0428"/>
    <w:rsid w:val="00BB0782"/>
    <w:rsid w:val="00BB0C77"/>
    <w:rsid w:val="00BB0D01"/>
    <w:rsid w:val="00BB0EA3"/>
    <w:rsid w:val="00BB0FD9"/>
    <w:rsid w:val="00BB122F"/>
    <w:rsid w:val="00BB131C"/>
    <w:rsid w:val="00BB1931"/>
    <w:rsid w:val="00BB1B54"/>
    <w:rsid w:val="00BB1D3B"/>
    <w:rsid w:val="00BB1FBA"/>
    <w:rsid w:val="00BB2815"/>
    <w:rsid w:val="00BB2A3E"/>
    <w:rsid w:val="00BB2A9F"/>
    <w:rsid w:val="00BB2D56"/>
    <w:rsid w:val="00BB2EA0"/>
    <w:rsid w:val="00BB307A"/>
    <w:rsid w:val="00BB34E9"/>
    <w:rsid w:val="00BB3550"/>
    <w:rsid w:val="00BB35C7"/>
    <w:rsid w:val="00BB3820"/>
    <w:rsid w:val="00BB3C57"/>
    <w:rsid w:val="00BB3EF2"/>
    <w:rsid w:val="00BB41E2"/>
    <w:rsid w:val="00BB4C09"/>
    <w:rsid w:val="00BB4C70"/>
    <w:rsid w:val="00BB50AB"/>
    <w:rsid w:val="00BB519E"/>
    <w:rsid w:val="00BB5252"/>
    <w:rsid w:val="00BB581D"/>
    <w:rsid w:val="00BB5CD4"/>
    <w:rsid w:val="00BB5E89"/>
    <w:rsid w:val="00BB63AB"/>
    <w:rsid w:val="00BB66E8"/>
    <w:rsid w:val="00BB6A07"/>
    <w:rsid w:val="00BB6B60"/>
    <w:rsid w:val="00BB71A6"/>
    <w:rsid w:val="00BB73D0"/>
    <w:rsid w:val="00BB7568"/>
    <w:rsid w:val="00BB796B"/>
    <w:rsid w:val="00BB7BB8"/>
    <w:rsid w:val="00BB7C1D"/>
    <w:rsid w:val="00BB7CD8"/>
    <w:rsid w:val="00BB7D34"/>
    <w:rsid w:val="00BB7F52"/>
    <w:rsid w:val="00BC0024"/>
    <w:rsid w:val="00BC03AD"/>
    <w:rsid w:val="00BC0479"/>
    <w:rsid w:val="00BC0826"/>
    <w:rsid w:val="00BC0902"/>
    <w:rsid w:val="00BC0C7C"/>
    <w:rsid w:val="00BC0CC8"/>
    <w:rsid w:val="00BC1196"/>
    <w:rsid w:val="00BC1760"/>
    <w:rsid w:val="00BC197B"/>
    <w:rsid w:val="00BC1B6D"/>
    <w:rsid w:val="00BC229D"/>
    <w:rsid w:val="00BC25B8"/>
    <w:rsid w:val="00BC25F6"/>
    <w:rsid w:val="00BC26EA"/>
    <w:rsid w:val="00BC27C6"/>
    <w:rsid w:val="00BC283F"/>
    <w:rsid w:val="00BC2CCE"/>
    <w:rsid w:val="00BC2E19"/>
    <w:rsid w:val="00BC2F79"/>
    <w:rsid w:val="00BC317A"/>
    <w:rsid w:val="00BC37EA"/>
    <w:rsid w:val="00BC3B0E"/>
    <w:rsid w:val="00BC4046"/>
    <w:rsid w:val="00BC4069"/>
    <w:rsid w:val="00BC4337"/>
    <w:rsid w:val="00BC4376"/>
    <w:rsid w:val="00BC449E"/>
    <w:rsid w:val="00BC5EF7"/>
    <w:rsid w:val="00BC6346"/>
    <w:rsid w:val="00BC676D"/>
    <w:rsid w:val="00BC6F96"/>
    <w:rsid w:val="00BC6FE0"/>
    <w:rsid w:val="00BC74F2"/>
    <w:rsid w:val="00BC763E"/>
    <w:rsid w:val="00BC7F88"/>
    <w:rsid w:val="00BD0360"/>
    <w:rsid w:val="00BD055F"/>
    <w:rsid w:val="00BD059B"/>
    <w:rsid w:val="00BD05CC"/>
    <w:rsid w:val="00BD0726"/>
    <w:rsid w:val="00BD08BB"/>
    <w:rsid w:val="00BD0BD5"/>
    <w:rsid w:val="00BD0F9D"/>
    <w:rsid w:val="00BD14A6"/>
    <w:rsid w:val="00BD17BF"/>
    <w:rsid w:val="00BD17DF"/>
    <w:rsid w:val="00BD1826"/>
    <w:rsid w:val="00BD1962"/>
    <w:rsid w:val="00BD1A45"/>
    <w:rsid w:val="00BD2380"/>
    <w:rsid w:val="00BD2475"/>
    <w:rsid w:val="00BD2B67"/>
    <w:rsid w:val="00BD2DE7"/>
    <w:rsid w:val="00BD2FF0"/>
    <w:rsid w:val="00BD30A9"/>
    <w:rsid w:val="00BD30C8"/>
    <w:rsid w:val="00BD31F7"/>
    <w:rsid w:val="00BD340D"/>
    <w:rsid w:val="00BD381D"/>
    <w:rsid w:val="00BD39E1"/>
    <w:rsid w:val="00BD3DD9"/>
    <w:rsid w:val="00BD3ECE"/>
    <w:rsid w:val="00BD3FBE"/>
    <w:rsid w:val="00BD416C"/>
    <w:rsid w:val="00BD459C"/>
    <w:rsid w:val="00BD4689"/>
    <w:rsid w:val="00BD4811"/>
    <w:rsid w:val="00BD4A67"/>
    <w:rsid w:val="00BD4AA9"/>
    <w:rsid w:val="00BD5043"/>
    <w:rsid w:val="00BD5200"/>
    <w:rsid w:val="00BD5A0E"/>
    <w:rsid w:val="00BD5BB0"/>
    <w:rsid w:val="00BD5EFA"/>
    <w:rsid w:val="00BD6481"/>
    <w:rsid w:val="00BD65B2"/>
    <w:rsid w:val="00BD6637"/>
    <w:rsid w:val="00BD68D4"/>
    <w:rsid w:val="00BD6A8F"/>
    <w:rsid w:val="00BD6BEB"/>
    <w:rsid w:val="00BD6C31"/>
    <w:rsid w:val="00BD75ED"/>
    <w:rsid w:val="00BD77A8"/>
    <w:rsid w:val="00BE0547"/>
    <w:rsid w:val="00BE07F9"/>
    <w:rsid w:val="00BE089C"/>
    <w:rsid w:val="00BE0B51"/>
    <w:rsid w:val="00BE0D25"/>
    <w:rsid w:val="00BE0E4A"/>
    <w:rsid w:val="00BE19D1"/>
    <w:rsid w:val="00BE2570"/>
    <w:rsid w:val="00BE2760"/>
    <w:rsid w:val="00BE2B1F"/>
    <w:rsid w:val="00BE2DA8"/>
    <w:rsid w:val="00BE3081"/>
    <w:rsid w:val="00BE33F8"/>
    <w:rsid w:val="00BE37EF"/>
    <w:rsid w:val="00BE3B63"/>
    <w:rsid w:val="00BE4387"/>
    <w:rsid w:val="00BE4439"/>
    <w:rsid w:val="00BE47BA"/>
    <w:rsid w:val="00BE49C9"/>
    <w:rsid w:val="00BE4CD2"/>
    <w:rsid w:val="00BE4D24"/>
    <w:rsid w:val="00BE5084"/>
    <w:rsid w:val="00BE52AA"/>
    <w:rsid w:val="00BE5456"/>
    <w:rsid w:val="00BE5833"/>
    <w:rsid w:val="00BE5E42"/>
    <w:rsid w:val="00BE614C"/>
    <w:rsid w:val="00BE6696"/>
    <w:rsid w:val="00BE6D87"/>
    <w:rsid w:val="00BE6E00"/>
    <w:rsid w:val="00BE72DA"/>
    <w:rsid w:val="00BE731D"/>
    <w:rsid w:val="00BE7355"/>
    <w:rsid w:val="00BE7956"/>
    <w:rsid w:val="00BF01C8"/>
    <w:rsid w:val="00BF04F0"/>
    <w:rsid w:val="00BF06FC"/>
    <w:rsid w:val="00BF080D"/>
    <w:rsid w:val="00BF0BA6"/>
    <w:rsid w:val="00BF113F"/>
    <w:rsid w:val="00BF1150"/>
    <w:rsid w:val="00BF16D0"/>
    <w:rsid w:val="00BF1B28"/>
    <w:rsid w:val="00BF1E3C"/>
    <w:rsid w:val="00BF1F33"/>
    <w:rsid w:val="00BF21FC"/>
    <w:rsid w:val="00BF25F0"/>
    <w:rsid w:val="00BF27D1"/>
    <w:rsid w:val="00BF2AC8"/>
    <w:rsid w:val="00BF2B97"/>
    <w:rsid w:val="00BF2C83"/>
    <w:rsid w:val="00BF32B7"/>
    <w:rsid w:val="00BF332F"/>
    <w:rsid w:val="00BF37AD"/>
    <w:rsid w:val="00BF39D9"/>
    <w:rsid w:val="00BF3BDF"/>
    <w:rsid w:val="00BF3C8A"/>
    <w:rsid w:val="00BF3E47"/>
    <w:rsid w:val="00BF3E9F"/>
    <w:rsid w:val="00BF400F"/>
    <w:rsid w:val="00BF4753"/>
    <w:rsid w:val="00BF4775"/>
    <w:rsid w:val="00BF477B"/>
    <w:rsid w:val="00BF4E1C"/>
    <w:rsid w:val="00BF54C3"/>
    <w:rsid w:val="00BF56CC"/>
    <w:rsid w:val="00BF57A5"/>
    <w:rsid w:val="00BF5F0E"/>
    <w:rsid w:val="00BF611A"/>
    <w:rsid w:val="00BF61FE"/>
    <w:rsid w:val="00BF6527"/>
    <w:rsid w:val="00BF6882"/>
    <w:rsid w:val="00BF6BDA"/>
    <w:rsid w:val="00BF6C37"/>
    <w:rsid w:val="00BF6CAB"/>
    <w:rsid w:val="00BF722D"/>
    <w:rsid w:val="00BF728D"/>
    <w:rsid w:val="00BF7371"/>
    <w:rsid w:val="00BF75ED"/>
    <w:rsid w:val="00C00440"/>
    <w:rsid w:val="00C00619"/>
    <w:rsid w:val="00C008E5"/>
    <w:rsid w:val="00C00A23"/>
    <w:rsid w:val="00C00D13"/>
    <w:rsid w:val="00C00DDD"/>
    <w:rsid w:val="00C00EBF"/>
    <w:rsid w:val="00C01085"/>
    <w:rsid w:val="00C0122A"/>
    <w:rsid w:val="00C018A9"/>
    <w:rsid w:val="00C019D4"/>
    <w:rsid w:val="00C01A2B"/>
    <w:rsid w:val="00C0242B"/>
    <w:rsid w:val="00C02714"/>
    <w:rsid w:val="00C0273F"/>
    <w:rsid w:val="00C02943"/>
    <w:rsid w:val="00C02BEA"/>
    <w:rsid w:val="00C02C58"/>
    <w:rsid w:val="00C02EBE"/>
    <w:rsid w:val="00C02F2F"/>
    <w:rsid w:val="00C03061"/>
    <w:rsid w:val="00C0309C"/>
    <w:rsid w:val="00C0318E"/>
    <w:rsid w:val="00C031CC"/>
    <w:rsid w:val="00C03BFE"/>
    <w:rsid w:val="00C03C03"/>
    <w:rsid w:val="00C03C3D"/>
    <w:rsid w:val="00C03E96"/>
    <w:rsid w:val="00C03EEA"/>
    <w:rsid w:val="00C04184"/>
    <w:rsid w:val="00C057BA"/>
    <w:rsid w:val="00C05AE3"/>
    <w:rsid w:val="00C06096"/>
    <w:rsid w:val="00C061CB"/>
    <w:rsid w:val="00C06A52"/>
    <w:rsid w:val="00C06AF5"/>
    <w:rsid w:val="00C06B19"/>
    <w:rsid w:val="00C06BED"/>
    <w:rsid w:val="00C06FD7"/>
    <w:rsid w:val="00C071ED"/>
    <w:rsid w:val="00C07491"/>
    <w:rsid w:val="00C07506"/>
    <w:rsid w:val="00C077EC"/>
    <w:rsid w:val="00C07FFE"/>
    <w:rsid w:val="00C10024"/>
    <w:rsid w:val="00C104E0"/>
    <w:rsid w:val="00C108C2"/>
    <w:rsid w:val="00C108D4"/>
    <w:rsid w:val="00C10EAA"/>
    <w:rsid w:val="00C1105C"/>
    <w:rsid w:val="00C110F0"/>
    <w:rsid w:val="00C11196"/>
    <w:rsid w:val="00C113A0"/>
    <w:rsid w:val="00C115A9"/>
    <w:rsid w:val="00C115B9"/>
    <w:rsid w:val="00C11C04"/>
    <w:rsid w:val="00C12768"/>
    <w:rsid w:val="00C127D9"/>
    <w:rsid w:val="00C12DA0"/>
    <w:rsid w:val="00C13430"/>
    <w:rsid w:val="00C135CE"/>
    <w:rsid w:val="00C13790"/>
    <w:rsid w:val="00C1385D"/>
    <w:rsid w:val="00C139D2"/>
    <w:rsid w:val="00C13F9D"/>
    <w:rsid w:val="00C147E1"/>
    <w:rsid w:val="00C14874"/>
    <w:rsid w:val="00C14A64"/>
    <w:rsid w:val="00C14CAD"/>
    <w:rsid w:val="00C14CC7"/>
    <w:rsid w:val="00C14D3C"/>
    <w:rsid w:val="00C14E7E"/>
    <w:rsid w:val="00C15AB2"/>
    <w:rsid w:val="00C15D2C"/>
    <w:rsid w:val="00C15D88"/>
    <w:rsid w:val="00C15E12"/>
    <w:rsid w:val="00C16111"/>
    <w:rsid w:val="00C161A9"/>
    <w:rsid w:val="00C164CF"/>
    <w:rsid w:val="00C164FF"/>
    <w:rsid w:val="00C16930"/>
    <w:rsid w:val="00C16EE3"/>
    <w:rsid w:val="00C16F13"/>
    <w:rsid w:val="00C170FE"/>
    <w:rsid w:val="00C17324"/>
    <w:rsid w:val="00C175C4"/>
    <w:rsid w:val="00C17DA0"/>
    <w:rsid w:val="00C17F43"/>
    <w:rsid w:val="00C17FEC"/>
    <w:rsid w:val="00C2022A"/>
    <w:rsid w:val="00C2086C"/>
    <w:rsid w:val="00C211AA"/>
    <w:rsid w:val="00C2157F"/>
    <w:rsid w:val="00C21591"/>
    <w:rsid w:val="00C21A22"/>
    <w:rsid w:val="00C22414"/>
    <w:rsid w:val="00C23025"/>
    <w:rsid w:val="00C230BD"/>
    <w:rsid w:val="00C23145"/>
    <w:rsid w:val="00C23458"/>
    <w:rsid w:val="00C235B1"/>
    <w:rsid w:val="00C2372B"/>
    <w:rsid w:val="00C2379C"/>
    <w:rsid w:val="00C238EA"/>
    <w:rsid w:val="00C2414D"/>
    <w:rsid w:val="00C24500"/>
    <w:rsid w:val="00C24640"/>
    <w:rsid w:val="00C247C4"/>
    <w:rsid w:val="00C24866"/>
    <w:rsid w:val="00C2516D"/>
    <w:rsid w:val="00C25213"/>
    <w:rsid w:val="00C25F17"/>
    <w:rsid w:val="00C26025"/>
    <w:rsid w:val="00C2656A"/>
    <w:rsid w:val="00C26C1E"/>
    <w:rsid w:val="00C26D02"/>
    <w:rsid w:val="00C2745A"/>
    <w:rsid w:val="00C275A3"/>
    <w:rsid w:val="00C27E2F"/>
    <w:rsid w:val="00C30010"/>
    <w:rsid w:val="00C30138"/>
    <w:rsid w:val="00C301FB"/>
    <w:rsid w:val="00C3027F"/>
    <w:rsid w:val="00C3031C"/>
    <w:rsid w:val="00C308E8"/>
    <w:rsid w:val="00C30951"/>
    <w:rsid w:val="00C30B51"/>
    <w:rsid w:val="00C3102C"/>
    <w:rsid w:val="00C3105D"/>
    <w:rsid w:val="00C3115B"/>
    <w:rsid w:val="00C313B9"/>
    <w:rsid w:val="00C31451"/>
    <w:rsid w:val="00C31508"/>
    <w:rsid w:val="00C318B8"/>
    <w:rsid w:val="00C31967"/>
    <w:rsid w:val="00C319E1"/>
    <w:rsid w:val="00C31ACD"/>
    <w:rsid w:val="00C31FAF"/>
    <w:rsid w:val="00C32323"/>
    <w:rsid w:val="00C32955"/>
    <w:rsid w:val="00C32BC1"/>
    <w:rsid w:val="00C32BCD"/>
    <w:rsid w:val="00C32E9D"/>
    <w:rsid w:val="00C32EE8"/>
    <w:rsid w:val="00C3383B"/>
    <w:rsid w:val="00C33FDB"/>
    <w:rsid w:val="00C34196"/>
    <w:rsid w:val="00C3444B"/>
    <w:rsid w:val="00C3455D"/>
    <w:rsid w:val="00C350FB"/>
    <w:rsid w:val="00C35594"/>
    <w:rsid w:val="00C357DA"/>
    <w:rsid w:val="00C3592D"/>
    <w:rsid w:val="00C359CE"/>
    <w:rsid w:val="00C35C31"/>
    <w:rsid w:val="00C35C61"/>
    <w:rsid w:val="00C36276"/>
    <w:rsid w:val="00C3642E"/>
    <w:rsid w:val="00C36863"/>
    <w:rsid w:val="00C36950"/>
    <w:rsid w:val="00C36E23"/>
    <w:rsid w:val="00C36EC3"/>
    <w:rsid w:val="00C371FA"/>
    <w:rsid w:val="00C375DB"/>
    <w:rsid w:val="00C379A2"/>
    <w:rsid w:val="00C379BD"/>
    <w:rsid w:val="00C37A57"/>
    <w:rsid w:val="00C37E12"/>
    <w:rsid w:val="00C37F63"/>
    <w:rsid w:val="00C403DA"/>
    <w:rsid w:val="00C40491"/>
    <w:rsid w:val="00C40606"/>
    <w:rsid w:val="00C406FA"/>
    <w:rsid w:val="00C409FF"/>
    <w:rsid w:val="00C40BED"/>
    <w:rsid w:val="00C40E7B"/>
    <w:rsid w:val="00C40E92"/>
    <w:rsid w:val="00C41044"/>
    <w:rsid w:val="00C413F3"/>
    <w:rsid w:val="00C414B5"/>
    <w:rsid w:val="00C41C3C"/>
    <w:rsid w:val="00C41CCB"/>
    <w:rsid w:val="00C41CE3"/>
    <w:rsid w:val="00C41D43"/>
    <w:rsid w:val="00C41F4C"/>
    <w:rsid w:val="00C42693"/>
    <w:rsid w:val="00C42CC2"/>
    <w:rsid w:val="00C430CA"/>
    <w:rsid w:val="00C430D2"/>
    <w:rsid w:val="00C4320F"/>
    <w:rsid w:val="00C432E9"/>
    <w:rsid w:val="00C43431"/>
    <w:rsid w:val="00C43DCC"/>
    <w:rsid w:val="00C4405E"/>
    <w:rsid w:val="00C44071"/>
    <w:rsid w:val="00C447B8"/>
    <w:rsid w:val="00C448F7"/>
    <w:rsid w:val="00C44AAC"/>
    <w:rsid w:val="00C44C79"/>
    <w:rsid w:val="00C44DBF"/>
    <w:rsid w:val="00C450BD"/>
    <w:rsid w:val="00C4528F"/>
    <w:rsid w:val="00C455D3"/>
    <w:rsid w:val="00C4579D"/>
    <w:rsid w:val="00C45BA8"/>
    <w:rsid w:val="00C46175"/>
    <w:rsid w:val="00C4625A"/>
    <w:rsid w:val="00C462A8"/>
    <w:rsid w:val="00C46915"/>
    <w:rsid w:val="00C46B6E"/>
    <w:rsid w:val="00C46C33"/>
    <w:rsid w:val="00C46F41"/>
    <w:rsid w:val="00C47266"/>
    <w:rsid w:val="00C47499"/>
    <w:rsid w:val="00C479FB"/>
    <w:rsid w:val="00C47A51"/>
    <w:rsid w:val="00C47A61"/>
    <w:rsid w:val="00C47AE3"/>
    <w:rsid w:val="00C47C85"/>
    <w:rsid w:val="00C47D63"/>
    <w:rsid w:val="00C47DA4"/>
    <w:rsid w:val="00C47F7B"/>
    <w:rsid w:val="00C50153"/>
    <w:rsid w:val="00C50244"/>
    <w:rsid w:val="00C50428"/>
    <w:rsid w:val="00C5059C"/>
    <w:rsid w:val="00C50C47"/>
    <w:rsid w:val="00C50E82"/>
    <w:rsid w:val="00C51A56"/>
    <w:rsid w:val="00C51A66"/>
    <w:rsid w:val="00C51AEB"/>
    <w:rsid w:val="00C51BE4"/>
    <w:rsid w:val="00C51D16"/>
    <w:rsid w:val="00C5235C"/>
    <w:rsid w:val="00C528CD"/>
    <w:rsid w:val="00C52D86"/>
    <w:rsid w:val="00C52F5F"/>
    <w:rsid w:val="00C533E4"/>
    <w:rsid w:val="00C53878"/>
    <w:rsid w:val="00C53D3E"/>
    <w:rsid w:val="00C5465D"/>
    <w:rsid w:val="00C551D6"/>
    <w:rsid w:val="00C55241"/>
    <w:rsid w:val="00C55B03"/>
    <w:rsid w:val="00C55B14"/>
    <w:rsid w:val="00C55C35"/>
    <w:rsid w:val="00C55DA6"/>
    <w:rsid w:val="00C56613"/>
    <w:rsid w:val="00C567E2"/>
    <w:rsid w:val="00C56B04"/>
    <w:rsid w:val="00C56BAC"/>
    <w:rsid w:val="00C56CAF"/>
    <w:rsid w:val="00C56CD0"/>
    <w:rsid w:val="00C5727B"/>
    <w:rsid w:val="00C5748D"/>
    <w:rsid w:val="00C57983"/>
    <w:rsid w:val="00C5799A"/>
    <w:rsid w:val="00C57B21"/>
    <w:rsid w:val="00C57DFB"/>
    <w:rsid w:val="00C57ECA"/>
    <w:rsid w:val="00C6045E"/>
    <w:rsid w:val="00C604AB"/>
    <w:rsid w:val="00C61146"/>
    <w:rsid w:val="00C612D6"/>
    <w:rsid w:val="00C6147C"/>
    <w:rsid w:val="00C615BD"/>
    <w:rsid w:val="00C61A38"/>
    <w:rsid w:val="00C61F72"/>
    <w:rsid w:val="00C621E9"/>
    <w:rsid w:val="00C626F3"/>
    <w:rsid w:val="00C6284C"/>
    <w:rsid w:val="00C628CA"/>
    <w:rsid w:val="00C62BFE"/>
    <w:rsid w:val="00C631A8"/>
    <w:rsid w:val="00C6373C"/>
    <w:rsid w:val="00C6374D"/>
    <w:rsid w:val="00C638AD"/>
    <w:rsid w:val="00C638B2"/>
    <w:rsid w:val="00C63940"/>
    <w:rsid w:val="00C63E6E"/>
    <w:rsid w:val="00C64099"/>
    <w:rsid w:val="00C645D6"/>
    <w:rsid w:val="00C646D8"/>
    <w:rsid w:val="00C6473F"/>
    <w:rsid w:val="00C6490E"/>
    <w:rsid w:val="00C6522D"/>
    <w:rsid w:val="00C65441"/>
    <w:rsid w:val="00C654A6"/>
    <w:rsid w:val="00C6589B"/>
    <w:rsid w:val="00C658B0"/>
    <w:rsid w:val="00C65D3A"/>
    <w:rsid w:val="00C66880"/>
    <w:rsid w:val="00C66C37"/>
    <w:rsid w:val="00C66E4F"/>
    <w:rsid w:val="00C66FD2"/>
    <w:rsid w:val="00C674CB"/>
    <w:rsid w:val="00C675E7"/>
    <w:rsid w:val="00C67799"/>
    <w:rsid w:val="00C677CF"/>
    <w:rsid w:val="00C679B7"/>
    <w:rsid w:val="00C67A83"/>
    <w:rsid w:val="00C67BCE"/>
    <w:rsid w:val="00C70148"/>
    <w:rsid w:val="00C710C1"/>
    <w:rsid w:val="00C71455"/>
    <w:rsid w:val="00C7161D"/>
    <w:rsid w:val="00C716E4"/>
    <w:rsid w:val="00C7174F"/>
    <w:rsid w:val="00C7183F"/>
    <w:rsid w:val="00C71AA0"/>
    <w:rsid w:val="00C71BC3"/>
    <w:rsid w:val="00C71D27"/>
    <w:rsid w:val="00C71FD5"/>
    <w:rsid w:val="00C72011"/>
    <w:rsid w:val="00C72233"/>
    <w:rsid w:val="00C722E5"/>
    <w:rsid w:val="00C72474"/>
    <w:rsid w:val="00C72FA2"/>
    <w:rsid w:val="00C73543"/>
    <w:rsid w:val="00C7388D"/>
    <w:rsid w:val="00C739AE"/>
    <w:rsid w:val="00C73B48"/>
    <w:rsid w:val="00C73BAA"/>
    <w:rsid w:val="00C73C5F"/>
    <w:rsid w:val="00C7537A"/>
    <w:rsid w:val="00C756FA"/>
    <w:rsid w:val="00C75807"/>
    <w:rsid w:val="00C759D9"/>
    <w:rsid w:val="00C75A1B"/>
    <w:rsid w:val="00C76568"/>
    <w:rsid w:val="00C767B2"/>
    <w:rsid w:val="00C76AE6"/>
    <w:rsid w:val="00C76BFE"/>
    <w:rsid w:val="00C7713B"/>
    <w:rsid w:val="00C77141"/>
    <w:rsid w:val="00C7749A"/>
    <w:rsid w:val="00C7799C"/>
    <w:rsid w:val="00C77D4A"/>
    <w:rsid w:val="00C800B2"/>
    <w:rsid w:val="00C802B3"/>
    <w:rsid w:val="00C80980"/>
    <w:rsid w:val="00C80A80"/>
    <w:rsid w:val="00C80CA8"/>
    <w:rsid w:val="00C80D33"/>
    <w:rsid w:val="00C814FE"/>
    <w:rsid w:val="00C81723"/>
    <w:rsid w:val="00C817EB"/>
    <w:rsid w:val="00C819B5"/>
    <w:rsid w:val="00C81F53"/>
    <w:rsid w:val="00C81FB7"/>
    <w:rsid w:val="00C81FC5"/>
    <w:rsid w:val="00C82288"/>
    <w:rsid w:val="00C8232A"/>
    <w:rsid w:val="00C82345"/>
    <w:rsid w:val="00C827E2"/>
    <w:rsid w:val="00C82838"/>
    <w:rsid w:val="00C82A0F"/>
    <w:rsid w:val="00C82ADD"/>
    <w:rsid w:val="00C82DE5"/>
    <w:rsid w:val="00C83231"/>
    <w:rsid w:val="00C8353B"/>
    <w:rsid w:val="00C83937"/>
    <w:rsid w:val="00C8400C"/>
    <w:rsid w:val="00C842A4"/>
    <w:rsid w:val="00C847BD"/>
    <w:rsid w:val="00C8486E"/>
    <w:rsid w:val="00C84AB3"/>
    <w:rsid w:val="00C85154"/>
    <w:rsid w:val="00C851A8"/>
    <w:rsid w:val="00C85263"/>
    <w:rsid w:val="00C8567C"/>
    <w:rsid w:val="00C85C6C"/>
    <w:rsid w:val="00C85FD9"/>
    <w:rsid w:val="00C86B2F"/>
    <w:rsid w:val="00C86C70"/>
    <w:rsid w:val="00C86D6A"/>
    <w:rsid w:val="00C86ED4"/>
    <w:rsid w:val="00C874B8"/>
    <w:rsid w:val="00C87615"/>
    <w:rsid w:val="00C87672"/>
    <w:rsid w:val="00C87AA7"/>
    <w:rsid w:val="00C87BA5"/>
    <w:rsid w:val="00C87CFE"/>
    <w:rsid w:val="00C87D8D"/>
    <w:rsid w:val="00C87EC7"/>
    <w:rsid w:val="00C90241"/>
    <w:rsid w:val="00C90667"/>
    <w:rsid w:val="00C90B6E"/>
    <w:rsid w:val="00C90F91"/>
    <w:rsid w:val="00C91CC0"/>
    <w:rsid w:val="00C921E6"/>
    <w:rsid w:val="00C9240C"/>
    <w:rsid w:val="00C92429"/>
    <w:rsid w:val="00C92637"/>
    <w:rsid w:val="00C9267D"/>
    <w:rsid w:val="00C92911"/>
    <w:rsid w:val="00C92B35"/>
    <w:rsid w:val="00C92FC2"/>
    <w:rsid w:val="00C93019"/>
    <w:rsid w:val="00C930F3"/>
    <w:rsid w:val="00C93796"/>
    <w:rsid w:val="00C93D1B"/>
    <w:rsid w:val="00C93D2F"/>
    <w:rsid w:val="00C93D85"/>
    <w:rsid w:val="00C93D86"/>
    <w:rsid w:val="00C940BD"/>
    <w:rsid w:val="00C94894"/>
    <w:rsid w:val="00C94964"/>
    <w:rsid w:val="00C94C1A"/>
    <w:rsid w:val="00C94DD2"/>
    <w:rsid w:val="00C94E2F"/>
    <w:rsid w:val="00C94E47"/>
    <w:rsid w:val="00C94FA1"/>
    <w:rsid w:val="00C950D7"/>
    <w:rsid w:val="00C951A4"/>
    <w:rsid w:val="00C951EB"/>
    <w:rsid w:val="00C95553"/>
    <w:rsid w:val="00C956B7"/>
    <w:rsid w:val="00C95712"/>
    <w:rsid w:val="00C9574D"/>
    <w:rsid w:val="00C958BC"/>
    <w:rsid w:val="00C95FB1"/>
    <w:rsid w:val="00C964C3"/>
    <w:rsid w:val="00C969C2"/>
    <w:rsid w:val="00C97819"/>
    <w:rsid w:val="00C97857"/>
    <w:rsid w:val="00C97A07"/>
    <w:rsid w:val="00C97FC9"/>
    <w:rsid w:val="00CA00AF"/>
    <w:rsid w:val="00CA0553"/>
    <w:rsid w:val="00CA076C"/>
    <w:rsid w:val="00CA0B43"/>
    <w:rsid w:val="00CA1814"/>
    <w:rsid w:val="00CA1A61"/>
    <w:rsid w:val="00CA1C9B"/>
    <w:rsid w:val="00CA2182"/>
    <w:rsid w:val="00CA228E"/>
    <w:rsid w:val="00CA2515"/>
    <w:rsid w:val="00CA2528"/>
    <w:rsid w:val="00CA2534"/>
    <w:rsid w:val="00CA3328"/>
    <w:rsid w:val="00CA3385"/>
    <w:rsid w:val="00CA3405"/>
    <w:rsid w:val="00CA3456"/>
    <w:rsid w:val="00CA3B85"/>
    <w:rsid w:val="00CA41BA"/>
    <w:rsid w:val="00CA429F"/>
    <w:rsid w:val="00CA4678"/>
    <w:rsid w:val="00CA468F"/>
    <w:rsid w:val="00CA550B"/>
    <w:rsid w:val="00CA57A0"/>
    <w:rsid w:val="00CA5B2B"/>
    <w:rsid w:val="00CA5B7C"/>
    <w:rsid w:val="00CA5D30"/>
    <w:rsid w:val="00CA5D49"/>
    <w:rsid w:val="00CA6776"/>
    <w:rsid w:val="00CA6796"/>
    <w:rsid w:val="00CA6AA5"/>
    <w:rsid w:val="00CA6B69"/>
    <w:rsid w:val="00CA704F"/>
    <w:rsid w:val="00CA714B"/>
    <w:rsid w:val="00CA7541"/>
    <w:rsid w:val="00CA7817"/>
    <w:rsid w:val="00CA793A"/>
    <w:rsid w:val="00CA7B9E"/>
    <w:rsid w:val="00CB0295"/>
    <w:rsid w:val="00CB0306"/>
    <w:rsid w:val="00CB033A"/>
    <w:rsid w:val="00CB08EE"/>
    <w:rsid w:val="00CB0C49"/>
    <w:rsid w:val="00CB10CC"/>
    <w:rsid w:val="00CB1913"/>
    <w:rsid w:val="00CB1A61"/>
    <w:rsid w:val="00CB1CCD"/>
    <w:rsid w:val="00CB1D0A"/>
    <w:rsid w:val="00CB1DE2"/>
    <w:rsid w:val="00CB2089"/>
    <w:rsid w:val="00CB209B"/>
    <w:rsid w:val="00CB2562"/>
    <w:rsid w:val="00CB25F3"/>
    <w:rsid w:val="00CB3B41"/>
    <w:rsid w:val="00CB4043"/>
    <w:rsid w:val="00CB4B02"/>
    <w:rsid w:val="00CB4EEE"/>
    <w:rsid w:val="00CB56EC"/>
    <w:rsid w:val="00CB5AC8"/>
    <w:rsid w:val="00CB5B97"/>
    <w:rsid w:val="00CB5D26"/>
    <w:rsid w:val="00CB60AE"/>
    <w:rsid w:val="00CB60DC"/>
    <w:rsid w:val="00CB6406"/>
    <w:rsid w:val="00CB681F"/>
    <w:rsid w:val="00CB6E60"/>
    <w:rsid w:val="00CB6FDE"/>
    <w:rsid w:val="00CB7020"/>
    <w:rsid w:val="00CB72BF"/>
    <w:rsid w:val="00CB72F6"/>
    <w:rsid w:val="00CB761A"/>
    <w:rsid w:val="00CB7726"/>
    <w:rsid w:val="00CB7787"/>
    <w:rsid w:val="00CB7792"/>
    <w:rsid w:val="00CB7982"/>
    <w:rsid w:val="00CB7A1B"/>
    <w:rsid w:val="00CB7B82"/>
    <w:rsid w:val="00CB7E23"/>
    <w:rsid w:val="00CC012B"/>
    <w:rsid w:val="00CC016A"/>
    <w:rsid w:val="00CC07D2"/>
    <w:rsid w:val="00CC09F8"/>
    <w:rsid w:val="00CC17F8"/>
    <w:rsid w:val="00CC18E5"/>
    <w:rsid w:val="00CC1B71"/>
    <w:rsid w:val="00CC1D01"/>
    <w:rsid w:val="00CC212F"/>
    <w:rsid w:val="00CC21E0"/>
    <w:rsid w:val="00CC21E7"/>
    <w:rsid w:val="00CC23B7"/>
    <w:rsid w:val="00CC2464"/>
    <w:rsid w:val="00CC2CCB"/>
    <w:rsid w:val="00CC2FBD"/>
    <w:rsid w:val="00CC36FD"/>
    <w:rsid w:val="00CC376D"/>
    <w:rsid w:val="00CC41E2"/>
    <w:rsid w:val="00CC43D8"/>
    <w:rsid w:val="00CC4490"/>
    <w:rsid w:val="00CC4671"/>
    <w:rsid w:val="00CC4673"/>
    <w:rsid w:val="00CC4AD9"/>
    <w:rsid w:val="00CC50CB"/>
    <w:rsid w:val="00CC519E"/>
    <w:rsid w:val="00CC53ED"/>
    <w:rsid w:val="00CC5AC7"/>
    <w:rsid w:val="00CC5E97"/>
    <w:rsid w:val="00CC6609"/>
    <w:rsid w:val="00CC672E"/>
    <w:rsid w:val="00CC6B1D"/>
    <w:rsid w:val="00CC6FCA"/>
    <w:rsid w:val="00CC7021"/>
    <w:rsid w:val="00CC7090"/>
    <w:rsid w:val="00CC70C1"/>
    <w:rsid w:val="00CC72E4"/>
    <w:rsid w:val="00CC77C5"/>
    <w:rsid w:val="00CC782D"/>
    <w:rsid w:val="00CC794C"/>
    <w:rsid w:val="00CD0186"/>
    <w:rsid w:val="00CD021A"/>
    <w:rsid w:val="00CD0453"/>
    <w:rsid w:val="00CD08F6"/>
    <w:rsid w:val="00CD0949"/>
    <w:rsid w:val="00CD0D55"/>
    <w:rsid w:val="00CD0DB9"/>
    <w:rsid w:val="00CD1130"/>
    <w:rsid w:val="00CD134A"/>
    <w:rsid w:val="00CD1524"/>
    <w:rsid w:val="00CD154D"/>
    <w:rsid w:val="00CD1E4B"/>
    <w:rsid w:val="00CD1EE6"/>
    <w:rsid w:val="00CD1F2D"/>
    <w:rsid w:val="00CD2A25"/>
    <w:rsid w:val="00CD3044"/>
    <w:rsid w:val="00CD3045"/>
    <w:rsid w:val="00CD31EF"/>
    <w:rsid w:val="00CD3296"/>
    <w:rsid w:val="00CD35BF"/>
    <w:rsid w:val="00CD373B"/>
    <w:rsid w:val="00CD392F"/>
    <w:rsid w:val="00CD409E"/>
    <w:rsid w:val="00CD451D"/>
    <w:rsid w:val="00CD452F"/>
    <w:rsid w:val="00CD4EAA"/>
    <w:rsid w:val="00CD4EC2"/>
    <w:rsid w:val="00CD4EC8"/>
    <w:rsid w:val="00CD5E26"/>
    <w:rsid w:val="00CD6135"/>
    <w:rsid w:val="00CD6279"/>
    <w:rsid w:val="00CD627B"/>
    <w:rsid w:val="00CD6447"/>
    <w:rsid w:val="00CD6A14"/>
    <w:rsid w:val="00CD6F13"/>
    <w:rsid w:val="00CD718A"/>
    <w:rsid w:val="00CD741E"/>
    <w:rsid w:val="00CD7500"/>
    <w:rsid w:val="00CD7A8B"/>
    <w:rsid w:val="00CE0201"/>
    <w:rsid w:val="00CE0232"/>
    <w:rsid w:val="00CE0363"/>
    <w:rsid w:val="00CE097D"/>
    <w:rsid w:val="00CE0B0C"/>
    <w:rsid w:val="00CE155E"/>
    <w:rsid w:val="00CE19B0"/>
    <w:rsid w:val="00CE1B19"/>
    <w:rsid w:val="00CE1CA2"/>
    <w:rsid w:val="00CE1D38"/>
    <w:rsid w:val="00CE1FEB"/>
    <w:rsid w:val="00CE250E"/>
    <w:rsid w:val="00CE28F4"/>
    <w:rsid w:val="00CE293A"/>
    <w:rsid w:val="00CE297E"/>
    <w:rsid w:val="00CE2E9A"/>
    <w:rsid w:val="00CE3188"/>
    <w:rsid w:val="00CE3412"/>
    <w:rsid w:val="00CE35A3"/>
    <w:rsid w:val="00CE3740"/>
    <w:rsid w:val="00CE3BDD"/>
    <w:rsid w:val="00CE3F88"/>
    <w:rsid w:val="00CE40F3"/>
    <w:rsid w:val="00CE4123"/>
    <w:rsid w:val="00CE43C4"/>
    <w:rsid w:val="00CE4403"/>
    <w:rsid w:val="00CE4445"/>
    <w:rsid w:val="00CE4677"/>
    <w:rsid w:val="00CE4AF6"/>
    <w:rsid w:val="00CE518C"/>
    <w:rsid w:val="00CE5199"/>
    <w:rsid w:val="00CE5239"/>
    <w:rsid w:val="00CE55A0"/>
    <w:rsid w:val="00CE5689"/>
    <w:rsid w:val="00CE56C4"/>
    <w:rsid w:val="00CE583B"/>
    <w:rsid w:val="00CE5976"/>
    <w:rsid w:val="00CE5CAD"/>
    <w:rsid w:val="00CE5F0E"/>
    <w:rsid w:val="00CE6464"/>
    <w:rsid w:val="00CE6ACA"/>
    <w:rsid w:val="00CE6ADB"/>
    <w:rsid w:val="00CE6D30"/>
    <w:rsid w:val="00CE6F42"/>
    <w:rsid w:val="00CE6FB4"/>
    <w:rsid w:val="00CE7235"/>
    <w:rsid w:val="00CE7AA0"/>
    <w:rsid w:val="00CE7F02"/>
    <w:rsid w:val="00CE7F6C"/>
    <w:rsid w:val="00CF0332"/>
    <w:rsid w:val="00CF085F"/>
    <w:rsid w:val="00CF0FF9"/>
    <w:rsid w:val="00CF1126"/>
    <w:rsid w:val="00CF1618"/>
    <w:rsid w:val="00CF183B"/>
    <w:rsid w:val="00CF19C9"/>
    <w:rsid w:val="00CF2865"/>
    <w:rsid w:val="00CF29D1"/>
    <w:rsid w:val="00CF29E7"/>
    <w:rsid w:val="00CF2A70"/>
    <w:rsid w:val="00CF2EF8"/>
    <w:rsid w:val="00CF2FDF"/>
    <w:rsid w:val="00CF2FF0"/>
    <w:rsid w:val="00CF3014"/>
    <w:rsid w:val="00CF31A6"/>
    <w:rsid w:val="00CF3440"/>
    <w:rsid w:val="00CF392E"/>
    <w:rsid w:val="00CF3999"/>
    <w:rsid w:val="00CF3AFA"/>
    <w:rsid w:val="00CF3C65"/>
    <w:rsid w:val="00CF3F11"/>
    <w:rsid w:val="00CF400F"/>
    <w:rsid w:val="00CF41F7"/>
    <w:rsid w:val="00CF4CDC"/>
    <w:rsid w:val="00CF585B"/>
    <w:rsid w:val="00CF587B"/>
    <w:rsid w:val="00CF5FA6"/>
    <w:rsid w:val="00CF6255"/>
    <w:rsid w:val="00CF636D"/>
    <w:rsid w:val="00CF6437"/>
    <w:rsid w:val="00CF6A34"/>
    <w:rsid w:val="00CF6D55"/>
    <w:rsid w:val="00CF7018"/>
    <w:rsid w:val="00CF7137"/>
    <w:rsid w:val="00CF7710"/>
    <w:rsid w:val="00CF7BE8"/>
    <w:rsid w:val="00CF7DA1"/>
    <w:rsid w:val="00CF7E26"/>
    <w:rsid w:val="00D0038F"/>
    <w:rsid w:val="00D00758"/>
    <w:rsid w:val="00D007DD"/>
    <w:rsid w:val="00D0090E"/>
    <w:rsid w:val="00D009AC"/>
    <w:rsid w:val="00D01004"/>
    <w:rsid w:val="00D01218"/>
    <w:rsid w:val="00D01354"/>
    <w:rsid w:val="00D01596"/>
    <w:rsid w:val="00D019EE"/>
    <w:rsid w:val="00D01D55"/>
    <w:rsid w:val="00D020DE"/>
    <w:rsid w:val="00D0218F"/>
    <w:rsid w:val="00D0251E"/>
    <w:rsid w:val="00D02712"/>
    <w:rsid w:val="00D02A4B"/>
    <w:rsid w:val="00D02D6A"/>
    <w:rsid w:val="00D03073"/>
    <w:rsid w:val="00D03213"/>
    <w:rsid w:val="00D0341F"/>
    <w:rsid w:val="00D037EF"/>
    <w:rsid w:val="00D0390D"/>
    <w:rsid w:val="00D039F9"/>
    <w:rsid w:val="00D03A06"/>
    <w:rsid w:val="00D03A8B"/>
    <w:rsid w:val="00D03A92"/>
    <w:rsid w:val="00D03C37"/>
    <w:rsid w:val="00D03F53"/>
    <w:rsid w:val="00D0413E"/>
    <w:rsid w:val="00D04202"/>
    <w:rsid w:val="00D047C3"/>
    <w:rsid w:val="00D04E75"/>
    <w:rsid w:val="00D05092"/>
    <w:rsid w:val="00D0539F"/>
    <w:rsid w:val="00D0554D"/>
    <w:rsid w:val="00D055D4"/>
    <w:rsid w:val="00D05CFC"/>
    <w:rsid w:val="00D0697A"/>
    <w:rsid w:val="00D06E00"/>
    <w:rsid w:val="00D07CC0"/>
    <w:rsid w:val="00D07D43"/>
    <w:rsid w:val="00D10035"/>
    <w:rsid w:val="00D100F1"/>
    <w:rsid w:val="00D10382"/>
    <w:rsid w:val="00D104D1"/>
    <w:rsid w:val="00D10CCE"/>
    <w:rsid w:val="00D10DBD"/>
    <w:rsid w:val="00D11AA6"/>
    <w:rsid w:val="00D122D1"/>
    <w:rsid w:val="00D12450"/>
    <w:rsid w:val="00D1277F"/>
    <w:rsid w:val="00D1298D"/>
    <w:rsid w:val="00D12C8D"/>
    <w:rsid w:val="00D12D3B"/>
    <w:rsid w:val="00D12E8A"/>
    <w:rsid w:val="00D13001"/>
    <w:rsid w:val="00D1365B"/>
    <w:rsid w:val="00D137B6"/>
    <w:rsid w:val="00D13DBC"/>
    <w:rsid w:val="00D142ED"/>
    <w:rsid w:val="00D143E7"/>
    <w:rsid w:val="00D14922"/>
    <w:rsid w:val="00D1493F"/>
    <w:rsid w:val="00D14B28"/>
    <w:rsid w:val="00D15CA6"/>
    <w:rsid w:val="00D15EDB"/>
    <w:rsid w:val="00D15EEC"/>
    <w:rsid w:val="00D15FB4"/>
    <w:rsid w:val="00D161D5"/>
    <w:rsid w:val="00D16309"/>
    <w:rsid w:val="00D16717"/>
    <w:rsid w:val="00D168BD"/>
    <w:rsid w:val="00D16CAA"/>
    <w:rsid w:val="00D16CE7"/>
    <w:rsid w:val="00D1773E"/>
    <w:rsid w:val="00D17746"/>
    <w:rsid w:val="00D17A77"/>
    <w:rsid w:val="00D17BF4"/>
    <w:rsid w:val="00D20107"/>
    <w:rsid w:val="00D20301"/>
    <w:rsid w:val="00D20564"/>
    <w:rsid w:val="00D20A1C"/>
    <w:rsid w:val="00D20CD1"/>
    <w:rsid w:val="00D20D42"/>
    <w:rsid w:val="00D21123"/>
    <w:rsid w:val="00D213A8"/>
    <w:rsid w:val="00D2156E"/>
    <w:rsid w:val="00D21626"/>
    <w:rsid w:val="00D21966"/>
    <w:rsid w:val="00D219D6"/>
    <w:rsid w:val="00D21A34"/>
    <w:rsid w:val="00D21A81"/>
    <w:rsid w:val="00D21AE9"/>
    <w:rsid w:val="00D21AEF"/>
    <w:rsid w:val="00D220CB"/>
    <w:rsid w:val="00D221EC"/>
    <w:rsid w:val="00D2229D"/>
    <w:rsid w:val="00D223C3"/>
    <w:rsid w:val="00D224A2"/>
    <w:rsid w:val="00D22BF1"/>
    <w:rsid w:val="00D22D28"/>
    <w:rsid w:val="00D22DF1"/>
    <w:rsid w:val="00D22E3C"/>
    <w:rsid w:val="00D2314D"/>
    <w:rsid w:val="00D232C2"/>
    <w:rsid w:val="00D232C5"/>
    <w:rsid w:val="00D23899"/>
    <w:rsid w:val="00D23A18"/>
    <w:rsid w:val="00D24366"/>
    <w:rsid w:val="00D246C7"/>
    <w:rsid w:val="00D2486B"/>
    <w:rsid w:val="00D24967"/>
    <w:rsid w:val="00D24A4F"/>
    <w:rsid w:val="00D24A9C"/>
    <w:rsid w:val="00D24B64"/>
    <w:rsid w:val="00D24BDA"/>
    <w:rsid w:val="00D25321"/>
    <w:rsid w:val="00D25577"/>
    <w:rsid w:val="00D25800"/>
    <w:rsid w:val="00D25833"/>
    <w:rsid w:val="00D25A83"/>
    <w:rsid w:val="00D25AD9"/>
    <w:rsid w:val="00D25B42"/>
    <w:rsid w:val="00D25B4F"/>
    <w:rsid w:val="00D26090"/>
    <w:rsid w:val="00D26114"/>
    <w:rsid w:val="00D262F6"/>
    <w:rsid w:val="00D263C3"/>
    <w:rsid w:val="00D264D4"/>
    <w:rsid w:val="00D2687F"/>
    <w:rsid w:val="00D2726C"/>
    <w:rsid w:val="00D27519"/>
    <w:rsid w:val="00D27B2C"/>
    <w:rsid w:val="00D27BA7"/>
    <w:rsid w:val="00D27C2B"/>
    <w:rsid w:val="00D27F50"/>
    <w:rsid w:val="00D3000A"/>
    <w:rsid w:val="00D3013E"/>
    <w:rsid w:val="00D3082F"/>
    <w:rsid w:val="00D30A8F"/>
    <w:rsid w:val="00D30B67"/>
    <w:rsid w:val="00D30BE6"/>
    <w:rsid w:val="00D30C2D"/>
    <w:rsid w:val="00D30C69"/>
    <w:rsid w:val="00D31386"/>
    <w:rsid w:val="00D31472"/>
    <w:rsid w:val="00D316E1"/>
    <w:rsid w:val="00D31771"/>
    <w:rsid w:val="00D31908"/>
    <w:rsid w:val="00D31A40"/>
    <w:rsid w:val="00D31B12"/>
    <w:rsid w:val="00D31B53"/>
    <w:rsid w:val="00D31EB8"/>
    <w:rsid w:val="00D31F9F"/>
    <w:rsid w:val="00D3214B"/>
    <w:rsid w:val="00D323E3"/>
    <w:rsid w:val="00D32908"/>
    <w:rsid w:val="00D3328D"/>
    <w:rsid w:val="00D3371C"/>
    <w:rsid w:val="00D339AF"/>
    <w:rsid w:val="00D33C24"/>
    <w:rsid w:val="00D33EAA"/>
    <w:rsid w:val="00D33F83"/>
    <w:rsid w:val="00D3437E"/>
    <w:rsid w:val="00D3438A"/>
    <w:rsid w:val="00D34469"/>
    <w:rsid w:val="00D347AE"/>
    <w:rsid w:val="00D34CFF"/>
    <w:rsid w:val="00D356C4"/>
    <w:rsid w:val="00D35BCA"/>
    <w:rsid w:val="00D35D1E"/>
    <w:rsid w:val="00D35EFD"/>
    <w:rsid w:val="00D36093"/>
    <w:rsid w:val="00D36263"/>
    <w:rsid w:val="00D36B25"/>
    <w:rsid w:val="00D36FF6"/>
    <w:rsid w:val="00D370F9"/>
    <w:rsid w:val="00D37461"/>
    <w:rsid w:val="00D37BAA"/>
    <w:rsid w:val="00D37BAC"/>
    <w:rsid w:val="00D37C14"/>
    <w:rsid w:val="00D401D6"/>
    <w:rsid w:val="00D409C7"/>
    <w:rsid w:val="00D40B80"/>
    <w:rsid w:val="00D40E1E"/>
    <w:rsid w:val="00D40FA5"/>
    <w:rsid w:val="00D41099"/>
    <w:rsid w:val="00D41A16"/>
    <w:rsid w:val="00D41F62"/>
    <w:rsid w:val="00D424C2"/>
    <w:rsid w:val="00D42866"/>
    <w:rsid w:val="00D42EE9"/>
    <w:rsid w:val="00D4303F"/>
    <w:rsid w:val="00D43222"/>
    <w:rsid w:val="00D43280"/>
    <w:rsid w:val="00D4357C"/>
    <w:rsid w:val="00D4359A"/>
    <w:rsid w:val="00D435CB"/>
    <w:rsid w:val="00D43CD0"/>
    <w:rsid w:val="00D44059"/>
    <w:rsid w:val="00D445CB"/>
    <w:rsid w:val="00D445FD"/>
    <w:rsid w:val="00D44985"/>
    <w:rsid w:val="00D45151"/>
    <w:rsid w:val="00D455CD"/>
    <w:rsid w:val="00D45640"/>
    <w:rsid w:val="00D457D2"/>
    <w:rsid w:val="00D45918"/>
    <w:rsid w:val="00D45D09"/>
    <w:rsid w:val="00D460D8"/>
    <w:rsid w:val="00D460E1"/>
    <w:rsid w:val="00D4636D"/>
    <w:rsid w:val="00D46489"/>
    <w:rsid w:val="00D467C1"/>
    <w:rsid w:val="00D46A95"/>
    <w:rsid w:val="00D46B68"/>
    <w:rsid w:val="00D46E0B"/>
    <w:rsid w:val="00D47081"/>
    <w:rsid w:val="00D47102"/>
    <w:rsid w:val="00D4729B"/>
    <w:rsid w:val="00D472C6"/>
    <w:rsid w:val="00D4776B"/>
    <w:rsid w:val="00D47884"/>
    <w:rsid w:val="00D500A5"/>
    <w:rsid w:val="00D50468"/>
    <w:rsid w:val="00D509DD"/>
    <w:rsid w:val="00D50F62"/>
    <w:rsid w:val="00D513AC"/>
    <w:rsid w:val="00D51573"/>
    <w:rsid w:val="00D51B29"/>
    <w:rsid w:val="00D51ECB"/>
    <w:rsid w:val="00D521CE"/>
    <w:rsid w:val="00D52213"/>
    <w:rsid w:val="00D52B25"/>
    <w:rsid w:val="00D52F38"/>
    <w:rsid w:val="00D53636"/>
    <w:rsid w:val="00D537EF"/>
    <w:rsid w:val="00D53938"/>
    <w:rsid w:val="00D53E95"/>
    <w:rsid w:val="00D544C1"/>
    <w:rsid w:val="00D545ED"/>
    <w:rsid w:val="00D547FB"/>
    <w:rsid w:val="00D54AD3"/>
    <w:rsid w:val="00D54C50"/>
    <w:rsid w:val="00D54FCA"/>
    <w:rsid w:val="00D550B4"/>
    <w:rsid w:val="00D5562F"/>
    <w:rsid w:val="00D55737"/>
    <w:rsid w:val="00D55746"/>
    <w:rsid w:val="00D55CBB"/>
    <w:rsid w:val="00D564E5"/>
    <w:rsid w:val="00D566AB"/>
    <w:rsid w:val="00D56994"/>
    <w:rsid w:val="00D56A6B"/>
    <w:rsid w:val="00D56AB3"/>
    <w:rsid w:val="00D5784F"/>
    <w:rsid w:val="00D57BDC"/>
    <w:rsid w:val="00D57D4E"/>
    <w:rsid w:val="00D57DA1"/>
    <w:rsid w:val="00D60153"/>
    <w:rsid w:val="00D60642"/>
    <w:rsid w:val="00D607B3"/>
    <w:rsid w:val="00D609C2"/>
    <w:rsid w:val="00D60BB2"/>
    <w:rsid w:val="00D60D94"/>
    <w:rsid w:val="00D60F1B"/>
    <w:rsid w:val="00D60F5D"/>
    <w:rsid w:val="00D61132"/>
    <w:rsid w:val="00D61148"/>
    <w:rsid w:val="00D61317"/>
    <w:rsid w:val="00D6147D"/>
    <w:rsid w:val="00D614BB"/>
    <w:rsid w:val="00D61AB8"/>
    <w:rsid w:val="00D62015"/>
    <w:rsid w:val="00D62183"/>
    <w:rsid w:val="00D6248C"/>
    <w:rsid w:val="00D624A1"/>
    <w:rsid w:val="00D62964"/>
    <w:rsid w:val="00D62D49"/>
    <w:rsid w:val="00D62DF9"/>
    <w:rsid w:val="00D62F40"/>
    <w:rsid w:val="00D631A5"/>
    <w:rsid w:val="00D6343F"/>
    <w:rsid w:val="00D638C4"/>
    <w:rsid w:val="00D63B88"/>
    <w:rsid w:val="00D63D6E"/>
    <w:rsid w:val="00D63E20"/>
    <w:rsid w:val="00D64734"/>
    <w:rsid w:val="00D64791"/>
    <w:rsid w:val="00D64A59"/>
    <w:rsid w:val="00D64A7B"/>
    <w:rsid w:val="00D64CCB"/>
    <w:rsid w:val="00D64D71"/>
    <w:rsid w:val="00D64D88"/>
    <w:rsid w:val="00D65128"/>
    <w:rsid w:val="00D651AC"/>
    <w:rsid w:val="00D651CE"/>
    <w:rsid w:val="00D652FD"/>
    <w:rsid w:val="00D655BA"/>
    <w:rsid w:val="00D65784"/>
    <w:rsid w:val="00D65F20"/>
    <w:rsid w:val="00D65F3B"/>
    <w:rsid w:val="00D66707"/>
    <w:rsid w:val="00D66A59"/>
    <w:rsid w:val="00D66B05"/>
    <w:rsid w:val="00D66D5B"/>
    <w:rsid w:val="00D67CA9"/>
    <w:rsid w:val="00D67CE9"/>
    <w:rsid w:val="00D67EF6"/>
    <w:rsid w:val="00D700AC"/>
    <w:rsid w:val="00D701D5"/>
    <w:rsid w:val="00D7044E"/>
    <w:rsid w:val="00D704F7"/>
    <w:rsid w:val="00D70520"/>
    <w:rsid w:val="00D7070E"/>
    <w:rsid w:val="00D70B44"/>
    <w:rsid w:val="00D71740"/>
    <w:rsid w:val="00D71BE5"/>
    <w:rsid w:val="00D7250A"/>
    <w:rsid w:val="00D7254C"/>
    <w:rsid w:val="00D7288C"/>
    <w:rsid w:val="00D72CD9"/>
    <w:rsid w:val="00D72E1A"/>
    <w:rsid w:val="00D72F05"/>
    <w:rsid w:val="00D73059"/>
    <w:rsid w:val="00D732D5"/>
    <w:rsid w:val="00D73520"/>
    <w:rsid w:val="00D7364E"/>
    <w:rsid w:val="00D73756"/>
    <w:rsid w:val="00D73D29"/>
    <w:rsid w:val="00D73D7F"/>
    <w:rsid w:val="00D73F12"/>
    <w:rsid w:val="00D73F5F"/>
    <w:rsid w:val="00D74AB1"/>
    <w:rsid w:val="00D74AD9"/>
    <w:rsid w:val="00D74DF4"/>
    <w:rsid w:val="00D75A81"/>
    <w:rsid w:val="00D7644E"/>
    <w:rsid w:val="00D765A4"/>
    <w:rsid w:val="00D7692E"/>
    <w:rsid w:val="00D7696F"/>
    <w:rsid w:val="00D76A54"/>
    <w:rsid w:val="00D76BE7"/>
    <w:rsid w:val="00D76BF9"/>
    <w:rsid w:val="00D76DDD"/>
    <w:rsid w:val="00D76DFB"/>
    <w:rsid w:val="00D76EDD"/>
    <w:rsid w:val="00D7741A"/>
    <w:rsid w:val="00D77BFF"/>
    <w:rsid w:val="00D77C0C"/>
    <w:rsid w:val="00D801C7"/>
    <w:rsid w:val="00D80376"/>
    <w:rsid w:val="00D805FF"/>
    <w:rsid w:val="00D80E7F"/>
    <w:rsid w:val="00D80F0E"/>
    <w:rsid w:val="00D8145E"/>
    <w:rsid w:val="00D814EB"/>
    <w:rsid w:val="00D81673"/>
    <w:rsid w:val="00D81942"/>
    <w:rsid w:val="00D81973"/>
    <w:rsid w:val="00D81B99"/>
    <w:rsid w:val="00D81D06"/>
    <w:rsid w:val="00D8202D"/>
    <w:rsid w:val="00D8205C"/>
    <w:rsid w:val="00D82A46"/>
    <w:rsid w:val="00D83182"/>
    <w:rsid w:val="00D8369C"/>
    <w:rsid w:val="00D83D00"/>
    <w:rsid w:val="00D83FE4"/>
    <w:rsid w:val="00D842CA"/>
    <w:rsid w:val="00D84355"/>
    <w:rsid w:val="00D845B9"/>
    <w:rsid w:val="00D84739"/>
    <w:rsid w:val="00D84D09"/>
    <w:rsid w:val="00D84E76"/>
    <w:rsid w:val="00D84ED8"/>
    <w:rsid w:val="00D857B0"/>
    <w:rsid w:val="00D859D2"/>
    <w:rsid w:val="00D85A27"/>
    <w:rsid w:val="00D85B31"/>
    <w:rsid w:val="00D85E61"/>
    <w:rsid w:val="00D8670F"/>
    <w:rsid w:val="00D86D75"/>
    <w:rsid w:val="00D8731B"/>
    <w:rsid w:val="00D8743F"/>
    <w:rsid w:val="00D874EE"/>
    <w:rsid w:val="00D8751C"/>
    <w:rsid w:val="00D879B7"/>
    <w:rsid w:val="00D87F1E"/>
    <w:rsid w:val="00D87FAE"/>
    <w:rsid w:val="00D87FF4"/>
    <w:rsid w:val="00D903B9"/>
    <w:rsid w:val="00D90542"/>
    <w:rsid w:val="00D90781"/>
    <w:rsid w:val="00D90BCE"/>
    <w:rsid w:val="00D9165B"/>
    <w:rsid w:val="00D91B9E"/>
    <w:rsid w:val="00D91F8A"/>
    <w:rsid w:val="00D923C6"/>
    <w:rsid w:val="00D92711"/>
    <w:rsid w:val="00D93741"/>
    <w:rsid w:val="00D93A03"/>
    <w:rsid w:val="00D93A38"/>
    <w:rsid w:val="00D93BD0"/>
    <w:rsid w:val="00D93DEE"/>
    <w:rsid w:val="00D94053"/>
    <w:rsid w:val="00D9430B"/>
    <w:rsid w:val="00D94331"/>
    <w:rsid w:val="00D943BC"/>
    <w:rsid w:val="00D94975"/>
    <w:rsid w:val="00D94A8E"/>
    <w:rsid w:val="00D94EE1"/>
    <w:rsid w:val="00D957B5"/>
    <w:rsid w:val="00D95ADF"/>
    <w:rsid w:val="00D95C39"/>
    <w:rsid w:val="00D960BF"/>
    <w:rsid w:val="00D96202"/>
    <w:rsid w:val="00D962EB"/>
    <w:rsid w:val="00D969E4"/>
    <w:rsid w:val="00D96A3E"/>
    <w:rsid w:val="00D96BFC"/>
    <w:rsid w:val="00D96C13"/>
    <w:rsid w:val="00D96FDA"/>
    <w:rsid w:val="00D97786"/>
    <w:rsid w:val="00D97891"/>
    <w:rsid w:val="00D97E05"/>
    <w:rsid w:val="00DA05AE"/>
    <w:rsid w:val="00DA0615"/>
    <w:rsid w:val="00DA06A8"/>
    <w:rsid w:val="00DA06FF"/>
    <w:rsid w:val="00DA09CA"/>
    <w:rsid w:val="00DA09E4"/>
    <w:rsid w:val="00DA09FB"/>
    <w:rsid w:val="00DA0DD9"/>
    <w:rsid w:val="00DA1AE4"/>
    <w:rsid w:val="00DA20C1"/>
    <w:rsid w:val="00DA2440"/>
    <w:rsid w:val="00DA2974"/>
    <w:rsid w:val="00DA2C36"/>
    <w:rsid w:val="00DA2CFC"/>
    <w:rsid w:val="00DA2FF9"/>
    <w:rsid w:val="00DA34FB"/>
    <w:rsid w:val="00DA3974"/>
    <w:rsid w:val="00DA403F"/>
    <w:rsid w:val="00DA437B"/>
    <w:rsid w:val="00DA4516"/>
    <w:rsid w:val="00DA4651"/>
    <w:rsid w:val="00DA47D6"/>
    <w:rsid w:val="00DA496E"/>
    <w:rsid w:val="00DA4D06"/>
    <w:rsid w:val="00DA4FAC"/>
    <w:rsid w:val="00DA50C2"/>
    <w:rsid w:val="00DA5422"/>
    <w:rsid w:val="00DA5492"/>
    <w:rsid w:val="00DA564E"/>
    <w:rsid w:val="00DA59BD"/>
    <w:rsid w:val="00DA59EB"/>
    <w:rsid w:val="00DA5AF4"/>
    <w:rsid w:val="00DA5F47"/>
    <w:rsid w:val="00DA605E"/>
    <w:rsid w:val="00DA6556"/>
    <w:rsid w:val="00DA656B"/>
    <w:rsid w:val="00DA6672"/>
    <w:rsid w:val="00DA6894"/>
    <w:rsid w:val="00DA69B1"/>
    <w:rsid w:val="00DA6BBF"/>
    <w:rsid w:val="00DA71F9"/>
    <w:rsid w:val="00DA7554"/>
    <w:rsid w:val="00DA7775"/>
    <w:rsid w:val="00DA7A01"/>
    <w:rsid w:val="00DA7A31"/>
    <w:rsid w:val="00DA7CAD"/>
    <w:rsid w:val="00DA7E52"/>
    <w:rsid w:val="00DA7F4C"/>
    <w:rsid w:val="00DB0177"/>
    <w:rsid w:val="00DB0319"/>
    <w:rsid w:val="00DB041D"/>
    <w:rsid w:val="00DB0678"/>
    <w:rsid w:val="00DB0A66"/>
    <w:rsid w:val="00DB0B08"/>
    <w:rsid w:val="00DB0C3D"/>
    <w:rsid w:val="00DB0D7B"/>
    <w:rsid w:val="00DB0FF4"/>
    <w:rsid w:val="00DB11BC"/>
    <w:rsid w:val="00DB1350"/>
    <w:rsid w:val="00DB1BA3"/>
    <w:rsid w:val="00DB1BC5"/>
    <w:rsid w:val="00DB1CE4"/>
    <w:rsid w:val="00DB20C7"/>
    <w:rsid w:val="00DB2849"/>
    <w:rsid w:val="00DB2912"/>
    <w:rsid w:val="00DB2A12"/>
    <w:rsid w:val="00DB35AC"/>
    <w:rsid w:val="00DB378E"/>
    <w:rsid w:val="00DB3C33"/>
    <w:rsid w:val="00DB3EE9"/>
    <w:rsid w:val="00DB45CD"/>
    <w:rsid w:val="00DB4E55"/>
    <w:rsid w:val="00DB4FBA"/>
    <w:rsid w:val="00DB50B7"/>
    <w:rsid w:val="00DB50BC"/>
    <w:rsid w:val="00DB5455"/>
    <w:rsid w:val="00DB5AC0"/>
    <w:rsid w:val="00DB5AF3"/>
    <w:rsid w:val="00DB5DD4"/>
    <w:rsid w:val="00DB5F74"/>
    <w:rsid w:val="00DB65D5"/>
    <w:rsid w:val="00DB665A"/>
    <w:rsid w:val="00DB6696"/>
    <w:rsid w:val="00DB6BC9"/>
    <w:rsid w:val="00DB6DF0"/>
    <w:rsid w:val="00DB70FD"/>
    <w:rsid w:val="00DB76A8"/>
    <w:rsid w:val="00DB79B6"/>
    <w:rsid w:val="00DB7A1A"/>
    <w:rsid w:val="00DB7A63"/>
    <w:rsid w:val="00DB7AC8"/>
    <w:rsid w:val="00DC0124"/>
    <w:rsid w:val="00DC01AA"/>
    <w:rsid w:val="00DC0383"/>
    <w:rsid w:val="00DC07CC"/>
    <w:rsid w:val="00DC0A05"/>
    <w:rsid w:val="00DC0B86"/>
    <w:rsid w:val="00DC0DFF"/>
    <w:rsid w:val="00DC1108"/>
    <w:rsid w:val="00DC115C"/>
    <w:rsid w:val="00DC16AA"/>
    <w:rsid w:val="00DC195A"/>
    <w:rsid w:val="00DC2007"/>
    <w:rsid w:val="00DC21CB"/>
    <w:rsid w:val="00DC25D2"/>
    <w:rsid w:val="00DC25DA"/>
    <w:rsid w:val="00DC2AA9"/>
    <w:rsid w:val="00DC2B07"/>
    <w:rsid w:val="00DC3391"/>
    <w:rsid w:val="00DC380B"/>
    <w:rsid w:val="00DC45B6"/>
    <w:rsid w:val="00DC468A"/>
    <w:rsid w:val="00DC476A"/>
    <w:rsid w:val="00DC476B"/>
    <w:rsid w:val="00DC4867"/>
    <w:rsid w:val="00DC486A"/>
    <w:rsid w:val="00DC4A7C"/>
    <w:rsid w:val="00DC4B4A"/>
    <w:rsid w:val="00DC50C6"/>
    <w:rsid w:val="00DC515C"/>
    <w:rsid w:val="00DC523F"/>
    <w:rsid w:val="00DC52E7"/>
    <w:rsid w:val="00DC54B0"/>
    <w:rsid w:val="00DC5510"/>
    <w:rsid w:val="00DC5B2E"/>
    <w:rsid w:val="00DC659C"/>
    <w:rsid w:val="00DC68F2"/>
    <w:rsid w:val="00DC6BA3"/>
    <w:rsid w:val="00DC7232"/>
    <w:rsid w:val="00DC73E1"/>
    <w:rsid w:val="00DC75A6"/>
    <w:rsid w:val="00DC778F"/>
    <w:rsid w:val="00DC78EC"/>
    <w:rsid w:val="00DC79A6"/>
    <w:rsid w:val="00DD0A15"/>
    <w:rsid w:val="00DD0C37"/>
    <w:rsid w:val="00DD0D62"/>
    <w:rsid w:val="00DD12AB"/>
    <w:rsid w:val="00DD1389"/>
    <w:rsid w:val="00DD143F"/>
    <w:rsid w:val="00DD147B"/>
    <w:rsid w:val="00DD173A"/>
    <w:rsid w:val="00DD18D1"/>
    <w:rsid w:val="00DD1A52"/>
    <w:rsid w:val="00DD1B97"/>
    <w:rsid w:val="00DD1EB0"/>
    <w:rsid w:val="00DD217C"/>
    <w:rsid w:val="00DD26A6"/>
    <w:rsid w:val="00DD27DA"/>
    <w:rsid w:val="00DD29C8"/>
    <w:rsid w:val="00DD2F9A"/>
    <w:rsid w:val="00DD3191"/>
    <w:rsid w:val="00DD3BC3"/>
    <w:rsid w:val="00DD3F97"/>
    <w:rsid w:val="00DD4039"/>
    <w:rsid w:val="00DD41C5"/>
    <w:rsid w:val="00DD4257"/>
    <w:rsid w:val="00DD44FD"/>
    <w:rsid w:val="00DD4678"/>
    <w:rsid w:val="00DD4BA6"/>
    <w:rsid w:val="00DD4C96"/>
    <w:rsid w:val="00DD5296"/>
    <w:rsid w:val="00DD541F"/>
    <w:rsid w:val="00DD54FE"/>
    <w:rsid w:val="00DD55B0"/>
    <w:rsid w:val="00DD58ED"/>
    <w:rsid w:val="00DD5E7F"/>
    <w:rsid w:val="00DD5F01"/>
    <w:rsid w:val="00DD6718"/>
    <w:rsid w:val="00DD6AD7"/>
    <w:rsid w:val="00DD6EB8"/>
    <w:rsid w:val="00DD6F2E"/>
    <w:rsid w:val="00DD730D"/>
    <w:rsid w:val="00DD77E3"/>
    <w:rsid w:val="00DD7BBC"/>
    <w:rsid w:val="00DD7F79"/>
    <w:rsid w:val="00DE0103"/>
    <w:rsid w:val="00DE0464"/>
    <w:rsid w:val="00DE0DD3"/>
    <w:rsid w:val="00DE0F42"/>
    <w:rsid w:val="00DE1587"/>
    <w:rsid w:val="00DE1917"/>
    <w:rsid w:val="00DE1B38"/>
    <w:rsid w:val="00DE279B"/>
    <w:rsid w:val="00DE2B60"/>
    <w:rsid w:val="00DE30A2"/>
    <w:rsid w:val="00DE346B"/>
    <w:rsid w:val="00DE34CB"/>
    <w:rsid w:val="00DE3756"/>
    <w:rsid w:val="00DE38A6"/>
    <w:rsid w:val="00DE3D0A"/>
    <w:rsid w:val="00DE44E3"/>
    <w:rsid w:val="00DE4D9B"/>
    <w:rsid w:val="00DE4F87"/>
    <w:rsid w:val="00DE539E"/>
    <w:rsid w:val="00DE57FD"/>
    <w:rsid w:val="00DE5BDB"/>
    <w:rsid w:val="00DE5DC9"/>
    <w:rsid w:val="00DE628C"/>
    <w:rsid w:val="00DE6517"/>
    <w:rsid w:val="00DE660D"/>
    <w:rsid w:val="00DE68AF"/>
    <w:rsid w:val="00DE68F5"/>
    <w:rsid w:val="00DE6AE5"/>
    <w:rsid w:val="00DE6D93"/>
    <w:rsid w:val="00DE7288"/>
    <w:rsid w:val="00DE746A"/>
    <w:rsid w:val="00DE74DC"/>
    <w:rsid w:val="00DE7509"/>
    <w:rsid w:val="00DE7616"/>
    <w:rsid w:val="00DE799F"/>
    <w:rsid w:val="00DE7EAC"/>
    <w:rsid w:val="00DE7F27"/>
    <w:rsid w:val="00DF016B"/>
    <w:rsid w:val="00DF04A1"/>
    <w:rsid w:val="00DF060C"/>
    <w:rsid w:val="00DF068F"/>
    <w:rsid w:val="00DF0963"/>
    <w:rsid w:val="00DF0D59"/>
    <w:rsid w:val="00DF0FDE"/>
    <w:rsid w:val="00DF12DE"/>
    <w:rsid w:val="00DF1575"/>
    <w:rsid w:val="00DF1A55"/>
    <w:rsid w:val="00DF1CBA"/>
    <w:rsid w:val="00DF1E2F"/>
    <w:rsid w:val="00DF2098"/>
    <w:rsid w:val="00DF2633"/>
    <w:rsid w:val="00DF272F"/>
    <w:rsid w:val="00DF2910"/>
    <w:rsid w:val="00DF31CC"/>
    <w:rsid w:val="00DF3766"/>
    <w:rsid w:val="00DF3D3F"/>
    <w:rsid w:val="00DF3DD3"/>
    <w:rsid w:val="00DF3FEC"/>
    <w:rsid w:val="00DF42C5"/>
    <w:rsid w:val="00DF4859"/>
    <w:rsid w:val="00DF4CCE"/>
    <w:rsid w:val="00DF4E68"/>
    <w:rsid w:val="00DF5EF7"/>
    <w:rsid w:val="00DF64B1"/>
    <w:rsid w:val="00DF696B"/>
    <w:rsid w:val="00DF699A"/>
    <w:rsid w:val="00DF69DF"/>
    <w:rsid w:val="00DF6B7A"/>
    <w:rsid w:val="00DF6D8A"/>
    <w:rsid w:val="00DF6DF7"/>
    <w:rsid w:val="00DF6F19"/>
    <w:rsid w:val="00DF749E"/>
    <w:rsid w:val="00DF75D1"/>
    <w:rsid w:val="00DF784D"/>
    <w:rsid w:val="00E0000C"/>
    <w:rsid w:val="00E003E8"/>
    <w:rsid w:val="00E005D2"/>
    <w:rsid w:val="00E01140"/>
    <w:rsid w:val="00E01255"/>
    <w:rsid w:val="00E01420"/>
    <w:rsid w:val="00E0158C"/>
    <w:rsid w:val="00E01C3E"/>
    <w:rsid w:val="00E02776"/>
    <w:rsid w:val="00E02D02"/>
    <w:rsid w:val="00E02FF7"/>
    <w:rsid w:val="00E0357F"/>
    <w:rsid w:val="00E037C5"/>
    <w:rsid w:val="00E03B9D"/>
    <w:rsid w:val="00E03BC4"/>
    <w:rsid w:val="00E03BED"/>
    <w:rsid w:val="00E03DB5"/>
    <w:rsid w:val="00E041A8"/>
    <w:rsid w:val="00E047A5"/>
    <w:rsid w:val="00E048AE"/>
    <w:rsid w:val="00E04932"/>
    <w:rsid w:val="00E0494E"/>
    <w:rsid w:val="00E04F1B"/>
    <w:rsid w:val="00E04F88"/>
    <w:rsid w:val="00E051E5"/>
    <w:rsid w:val="00E05227"/>
    <w:rsid w:val="00E05424"/>
    <w:rsid w:val="00E0597F"/>
    <w:rsid w:val="00E05A0D"/>
    <w:rsid w:val="00E06FB9"/>
    <w:rsid w:val="00E071F1"/>
    <w:rsid w:val="00E07B31"/>
    <w:rsid w:val="00E07D19"/>
    <w:rsid w:val="00E07F53"/>
    <w:rsid w:val="00E07FC7"/>
    <w:rsid w:val="00E1019B"/>
    <w:rsid w:val="00E10377"/>
    <w:rsid w:val="00E10435"/>
    <w:rsid w:val="00E106CF"/>
    <w:rsid w:val="00E107FC"/>
    <w:rsid w:val="00E10F93"/>
    <w:rsid w:val="00E115B8"/>
    <w:rsid w:val="00E1172A"/>
    <w:rsid w:val="00E119B1"/>
    <w:rsid w:val="00E11C98"/>
    <w:rsid w:val="00E12017"/>
    <w:rsid w:val="00E1242D"/>
    <w:rsid w:val="00E12866"/>
    <w:rsid w:val="00E12E27"/>
    <w:rsid w:val="00E131B8"/>
    <w:rsid w:val="00E135FE"/>
    <w:rsid w:val="00E13BAE"/>
    <w:rsid w:val="00E13CCE"/>
    <w:rsid w:val="00E13D16"/>
    <w:rsid w:val="00E1415C"/>
    <w:rsid w:val="00E14298"/>
    <w:rsid w:val="00E142BB"/>
    <w:rsid w:val="00E145B7"/>
    <w:rsid w:val="00E15307"/>
    <w:rsid w:val="00E15714"/>
    <w:rsid w:val="00E15A8A"/>
    <w:rsid w:val="00E164A7"/>
    <w:rsid w:val="00E16A14"/>
    <w:rsid w:val="00E16F0C"/>
    <w:rsid w:val="00E173BB"/>
    <w:rsid w:val="00E20630"/>
    <w:rsid w:val="00E2063F"/>
    <w:rsid w:val="00E20BCD"/>
    <w:rsid w:val="00E20DCE"/>
    <w:rsid w:val="00E21080"/>
    <w:rsid w:val="00E214C1"/>
    <w:rsid w:val="00E21893"/>
    <w:rsid w:val="00E21992"/>
    <w:rsid w:val="00E21B53"/>
    <w:rsid w:val="00E21BB0"/>
    <w:rsid w:val="00E21BC5"/>
    <w:rsid w:val="00E21FB9"/>
    <w:rsid w:val="00E22005"/>
    <w:rsid w:val="00E22355"/>
    <w:rsid w:val="00E223CD"/>
    <w:rsid w:val="00E22B6E"/>
    <w:rsid w:val="00E22DAE"/>
    <w:rsid w:val="00E22DEF"/>
    <w:rsid w:val="00E22EE7"/>
    <w:rsid w:val="00E2308E"/>
    <w:rsid w:val="00E230EA"/>
    <w:rsid w:val="00E232F4"/>
    <w:rsid w:val="00E23559"/>
    <w:rsid w:val="00E235B2"/>
    <w:rsid w:val="00E2374C"/>
    <w:rsid w:val="00E23BE4"/>
    <w:rsid w:val="00E23C81"/>
    <w:rsid w:val="00E23FD4"/>
    <w:rsid w:val="00E24007"/>
    <w:rsid w:val="00E24426"/>
    <w:rsid w:val="00E245BB"/>
    <w:rsid w:val="00E250CD"/>
    <w:rsid w:val="00E2530F"/>
    <w:rsid w:val="00E25375"/>
    <w:rsid w:val="00E2563C"/>
    <w:rsid w:val="00E2583B"/>
    <w:rsid w:val="00E2584F"/>
    <w:rsid w:val="00E2586C"/>
    <w:rsid w:val="00E25A64"/>
    <w:rsid w:val="00E25AE3"/>
    <w:rsid w:val="00E25EEB"/>
    <w:rsid w:val="00E26067"/>
    <w:rsid w:val="00E2606D"/>
    <w:rsid w:val="00E260F1"/>
    <w:rsid w:val="00E26247"/>
    <w:rsid w:val="00E2667C"/>
    <w:rsid w:val="00E26EE3"/>
    <w:rsid w:val="00E271F2"/>
    <w:rsid w:val="00E27501"/>
    <w:rsid w:val="00E27C5D"/>
    <w:rsid w:val="00E27E26"/>
    <w:rsid w:val="00E27EF8"/>
    <w:rsid w:val="00E27F7C"/>
    <w:rsid w:val="00E300C7"/>
    <w:rsid w:val="00E30345"/>
    <w:rsid w:val="00E30A52"/>
    <w:rsid w:val="00E30E47"/>
    <w:rsid w:val="00E30F78"/>
    <w:rsid w:val="00E31336"/>
    <w:rsid w:val="00E329FC"/>
    <w:rsid w:val="00E32BB8"/>
    <w:rsid w:val="00E3327D"/>
    <w:rsid w:val="00E332D2"/>
    <w:rsid w:val="00E33610"/>
    <w:rsid w:val="00E33850"/>
    <w:rsid w:val="00E339B0"/>
    <w:rsid w:val="00E33A24"/>
    <w:rsid w:val="00E33CE8"/>
    <w:rsid w:val="00E34113"/>
    <w:rsid w:val="00E34169"/>
    <w:rsid w:val="00E342A1"/>
    <w:rsid w:val="00E344E6"/>
    <w:rsid w:val="00E34782"/>
    <w:rsid w:val="00E3480E"/>
    <w:rsid w:val="00E34CC7"/>
    <w:rsid w:val="00E34CDA"/>
    <w:rsid w:val="00E34D60"/>
    <w:rsid w:val="00E3518F"/>
    <w:rsid w:val="00E35237"/>
    <w:rsid w:val="00E35E6A"/>
    <w:rsid w:val="00E36117"/>
    <w:rsid w:val="00E36475"/>
    <w:rsid w:val="00E364A4"/>
    <w:rsid w:val="00E364AE"/>
    <w:rsid w:val="00E369DB"/>
    <w:rsid w:val="00E36A97"/>
    <w:rsid w:val="00E37512"/>
    <w:rsid w:val="00E3756C"/>
    <w:rsid w:val="00E375BC"/>
    <w:rsid w:val="00E379B7"/>
    <w:rsid w:val="00E379D6"/>
    <w:rsid w:val="00E401B7"/>
    <w:rsid w:val="00E40477"/>
    <w:rsid w:val="00E40BD0"/>
    <w:rsid w:val="00E40D4B"/>
    <w:rsid w:val="00E410A3"/>
    <w:rsid w:val="00E4129E"/>
    <w:rsid w:val="00E414CA"/>
    <w:rsid w:val="00E419A3"/>
    <w:rsid w:val="00E41C29"/>
    <w:rsid w:val="00E41EB0"/>
    <w:rsid w:val="00E429C0"/>
    <w:rsid w:val="00E43383"/>
    <w:rsid w:val="00E4342C"/>
    <w:rsid w:val="00E43979"/>
    <w:rsid w:val="00E43F5B"/>
    <w:rsid w:val="00E43F6E"/>
    <w:rsid w:val="00E445B7"/>
    <w:rsid w:val="00E44CB2"/>
    <w:rsid w:val="00E45187"/>
    <w:rsid w:val="00E45222"/>
    <w:rsid w:val="00E4534E"/>
    <w:rsid w:val="00E4544D"/>
    <w:rsid w:val="00E456E2"/>
    <w:rsid w:val="00E4592D"/>
    <w:rsid w:val="00E45AAC"/>
    <w:rsid w:val="00E45F37"/>
    <w:rsid w:val="00E46084"/>
    <w:rsid w:val="00E4612F"/>
    <w:rsid w:val="00E46251"/>
    <w:rsid w:val="00E4664E"/>
    <w:rsid w:val="00E46671"/>
    <w:rsid w:val="00E46959"/>
    <w:rsid w:val="00E46C7B"/>
    <w:rsid w:val="00E47287"/>
    <w:rsid w:val="00E4774D"/>
    <w:rsid w:val="00E47886"/>
    <w:rsid w:val="00E502F7"/>
    <w:rsid w:val="00E50800"/>
    <w:rsid w:val="00E50BFA"/>
    <w:rsid w:val="00E51128"/>
    <w:rsid w:val="00E5115C"/>
    <w:rsid w:val="00E51349"/>
    <w:rsid w:val="00E5187F"/>
    <w:rsid w:val="00E5189A"/>
    <w:rsid w:val="00E51B20"/>
    <w:rsid w:val="00E51E77"/>
    <w:rsid w:val="00E52584"/>
    <w:rsid w:val="00E528DB"/>
    <w:rsid w:val="00E53038"/>
    <w:rsid w:val="00E53095"/>
    <w:rsid w:val="00E530B2"/>
    <w:rsid w:val="00E53481"/>
    <w:rsid w:val="00E53663"/>
    <w:rsid w:val="00E538C0"/>
    <w:rsid w:val="00E53A53"/>
    <w:rsid w:val="00E53DE2"/>
    <w:rsid w:val="00E53E07"/>
    <w:rsid w:val="00E53E6C"/>
    <w:rsid w:val="00E540B1"/>
    <w:rsid w:val="00E543C2"/>
    <w:rsid w:val="00E545E6"/>
    <w:rsid w:val="00E549B0"/>
    <w:rsid w:val="00E54D2A"/>
    <w:rsid w:val="00E54E61"/>
    <w:rsid w:val="00E555E3"/>
    <w:rsid w:val="00E55645"/>
    <w:rsid w:val="00E558C9"/>
    <w:rsid w:val="00E55DA8"/>
    <w:rsid w:val="00E560DD"/>
    <w:rsid w:val="00E5649D"/>
    <w:rsid w:val="00E564C0"/>
    <w:rsid w:val="00E56896"/>
    <w:rsid w:val="00E569DB"/>
    <w:rsid w:val="00E56ADD"/>
    <w:rsid w:val="00E56D8E"/>
    <w:rsid w:val="00E56FA6"/>
    <w:rsid w:val="00E57134"/>
    <w:rsid w:val="00E5748B"/>
    <w:rsid w:val="00E5765D"/>
    <w:rsid w:val="00E577DE"/>
    <w:rsid w:val="00E5790B"/>
    <w:rsid w:val="00E57D8C"/>
    <w:rsid w:val="00E600BC"/>
    <w:rsid w:val="00E60612"/>
    <w:rsid w:val="00E606F6"/>
    <w:rsid w:val="00E609BB"/>
    <w:rsid w:val="00E609C6"/>
    <w:rsid w:val="00E60D5C"/>
    <w:rsid w:val="00E6197D"/>
    <w:rsid w:val="00E61A01"/>
    <w:rsid w:val="00E61B3A"/>
    <w:rsid w:val="00E61C31"/>
    <w:rsid w:val="00E61CEB"/>
    <w:rsid w:val="00E61F4C"/>
    <w:rsid w:val="00E621DD"/>
    <w:rsid w:val="00E6289F"/>
    <w:rsid w:val="00E628A6"/>
    <w:rsid w:val="00E629B3"/>
    <w:rsid w:val="00E63519"/>
    <w:rsid w:val="00E63BA9"/>
    <w:rsid w:val="00E63C31"/>
    <w:rsid w:val="00E63E14"/>
    <w:rsid w:val="00E63F43"/>
    <w:rsid w:val="00E64168"/>
    <w:rsid w:val="00E645D9"/>
    <w:rsid w:val="00E6476D"/>
    <w:rsid w:val="00E647AB"/>
    <w:rsid w:val="00E64C7B"/>
    <w:rsid w:val="00E653C3"/>
    <w:rsid w:val="00E654C9"/>
    <w:rsid w:val="00E657AA"/>
    <w:rsid w:val="00E65892"/>
    <w:rsid w:val="00E6589B"/>
    <w:rsid w:val="00E65931"/>
    <w:rsid w:val="00E66B15"/>
    <w:rsid w:val="00E66C8B"/>
    <w:rsid w:val="00E672E7"/>
    <w:rsid w:val="00E67469"/>
    <w:rsid w:val="00E67671"/>
    <w:rsid w:val="00E679C1"/>
    <w:rsid w:val="00E67C5A"/>
    <w:rsid w:val="00E67C89"/>
    <w:rsid w:val="00E70148"/>
    <w:rsid w:val="00E70153"/>
    <w:rsid w:val="00E70392"/>
    <w:rsid w:val="00E703B8"/>
    <w:rsid w:val="00E706BE"/>
    <w:rsid w:val="00E7095E"/>
    <w:rsid w:val="00E70ECC"/>
    <w:rsid w:val="00E70F77"/>
    <w:rsid w:val="00E712B6"/>
    <w:rsid w:val="00E7174A"/>
    <w:rsid w:val="00E71A22"/>
    <w:rsid w:val="00E71DB1"/>
    <w:rsid w:val="00E71DCD"/>
    <w:rsid w:val="00E71E6B"/>
    <w:rsid w:val="00E71F1A"/>
    <w:rsid w:val="00E72296"/>
    <w:rsid w:val="00E72864"/>
    <w:rsid w:val="00E73410"/>
    <w:rsid w:val="00E735E6"/>
    <w:rsid w:val="00E737A2"/>
    <w:rsid w:val="00E73982"/>
    <w:rsid w:val="00E73AC8"/>
    <w:rsid w:val="00E73E75"/>
    <w:rsid w:val="00E7407E"/>
    <w:rsid w:val="00E7468C"/>
    <w:rsid w:val="00E74BE5"/>
    <w:rsid w:val="00E751F9"/>
    <w:rsid w:val="00E75574"/>
    <w:rsid w:val="00E756D7"/>
    <w:rsid w:val="00E756E3"/>
    <w:rsid w:val="00E75790"/>
    <w:rsid w:val="00E757FC"/>
    <w:rsid w:val="00E75C2B"/>
    <w:rsid w:val="00E75FEE"/>
    <w:rsid w:val="00E76082"/>
    <w:rsid w:val="00E769A3"/>
    <w:rsid w:val="00E7705F"/>
    <w:rsid w:val="00E772C7"/>
    <w:rsid w:val="00E77549"/>
    <w:rsid w:val="00E776C8"/>
    <w:rsid w:val="00E77742"/>
    <w:rsid w:val="00E779E0"/>
    <w:rsid w:val="00E77A6B"/>
    <w:rsid w:val="00E77D8B"/>
    <w:rsid w:val="00E77F7B"/>
    <w:rsid w:val="00E80333"/>
    <w:rsid w:val="00E80EB7"/>
    <w:rsid w:val="00E819E3"/>
    <w:rsid w:val="00E81A7C"/>
    <w:rsid w:val="00E81AB1"/>
    <w:rsid w:val="00E81CBD"/>
    <w:rsid w:val="00E82AFC"/>
    <w:rsid w:val="00E82BDE"/>
    <w:rsid w:val="00E82E94"/>
    <w:rsid w:val="00E8323B"/>
    <w:rsid w:val="00E83773"/>
    <w:rsid w:val="00E83E7C"/>
    <w:rsid w:val="00E840F2"/>
    <w:rsid w:val="00E8436D"/>
    <w:rsid w:val="00E8468A"/>
    <w:rsid w:val="00E8476B"/>
    <w:rsid w:val="00E847B0"/>
    <w:rsid w:val="00E84BB6"/>
    <w:rsid w:val="00E84CF5"/>
    <w:rsid w:val="00E852F9"/>
    <w:rsid w:val="00E85521"/>
    <w:rsid w:val="00E85B6D"/>
    <w:rsid w:val="00E85BCA"/>
    <w:rsid w:val="00E860E7"/>
    <w:rsid w:val="00E862A1"/>
    <w:rsid w:val="00E8741B"/>
    <w:rsid w:val="00E87A66"/>
    <w:rsid w:val="00E87DA3"/>
    <w:rsid w:val="00E90203"/>
    <w:rsid w:val="00E905A4"/>
    <w:rsid w:val="00E9062E"/>
    <w:rsid w:val="00E906A1"/>
    <w:rsid w:val="00E90769"/>
    <w:rsid w:val="00E907B0"/>
    <w:rsid w:val="00E908DA"/>
    <w:rsid w:val="00E909EB"/>
    <w:rsid w:val="00E9141A"/>
    <w:rsid w:val="00E91966"/>
    <w:rsid w:val="00E92B4B"/>
    <w:rsid w:val="00E92E90"/>
    <w:rsid w:val="00E930A8"/>
    <w:rsid w:val="00E9335B"/>
    <w:rsid w:val="00E93686"/>
    <w:rsid w:val="00E93D8A"/>
    <w:rsid w:val="00E93DB0"/>
    <w:rsid w:val="00E9424E"/>
    <w:rsid w:val="00E94428"/>
    <w:rsid w:val="00E94688"/>
    <w:rsid w:val="00E9469A"/>
    <w:rsid w:val="00E947D1"/>
    <w:rsid w:val="00E94921"/>
    <w:rsid w:val="00E949CD"/>
    <w:rsid w:val="00E94AEC"/>
    <w:rsid w:val="00E94FB5"/>
    <w:rsid w:val="00E95032"/>
    <w:rsid w:val="00E95139"/>
    <w:rsid w:val="00E9559B"/>
    <w:rsid w:val="00E95E2F"/>
    <w:rsid w:val="00E96624"/>
    <w:rsid w:val="00E96774"/>
    <w:rsid w:val="00E9687E"/>
    <w:rsid w:val="00E96C2D"/>
    <w:rsid w:val="00E96CCC"/>
    <w:rsid w:val="00E96EE9"/>
    <w:rsid w:val="00E96F9D"/>
    <w:rsid w:val="00E97107"/>
    <w:rsid w:val="00E97370"/>
    <w:rsid w:val="00E97C98"/>
    <w:rsid w:val="00E97D93"/>
    <w:rsid w:val="00E97F7B"/>
    <w:rsid w:val="00EA05F1"/>
    <w:rsid w:val="00EA06E3"/>
    <w:rsid w:val="00EA095E"/>
    <w:rsid w:val="00EA0F46"/>
    <w:rsid w:val="00EA1294"/>
    <w:rsid w:val="00EA1323"/>
    <w:rsid w:val="00EA13F2"/>
    <w:rsid w:val="00EA1535"/>
    <w:rsid w:val="00EA18A5"/>
    <w:rsid w:val="00EA1CFB"/>
    <w:rsid w:val="00EA25D9"/>
    <w:rsid w:val="00EA326A"/>
    <w:rsid w:val="00EA341B"/>
    <w:rsid w:val="00EA3692"/>
    <w:rsid w:val="00EA3AD9"/>
    <w:rsid w:val="00EA3BDB"/>
    <w:rsid w:val="00EA3FC2"/>
    <w:rsid w:val="00EA4074"/>
    <w:rsid w:val="00EA41DF"/>
    <w:rsid w:val="00EA42A7"/>
    <w:rsid w:val="00EA4679"/>
    <w:rsid w:val="00EA4CAB"/>
    <w:rsid w:val="00EA4CF3"/>
    <w:rsid w:val="00EA512B"/>
    <w:rsid w:val="00EA527D"/>
    <w:rsid w:val="00EA5886"/>
    <w:rsid w:val="00EA5926"/>
    <w:rsid w:val="00EA5D86"/>
    <w:rsid w:val="00EA5FA8"/>
    <w:rsid w:val="00EA6120"/>
    <w:rsid w:val="00EA624C"/>
    <w:rsid w:val="00EA636A"/>
    <w:rsid w:val="00EA6578"/>
    <w:rsid w:val="00EA657F"/>
    <w:rsid w:val="00EA6772"/>
    <w:rsid w:val="00EA6A66"/>
    <w:rsid w:val="00EA6B12"/>
    <w:rsid w:val="00EA6C27"/>
    <w:rsid w:val="00EA6FFE"/>
    <w:rsid w:val="00EA729E"/>
    <w:rsid w:val="00EA72BA"/>
    <w:rsid w:val="00EA72E9"/>
    <w:rsid w:val="00EA7FA7"/>
    <w:rsid w:val="00EB04A5"/>
    <w:rsid w:val="00EB0521"/>
    <w:rsid w:val="00EB063D"/>
    <w:rsid w:val="00EB0986"/>
    <w:rsid w:val="00EB0D2A"/>
    <w:rsid w:val="00EB10A6"/>
    <w:rsid w:val="00EB119A"/>
    <w:rsid w:val="00EB15A7"/>
    <w:rsid w:val="00EB1A30"/>
    <w:rsid w:val="00EB1B14"/>
    <w:rsid w:val="00EB1BEF"/>
    <w:rsid w:val="00EB1C45"/>
    <w:rsid w:val="00EB1F24"/>
    <w:rsid w:val="00EB1F8C"/>
    <w:rsid w:val="00EB233D"/>
    <w:rsid w:val="00EB235D"/>
    <w:rsid w:val="00EB250C"/>
    <w:rsid w:val="00EB2558"/>
    <w:rsid w:val="00EB2587"/>
    <w:rsid w:val="00EB2F03"/>
    <w:rsid w:val="00EB3107"/>
    <w:rsid w:val="00EB31A0"/>
    <w:rsid w:val="00EB33A8"/>
    <w:rsid w:val="00EB3856"/>
    <w:rsid w:val="00EB3A1D"/>
    <w:rsid w:val="00EB3BF6"/>
    <w:rsid w:val="00EB4048"/>
    <w:rsid w:val="00EB431D"/>
    <w:rsid w:val="00EB4464"/>
    <w:rsid w:val="00EB4B66"/>
    <w:rsid w:val="00EB4C40"/>
    <w:rsid w:val="00EB4C9B"/>
    <w:rsid w:val="00EB4CA3"/>
    <w:rsid w:val="00EB5173"/>
    <w:rsid w:val="00EB58C5"/>
    <w:rsid w:val="00EB5A05"/>
    <w:rsid w:val="00EB5EE9"/>
    <w:rsid w:val="00EB638F"/>
    <w:rsid w:val="00EB673E"/>
    <w:rsid w:val="00EB6976"/>
    <w:rsid w:val="00EB6A4F"/>
    <w:rsid w:val="00EB6D13"/>
    <w:rsid w:val="00EB6F5F"/>
    <w:rsid w:val="00EB77B3"/>
    <w:rsid w:val="00EB77E8"/>
    <w:rsid w:val="00EB789A"/>
    <w:rsid w:val="00EB7CBB"/>
    <w:rsid w:val="00EB7FC9"/>
    <w:rsid w:val="00EC0265"/>
    <w:rsid w:val="00EC091C"/>
    <w:rsid w:val="00EC0CAA"/>
    <w:rsid w:val="00EC14C7"/>
    <w:rsid w:val="00EC1797"/>
    <w:rsid w:val="00EC182F"/>
    <w:rsid w:val="00EC1875"/>
    <w:rsid w:val="00EC1B0F"/>
    <w:rsid w:val="00EC1D70"/>
    <w:rsid w:val="00EC1DD1"/>
    <w:rsid w:val="00EC1DDD"/>
    <w:rsid w:val="00EC1FC3"/>
    <w:rsid w:val="00EC279D"/>
    <w:rsid w:val="00EC291F"/>
    <w:rsid w:val="00EC2A6A"/>
    <w:rsid w:val="00EC2D4C"/>
    <w:rsid w:val="00EC30B7"/>
    <w:rsid w:val="00EC3604"/>
    <w:rsid w:val="00EC376F"/>
    <w:rsid w:val="00EC3D04"/>
    <w:rsid w:val="00EC3DE6"/>
    <w:rsid w:val="00EC43CC"/>
    <w:rsid w:val="00EC492C"/>
    <w:rsid w:val="00EC4C4B"/>
    <w:rsid w:val="00EC4EEB"/>
    <w:rsid w:val="00EC516F"/>
    <w:rsid w:val="00EC5617"/>
    <w:rsid w:val="00EC5903"/>
    <w:rsid w:val="00EC5ABC"/>
    <w:rsid w:val="00EC5E4E"/>
    <w:rsid w:val="00EC5FEF"/>
    <w:rsid w:val="00EC642B"/>
    <w:rsid w:val="00EC6ACB"/>
    <w:rsid w:val="00EC6C39"/>
    <w:rsid w:val="00EC6F0D"/>
    <w:rsid w:val="00EC72AA"/>
    <w:rsid w:val="00EC7A1A"/>
    <w:rsid w:val="00EC7FEE"/>
    <w:rsid w:val="00ED0040"/>
    <w:rsid w:val="00ED03BD"/>
    <w:rsid w:val="00ED04AE"/>
    <w:rsid w:val="00ED070B"/>
    <w:rsid w:val="00ED0B19"/>
    <w:rsid w:val="00ED0B57"/>
    <w:rsid w:val="00ED0BCA"/>
    <w:rsid w:val="00ED0C9F"/>
    <w:rsid w:val="00ED0DB2"/>
    <w:rsid w:val="00ED0DC2"/>
    <w:rsid w:val="00ED16C5"/>
    <w:rsid w:val="00ED1907"/>
    <w:rsid w:val="00ED1972"/>
    <w:rsid w:val="00ED211F"/>
    <w:rsid w:val="00ED21C6"/>
    <w:rsid w:val="00ED25AC"/>
    <w:rsid w:val="00ED2839"/>
    <w:rsid w:val="00ED2A9E"/>
    <w:rsid w:val="00ED3133"/>
    <w:rsid w:val="00ED3542"/>
    <w:rsid w:val="00ED3920"/>
    <w:rsid w:val="00ED3DDF"/>
    <w:rsid w:val="00ED3E8E"/>
    <w:rsid w:val="00ED41C0"/>
    <w:rsid w:val="00ED45E2"/>
    <w:rsid w:val="00ED493F"/>
    <w:rsid w:val="00ED49EE"/>
    <w:rsid w:val="00ED4A81"/>
    <w:rsid w:val="00ED5443"/>
    <w:rsid w:val="00ED56BA"/>
    <w:rsid w:val="00ED5835"/>
    <w:rsid w:val="00ED5A87"/>
    <w:rsid w:val="00ED5BA4"/>
    <w:rsid w:val="00ED6277"/>
    <w:rsid w:val="00ED6727"/>
    <w:rsid w:val="00ED6FEF"/>
    <w:rsid w:val="00ED74F8"/>
    <w:rsid w:val="00ED7BA5"/>
    <w:rsid w:val="00EE05C7"/>
    <w:rsid w:val="00EE05F6"/>
    <w:rsid w:val="00EE0945"/>
    <w:rsid w:val="00EE0C74"/>
    <w:rsid w:val="00EE0D5C"/>
    <w:rsid w:val="00EE0F34"/>
    <w:rsid w:val="00EE0FBB"/>
    <w:rsid w:val="00EE10D6"/>
    <w:rsid w:val="00EE113E"/>
    <w:rsid w:val="00EE12C1"/>
    <w:rsid w:val="00EE1687"/>
    <w:rsid w:val="00EE1889"/>
    <w:rsid w:val="00EE1B3B"/>
    <w:rsid w:val="00EE2436"/>
    <w:rsid w:val="00EE29CA"/>
    <w:rsid w:val="00EE2AA1"/>
    <w:rsid w:val="00EE2B44"/>
    <w:rsid w:val="00EE2D1E"/>
    <w:rsid w:val="00EE2F86"/>
    <w:rsid w:val="00EE31DC"/>
    <w:rsid w:val="00EE342A"/>
    <w:rsid w:val="00EE3664"/>
    <w:rsid w:val="00EE3865"/>
    <w:rsid w:val="00EE39EA"/>
    <w:rsid w:val="00EE3D05"/>
    <w:rsid w:val="00EE3D9F"/>
    <w:rsid w:val="00EE40A5"/>
    <w:rsid w:val="00EE40DD"/>
    <w:rsid w:val="00EE4350"/>
    <w:rsid w:val="00EE4611"/>
    <w:rsid w:val="00EE4AA9"/>
    <w:rsid w:val="00EE500B"/>
    <w:rsid w:val="00EE537D"/>
    <w:rsid w:val="00EE53EB"/>
    <w:rsid w:val="00EE580C"/>
    <w:rsid w:val="00EE621E"/>
    <w:rsid w:val="00EE63DA"/>
    <w:rsid w:val="00EE6422"/>
    <w:rsid w:val="00EE661F"/>
    <w:rsid w:val="00EE6CC4"/>
    <w:rsid w:val="00EE7013"/>
    <w:rsid w:val="00EE70D9"/>
    <w:rsid w:val="00EE774B"/>
    <w:rsid w:val="00EE7A69"/>
    <w:rsid w:val="00EE7EC6"/>
    <w:rsid w:val="00EF0040"/>
    <w:rsid w:val="00EF0553"/>
    <w:rsid w:val="00EF06C7"/>
    <w:rsid w:val="00EF073F"/>
    <w:rsid w:val="00EF0991"/>
    <w:rsid w:val="00EF0E2B"/>
    <w:rsid w:val="00EF0FD6"/>
    <w:rsid w:val="00EF1035"/>
    <w:rsid w:val="00EF1220"/>
    <w:rsid w:val="00EF1240"/>
    <w:rsid w:val="00EF1342"/>
    <w:rsid w:val="00EF13F1"/>
    <w:rsid w:val="00EF149B"/>
    <w:rsid w:val="00EF1B05"/>
    <w:rsid w:val="00EF1D81"/>
    <w:rsid w:val="00EF1EDB"/>
    <w:rsid w:val="00EF2184"/>
    <w:rsid w:val="00EF25D5"/>
    <w:rsid w:val="00EF2650"/>
    <w:rsid w:val="00EF2916"/>
    <w:rsid w:val="00EF31C2"/>
    <w:rsid w:val="00EF3499"/>
    <w:rsid w:val="00EF35A8"/>
    <w:rsid w:val="00EF37ED"/>
    <w:rsid w:val="00EF3B2F"/>
    <w:rsid w:val="00EF4018"/>
    <w:rsid w:val="00EF4904"/>
    <w:rsid w:val="00EF4B85"/>
    <w:rsid w:val="00EF55C8"/>
    <w:rsid w:val="00EF56F0"/>
    <w:rsid w:val="00EF582E"/>
    <w:rsid w:val="00EF5D19"/>
    <w:rsid w:val="00EF5DB0"/>
    <w:rsid w:val="00EF5F71"/>
    <w:rsid w:val="00EF5F9F"/>
    <w:rsid w:val="00EF610F"/>
    <w:rsid w:val="00EF62C6"/>
    <w:rsid w:val="00EF6862"/>
    <w:rsid w:val="00EF6DD9"/>
    <w:rsid w:val="00EF6EA1"/>
    <w:rsid w:val="00EF70A5"/>
    <w:rsid w:val="00EF7134"/>
    <w:rsid w:val="00EF73E9"/>
    <w:rsid w:val="00EF74A7"/>
    <w:rsid w:val="00EF74E9"/>
    <w:rsid w:val="00EF7517"/>
    <w:rsid w:val="00EF75AB"/>
    <w:rsid w:val="00EF7690"/>
    <w:rsid w:val="00EF7B95"/>
    <w:rsid w:val="00F000BA"/>
    <w:rsid w:val="00F003C9"/>
    <w:rsid w:val="00F005A4"/>
    <w:rsid w:val="00F00A8C"/>
    <w:rsid w:val="00F00F0B"/>
    <w:rsid w:val="00F01361"/>
    <w:rsid w:val="00F017B1"/>
    <w:rsid w:val="00F01D88"/>
    <w:rsid w:val="00F0212F"/>
    <w:rsid w:val="00F023B3"/>
    <w:rsid w:val="00F02840"/>
    <w:rsid w:val="00F03105"/>
    <w:rsid w:val="00F032E1"/>
    <w:rsid w:val="00F03AC5"/>
    <w:rsid w:val="00F03ACC"/>
    <w:rsid w:val="00F03D06"/>
    <w:rsid w:val="00F03D89"/>
    <w:rsid w:val="00F03ECB"/>
    <w:rsid w:val="00F04078"/>
    <w:rsid w:val="00F0449B"/>
    <w:rsid w:val="00F04768"/>
    <w:rsid w:val="00F0553D"/>
    <w:rsid w:val="00F05DF7"/>
    <w:rsid w:val="00F05E78"/>
    <w:rsid w:val="00F05F0E"/>
    <w:rsid w:val="00F05F72"/>
    <w:rsid w:val="00F062E4"/>
    <w:rsid w:val="00F06374"/>
    <w:rsid w:val="00F06A6E"/>
    <w:rsid w:val="00F06C5A"/>
    <w:rsid w:val="00F06C92"/>
    <w:rsid w:val="00F06CEC"/>
    <w:rsid w:val="00F06D35"/>
    <w:rsid w:val="00F0703D"/>
    <w:rsid w:val="00F0714B"/>
    <w:rsid w:val="00F0730B"/>
    <w:rsid w:val="00F07372"/>
    <w:rsid w:val="00F0774D"/>
    <w:rsid w:val="00F07A12"/>
    <w:rsid w:val="00F07E11"/>
    <w:rsid w:val="00F106AD"/>
    <w:rsid w:val="00F10755"/>
    <w:rsid w:val="00F10783"/>
    <w:rsid w:val="00F1101C"/>
    <w:rsid w:val="00F11034"/>
    <w:rsid w:val="00F112E4"/>
    <w:rsid w:val="00F11963"/>
    <w:rsid w:val="00F11E62"/>
    <w:rsid w:val="00F11F71"/>
    <w:rsid w:val="00F128F0"/>
    <w:rsid w:val="00F12A72"/>
    <w:rsid w:val="00F12BB4"/>
    <w:rsid w:val="00F13077"/>
    <w:rsid w:val="00F13526"/>
    <w:rsid w:val="00F137F7"/>
    <w:rsid w:val="00F139A3"/>
    <w:rsid w:val="00F13A51"/>
    <w:rsid w:val="00F14015"/>
    <w:rsid w:val="00F1409B"/>
    <w:rsid w:val="00F141C9"/>
    <w:rsid w:val="00F1448D"/>
    <w:rsid w:val="00F14584"/>
    <w:rsid w:val="00F14623"/>
    <w:rsid w:val="00F14835"/>
    <w:rsid w:val="00F14A4B"/>
    <w:rsid w:val="00F14B46"/>
    <w:rsid w:val="00F14B57"/>
    <w:rsid w:val="00F14BE0"/>
    <w:rsid w:val="00F14D84"/>
    <w:rsid w:val="00F15D84"/>
    <w:rsid w:val="00F15E64"/>
    <w:rsid w:val="00F16C6D"/>
    <w:rsid w:val="00F16EFB"/>
    <w:rsid w:val="00F16F7E"/>
    <w:rsid w:val="00F1701D"/>
    <w:rsid w:val="00F1786F"/>
    <w:rsid w:val="00F17B4A"/>
    <w:rsid w:val="00F17BAC"/>
    <w:rsid w:val="00F17DCF"/>
    <w:rsid w:val="00F17F0B"/>
    <w:rsid w:val="00F20149"/>
    <w:rsid w:val="00F203B1"/>
    <w:rsid w:val="00F20AF4"/>
    <w:rsid w:val="00F20B70"/>
    <w:rsid w:val="00F20BC7"/>
    <w:rsid w:val="00F21043"/>
    <w:rsid w:val="00F2108E"/>
    <w:rsid w:val="00F2143D"/>
    <w:rsid w:val="00F215EF"/>
    <w:rsid w:val="00F217EC"/>
    <w:rsid w:val="00F21AFE"/>
    <w:rsid w:val="00F21B9C"/>
    <w:rsid w:val="00F21CF0"/>
    <w:rsid w:val="00F21E06"/>
    <w:rsid w:val="00F21F84"/>
    <w:rsid w:val="00F2214E"/>
    <w:rsid w:val="00F22387"/>
    <w:rsid w:val="00F2282B"/>
    <w:rsid w:val="00F22B79"/>
    <w:rsid w:val="00F22C77"/>
    <w:rsid w:val="00F22E95"/>
    <w:rsid w:val="00F22F4F"/>
    <w:rsid w:val="00F231E7"/>
    <w:rsid w:val="00F2377C"/>
    <w:rsid w:val="00F23E6F"/>
    <w:rsid w:val="00F23FA0"/>
    <w:rsid w:val="00F24345"/>
    <w:rsid w:val="00F24CA2"/>
    <w:rsid w:val="00F24CFC"/>
    <w:rsid w:val="00F24F75"/>
    <w:rsid w:val="00F25070"/>
    <w:rsid w:val="00F25114"/>
    <w:rsid w:val="00F25244"/>
    <w:rsid w:val="00F256BA"/>
    <w:rsid w:val="00F25785"/>
    <w:rsid w:val="00F25BBD"/>
    <w:rsid w:val="00F263C1"/>
    <w:rsid w:val="00F266B4"/>
    <w:rsid w:val="00F26839"/>
    <w:rsid w:val="00F26969"/>
    <w:rsid w:val="00F26B75"/>
    <w:rsid w:val="00F26BB4"/>
    <w:rsid w:val="00F26D12"/>
    <w:rsid w:val="00F272C8"/>
    <w:rsid w:val="00F2731F"/>
    <w:rsid w:val="00F2763A"/>
    <w:rsid w:val="00F27678"/>
    <w:rsid w:val="00F27697"/>
    <w:rsid w:val="00F27922"/>
    <w:rsid w:val="00F30250"/>
    <w:rsid w:val="00F3047A"/>
    <w:rsid w:val="00F30F77"/>
    <w:rsid w:val="00F31195"/>
    <w:rsid w:val="00F31555"/>
    <w:rsid w:val="00F316B5"/>
    <w:rsid w:val="00F31B63"/>
    <w:rsid w:val="00F31E38"/>
    <w:rsid w:val="00F31F13"/>
    <w:rsid w:val="00F321C8"/>
    <w:rsid w:val="00F32690"/>
    <w:rsid w:val="00F3290C"/>
    <w:rsid w:val="00F32A67"/>
    <w:rsid w:val="00F32EDF"/>
    <w:rsid w:val="00F3325B"/>
    <w:rsid w:val="00F334C9"/>
    <w:rsid w:val="00F335D4"/>
    <w:rsid w:val="00F337EA"/>
    <w:rsid w:val="00F33924"/>
    <w:rsid w:val="00F33BAE"/>
    <w:rsid w:val="00F33C79"/>
    <w:rsid w:val="00F33CB9"/>
    <w:rsid w:val="00F33ED8"/>
    <w:rsid w:val="00F3418D"/>
    <w:rsid w:val="00F34B69"/>
    <w:rsid w:val="00F34D9C"/>
    <w:rsid w:val="00F35174"/>
    <w:rsid w:val="00F351E2"/>
    <w:rsid w:val="00F3526B"/>
    <w:rsid w:val="00F35464"/>
    <w:rsid w:val="00F35740"/>
    <w:rsid w:val="00F35C68"/>
    <w:rsid w:val="00F35C70"/>
    <w:rsid w:val="00F35E2C"/>
    <w:rsid w:val="00F35E43"/>
    <w:rsid w:val="00F35F82"/>
    <w:rsid w:val="00F35FB0"/>
    <w:rsid w:val="00F3611D"/>
    <w:rsid w:val="00F363BA"/>
    <w:rsid w:val="00F36444"/>
    <w:rsid w:val="00F364A3"/>
    <w:rsid w:val="00F36536"/>
    <w:rsid w:val="00F36616"/>
    <w:rsid w:val="00F36789"/>
    <w:rsid w:val="00F368EA"/>
    <w:rsid w:val="00F36D8E"/>
    <w:rsid w:val="00F36F9A"/>
    <w:rsid w:val="00F37600"/>
    <w:rsid w:val="00F4020F"/>
    <w:rsid w:val="00F40ADE"/>
    <w:rsid w:val="00F40CBE"/>
    <w:rsid w:val="00F41895"/>
    <w:rsid w:val="00F41C3A"/>
    <w:rsid w:val="00F41D76"/>
    <w:rsid w:val="00F41FA5"/>
    <w:rsid w:val="00F42034"/>
    <w:rsid w:val="00F42499"/>
    <w:rsid w:val="00F4267F"/>
    <w:rsid w:val="00F4288B"/>
    <w:rsid w:val="00F4356C"/>
    <w:rsid w:val="00F43711"/>
    <w:rsid w:val="00F43975"/>
    <w:rsid w:val="00F44258"/>
    <w:rsid w:val="00F44325"/>
    <w:rsid w:val="00F44622"/>
    <w:rsid w:val="00F44D1F"/>
    <w:rsid w:val="00F44F43"/>
    <w:rsid w:val="00F45016"/>
    <w:rsid w:val="00F45580"/>
    <w:rsid w:val="00F45966"/>
    <w:rsid w:val="00F45B30"/>
    <w:rsid w:val="00F45CAF"/>
    <w:rsid w:val="00F46129"/>
    <w:rsid w:val="00F464BA"/>
    <w:rsid w:val="00F46549"/>
    <w:rsid w:val="00F4664E"/>
    <w:rsid w:val="00F46AD8"/>
    <w:rsid w:val="00F470F1"/>
    <w:rsid w:val="00F4798A"/>
    <w:rsid w:val="00F47A28"/>
    <w:rsid w:val="00F47A6F"/>
    <w:rsid w:val="00F47D18"/>
    <w:rsid w:val="00F47FAA"/>
    <w:rsid w:val="00F5009A"/>
    <w:rsid w:val="00F502AF"/>
    <w:rsid w:val="00F502C4"/>
    <w:rsid w:val="00F50648"/>
    <w:rsid w:val="00F50A74"/>
    <w:rsid w:val="00F50B19"/>
    <w:rsid w:val="00F50BCF"/>
    <w:rsid w:val="00F50E89"/>
    <w:rsid w:val="00F50F30"/>
    <w:rsid w:val="00F5172B"/>
    <w:rsid w:val="00F51C21"/>
    <w:rsid w:val="00F51F36"/>
    <w:rsid w:val="00F51FE2"/>
    <w:rsid w:val="00F52029"/>
    <w:rsid w:val="00F52179"/>
    <w:rsid w:val="00F52345"/>
    <w:rsid w:val="00F523EB"/>
    <w:rsid w:val="00F526DF"/>
    <w:rsid w:val="00F5273D"/>
    <w:rsid w:val="00F5284F"/>
    <w:rsid w:val="00F52E08"/>
    <w:rsid w:val="00F52FAC"/>
    <w:rsid w:val="00F53009"/>
    <w:rsid w:val="00F53032"/>
    <w:rsid w:val="00F53230"/>
    <w:rsid w:val="00F536A3"/>
    <w:rsid w:val="00F53971"/>
    <w:rsid w:val="00F53C8F"/>
    <w:rsid w:val="00F53D96"/>
    <w:rsid w:val="00F543A3"/>
    <w:rsid w:val="00F54754"/>
    <w:rsid w:val="00F5494F"/>
    <w:rsid w:val="00F54A3E"/>
    <w:rsid w:val="00F54EEC"/>
    <w:rsid w:val="00F54F6B"/>
    <w:rsid w:val="00F550BE"/>
    <w:rsid w:val="00F55326"/>
    <w:rsid w:val="00F5568B"/>
    <w:rsid w:val="00F55944"/>
    <w:rsid w:val="00F5598F"/>
    <w:rsid w:val="00F55A47"/>
    <w:rsid w:val="00F55A7E"/>
    <w:rsid w:val="00F563F3"/>
    <w:rsid w:val="00F56901"/>
    <w:rsid w:val="00F56C69"/>
    <w:rsid w:val="00F56C7F"/>
    <w:rsid w:val="00F56CA3"/>
    <w:rsid w:val="00F56FD5"/>
    <w:rsid w:val="00F571E4"/>
    <w:rsid w:val="00F578EF"/>
    <w:rsid w:val="00F57B6C"/>
    <w:rsid w:val="00F57C80"/>
    <w:rsid w:val="00F57DAC"/>
    <w:rsid w:val="00F57FDC"/>
    <w:rsid w:val="00F604F4"/>
    <w:rsid w:val="00F6062B"/>
    <w:rsid w:val="00F606AD"/>
    <w:rsid w:val="00F60D42"/>
    <w:rsid w:val="00F616AD"/>
    <w:rsid w:val="00F61AF5"/>
    <w:rsid w:val="00F61F33"/>
    <w:rsid w:val="00F620A8"/>
    <w:rsid w:val="00F62533"/>
    <w:rsid w:val="00F62938"/>
    <w:rsid w:val="00F62D84"/>
    <w:rsid w:val="00F630AE"/>
    <w:rsid w:val="00F630B2"/>
    <w:rsid w:val="00F63111"/>
    <w:rsid w:val="00F633B5"/>
    <w:rsid w:val="00F633B9"/>
    <w:rsid w:val="00F63932"/>
    <w:rsid w:val="00F63A99"/>
    <w:rsid w:val="00F63B2C"/>
    <w:rsid w:val="00F641E4"/>
    <w:rsid w:val="00F6427D"/>
    <w:rsid w:val="00F644E9"/>
    <w:rsid w:val="00F6460A"/>
    <w:rsid w:val="00F6470F"/>
    <w:rsid w:val="00F64ADA"/>
    <w:rsid w:val="00F64DEE"/>
    <w:rsid w:val="00F653D9"/>
    <w:rsid w:val="00F65C10"/>
    <w:rsid w:val="00F65EA8"/>
    <w:rsid w:val="00F6607F"/>
    <w:rsid w:val="00F660AE"/>
    <w:rsid w:val="00F664A0"/>
    <w:rsid w:val="00F665B5"/>
    <w:rsid w:val="00F666D0"/>
    <w:rsid w:val="00F666D1"/>
    <w:rsid w:val="00F667F1"/>
    <w:rsid w:val="00F66AEE"/>
    <w:rsid w:val="00F66D8C"/>
    <w:rsid w:val="00F66FB2"/>
    <w:rsid w:val="00F66FF2"/>
    <w:rsid w:val="00F67529"/>
    <w:rsid w:val="00F67801"/>
    <w:rsid w:val="00F67D8D"/>
    <w:rsid w:val="00F70784"/>
    <w:rsid w:val="00F707D8"/>
    <w:rsid w:val="00F70B40"/>
    <w:rsid w:val="00F70C03"/>
    <w:rsid w:val="00F712C9"/>
    <w:rsid w:val="00F7138B"/>
    <w:rsid w:val="00F71465"/>
    <w:rsid w:val="00F715E5"/>
    <w:rsid w:val="00F71A62"/>
    <w:rsid w:val="00F71AD2"/>
    <w:rsid w:val="00F71C29"/>
    <w:rsid w:val="00F71DC8"/>
    <w:rsid w:val="00F7209C"/>
    <w:rsid w:val="00F7250F"/>
    <w:rsid w:val="00F7283C"/>
    <w:rsid w:val="00F72B0E"/>
    <w:rsid w:val="00F72BC4"/>
    <w:rsid w:val="00F72D05"/>
    <w:rsid w:val="00F7316C"/>
    <w:rsid w:val="00F733FB"/>
    <w:rsid w:val="00F73B89"/>
    <w:rsid w:val="00F73C21"/>
    <w:rsid w:val="00F740BC"/>
    <w:rsid w:val="00F742F1"/>
    <w:rsid w:val="00F743C9"/>
    <w:rsid w:val="00F74B16"/>
    <w:rsid w:val="00F74B80"/>
    <w:rsid w:val="00F75E4B"/>
    <w:rsid w:val="00F75F35"/>
    <w:rsid w:val="00F76146"/>
    <w:rsid w:val="00F76159"/>
    <w:rsid w:val="00F76418"/>
    <w:rsid w:val="00F76850"/>
    <w:rsid w:val="00F7689E"/>
    <w:rsid w:val="00F76B67"/>
    <w:rsid w:val="00F76C44"/>
    <w:rsid w:val="00F76FDB"/>
    <w:rsid w:val="00F77534"/>
    <w:rsid w:val="00F77582"/>
    <w:rsid w:val="00F77868"/>
    <w:rsid w:val="00F77957"/>
    <w:rsid w:val="00F802D1"/>
    <w:rsid w:val="00F80692"/>
    <w:rsid w:val="00F8078A"/>
    <w:rsid w:val="00F80812"/>
    <w:rsid w:val="00F80AB2"/>
    <w:rsid w:val="00F80D1C"/>
    <w:rsid w:val="00F811BB"/>
    <w:rsid w:val="00F8175A"/>
    <w:rsid w:val="00F81808"/>
    <w:rsid w:val="00F818AF"/>
    <w:rsid w:val="00F81CBE"/>
    <w:rsid w:val="00F81F00"/>
    <w:rsid w:val="00F821D4"/>
    <w:rsid w:val="00F82388"/>
    <w:rsid w:val="00F8248E"/>
    <w:rsid w:val="00F82579"/>
    <w:rsid w:val="00F82BE6"/>
    <w:rsid w:val="00F830E7"/>
    <w:rsid w:val="00F834A6"/>
    <w:rsid w:val="00F83B19"/>
    <w:rsid w:val="00F83B29"/>
    <w:rsid w:val="00F83EDB"/>
    <w:rsid w:val="00F841B9"/>
    <w:rsid w:val="00F84245"/>
    <w:rsid w:val="00F84D87"/>
    <w:rsid w:val="00F84DAF"/>
    <w:rsid w:val="00F861A6"/>
    <w:rsid w:val="00F865A9"/>
    <w:rsid w:val="00F866E4"/>
    <w:rsid w:val="00F8670E"/>
    <w:rsid w:val="00F867E4"/>
    <w:rsid w:val="00F868EC"/>
    <w:rsid w:val="00F869D9"/>
    <w:rsid w:val="00F86ABC"/>
    <w:rsid w:val="00F86D6D"/>
    <w:rsid w:val="00F87404"/>
    <w:rsid w:val="00F87497"/>
    <w:rsid w:val="00F876BD"/>
    <w:rsid w:val="00F879A2"/>
    <w:rsid w:val="00F87ACB"/>
    <w:rsid w:val="00F87ADC"/>
    <w:rsid w:val="00F87CF7"/>
    <w:rsid w:val="00F90073"/>
    <w:rsid w:val="00F9024A"/>
    <w:rsid w:val="00F903FB"/>
    <w:rsid w:val="00F90497"/>
    <w:rsid w:val="00F908D4"/>
    <w:rsid w:val="00F90DD2"/>
    <w:rsid w:val="00F91389"/>
    <w:rsid w:val="00F9139E"/>
    <w:rsid w:val="00F914DC"/>
    <w:rsid w:val="00F91668"/>
    <w:rsid w:val="00F91F49"/>
    <w:rsid w:val="00F92074"/>
    <w:rsid w:val="00F9288A"/>
    <w:rsid w:val="00F928B9"/>
    <w:rsid w:val="00F92A8E"/>
    <w:rsid w:val="00F92C53"/>
    <w:rsid w:val="00F9351B"/>
    <w:rsid w:val="00F938E9"/>
    <w:rsid w:val="00F93AD2"/>
    <w:rsid w:val="00F93DEA"/>
    <w:rsid w:val="00F93E3A"/>
    <w:rsid w:val="00F9428F"/>
    <w:rsid w:val="00F9453C"/>
    <w:rsid w:val="00F94B62"/>
    <w:rsid w:val="00F9517F"/>
    <w:rsid w:val="00F95702"/>
    <w:rsid w:val="00F9576E"/>
    <w:rsid w:val="00F95B2C"/>
    <w:rsid w:val="00F95BE1"/>
    <w:rsid w:val="00F95CB3"/>
    <w:rsid w:val="00F9603D"/>
    <w:rsid w:val="00F96646"/>
    <w:rsid w:val="00F969D1"/>
    <w:rsid w:val="00F96A2F"/>
    <w:rsid w:val="00F96B58"/>
    <w:rsid w:val="00F96B7D"/>
    <w:rsid w:val="00F96BD6"/>
    <w:rsid w:val="00F96D06"/>
    <w:rsid w:val="00F9711A"/>
    <w:rsid w:val="00F976CC"/>
    <w:rsid w:val="00F97ABD"/>
    <w:rsid w:val="00F97BAA"/>
    <w:rsid w:val="00F97BBC"/>
    <w:rsid w:val="00F97E1E"/>
    <w:rsid w:val="00FA012C"/>
    <w:rsid w:val="00FA0134"/>
    <w:rsid w:val="00FA0491"/>
    <w:rsid w:val="00FA049C"/>
    <w:rsid w:val="00FA05D7"/>
    <w:rsid w:val="00FA0819"/>
    <w:rsid w:val="00FA0841"/>
    <w:rsid w:val="00FA099F"/>
    <w:rsid w:val="00FA09D8"/>
    <w:rsid w:val="00FA0A53"/>
    <w:rsid w:val="00FA0D76"/>
    <w:rsid w:val="00FA0F6B"/>
    <w:rsid w:val="00FA0F9C"/>
    <w:rsid w:val="00FA18FA"/>
    <w:rsid w:val="00FA23BE"/>
    <w:rsid w:val="00FA2518"/>
    <w:rsid w:val="00FA295E"/>
    <w:rsid w:val="00FA2A05"/>
    <w:rsid w:val="00FA2FF5"/>
    <w:rsid w:val="00FA306A"/>
    <w:rsid w:val="00FA323A"/>
    <w:rsid w:val="00FA3317"/>
    <w:rsid w:val="00FA3353"/>
    <w:rsid w:val="00FA338A"/>
    <w:rsid w:val="00FA3882"/>
    <w:rsid w:val="00FA39AC"/>
    <w:rsid w:val="00FA3AE3"/>
    <w:rsid w:val="00FA3CEE"/>
    <w:rsid w:val="00FA3EAE"/>
    <w:rsid w:val="00FA419C"/>
    <w:rsid w:val="00FA4473"/>
    <w:rsid w:val="00FA44CD"/>
    <w:rsid w:val="00FA4528"/>
    <w:rsid w:val="00FA4961"/>
    <w:rsid w:val="00FA4B9D"/>
    <w:rsid w:val="00FA567A"/>
    <w:rsid w:val="00FA58E2"/>
    <w:rsid w:val="00FA5EB3"/>
    <w:rsid w:val="00FA6167"/>
    <w:rsid w:val="00FA62D1"/>
    <w:rsid w:val="00FA6576"/>
    <w:rsid w:val="00FA682A"/>
    <w:rsid w:val="00FA6AF4"/>
    <w:rsid w:val="00FA6B11"/>
    <w:rsid w:val="00FA6E0D"/>
    <w:rsid w:val="00FA7103"/>
    <w:rsid w:val="00FA77D9"/>
    <w:rsid w:val="00FA7855"/>
    <w:rsid w:val="00FA798A"/>
    <w:rsid w:val="00FA7BC3"/>
    <w:rsid w:val="00FA7D90"/>
    <w:rsid w:val="00FA7DA1"/>
    <w:rsid w:val="00FB0090"/>
    <w:rsid w:val="00FB02EE"/>
    <w:rsid w:val="00FB07C9"/>
    <w:rsid w:val="00FB149B"/>
    <w:rsid w:val="00FB176A"/>
    <w:rsid w:val="00FB194E"/>
    <w:rsid w:val="00FB1A07"/>
    <w:rsid w:val="00FB2212"/>
    <w:rsid w:val="00FB222B"/>
    <w:rsid w:val="00FB2930"/>
    <w:rsid w:val="00FB2B09"/>
    <w:rsid w:val="00FB33BD"/>
    <w:rsid w:val="00FB34EE"/>
    <w:rsid w:val="00FB3B8F"/>
    <w:rsid w:val="00FB3D60"/>
    <w:rsid w:val="00FB405B"/>
    <w:rsid w:val="00FB426E"/>
    <w:rsid w:val="00FB430D"/>
    <w:rsid w:val="00FB4364"/>
    <w:rsid w:val="00FB44FF"/>
    <w:rsid w:val="00FB4C02"/>
    <w:rsid w:val="00FB4C5F"/>
    <w:rsid w:val="00FB5180"/>
    <w:rsid w:val="00FB5183"/>
    <w:rsid w:val="00FB542A"/>
    <w:rsid w:val="00FB5D8C"/>
    <w:rsid w:val="00FB602F"/>
    <w:rsid w:val="00FB6144"/>
    <w:rsid w:val="00FB6386"/>
    <w:rsid w:val="00FB6780"/>
    <w:rsid w:val="00FB6D1A"/>
    <w:rsid w:val="00FB6F54"/>
    <w:rsid w:val="00FB704D"/>
    <w:rsid w:val="00FB7086"/>
    <w:rsid w:val="00FB714C"/>
    <w:rsid w:val="00FB7153"/>
    <w:rsid w:val="00FB73E1"/>
    <w:rsid w:val="00FB7806"/>
    <w:rsid w:val="00FB7AA0"/>
    <w:rsid w:val="00FB7F7A"/>
    <w:rsid w:val="00FC063B"/>
    <w:rsid w:val="00FC0EE2"/>
    <w:rsid w:val="00FC11D2"/>
    <w:rsid w:val="00FC1BB4"/>
    <w:rsid w:val="00FC1CFD"/>
    <w:rsid w:val="00FC1D4B"/>
    <w:rsid w:val="00FC21A6"/>
    <w:rsid w:val="00FC21D2"/>
    <w:rsid w:val="00FC2585"/>
    <w:rsid w:val="00FC2856"/>
    <w:rsid w:val="00FC294F"/>
    <w:rsid w:val="00FC2A1B"/>
    <w:rsid w:val="00FC2B75"/>
    <w:rsid w:val="00FC312D"/>
    <w:rsid w:val="00FC3206"/>
    <w:rsid w:val="00FC33E7"/>
    <w:rsid w:val="00FC3847"/>
    <w:rsid w:val="00FC4206"/>
    <w:rsid w:val="00FC4312"/>
    <w:rsid w:val="00FC48AB"/>
    <w:rsid w:val="00FC49FD"/>
    <w:rsid w:val="00FC4A31"/>
    <w:rsid w:val="00FC4BEF"/>
    <w:rsid w:val="00FC5455"/>
    <w:rsid w:val="00FC5636"/>
    <w:rsid w:val="00FC5836"/>
    <w:rsid w:val="00FC5871"/>
    <w:rsid w:val="00FC58C7"/>
    <w:rsid w:val="00FC5B61"/>
    <w:rsid w:val="00FC5C7F"/>
    <w:rsid w:val="00FC628D"/>
    <w:rsid w:val="00FC62F3"/>
    <w:rsid w:val="00FC66CA"/>
    <w:rsid w:val="00FC68BA"/>
    <w:rsid w:val="00FC6BBA"/>
    <w:rsid w:val="00FC6D1A"/>
    <w:rsid w:val="00FC7071"/>
    <w:rsid w:val="00FC70BC"/>
    <w:rsid w:val="00FC71FE"/>
    <w:rsid w:val="00FC7344"/>
    <w:rsid w:val="00FC7471"/>
    <w:rsid w:val="00FC75F1"/>
    <w:rsid w:val="00FC7763"/>
    <w:rsid w:val="00FC780B"/>
    <w:rsid w:val="00FC7966"/>
    <w:rsid w:val="00FC79CC"/>
    <w:rsid w:val="00FC79E8"/>
    <w:rsid w:val="00FC7AF0"/>
    <w:rsid w:val="00FC7DC5"/>
    <w:rsid w:val="00FD02B0"/>
    <w:rsid w:val="00FD034F"/>
    <w:rsid w:val="00FD0A36"/>
    <w:rsid w:val="00FD109B"/>
    <w:rsid w:val="00FD122C"/>
    <w:rsid w:val="00FD1574"/>
    <w:rsid w:val="00FD1769"/>
    <w:rsid w:val="00FD192F"/>
    <w:rsid w:val="00FD1C87"/>
    <w:rsid w:val="00FD1E46"/>
    <w:rsid w:val="00FD1F80"/>
    <w:rsid w:val="00FD2BBC"/>
    <w:rsid w:val="00FD2BEE"/>
    <w:rsid w:val="00FD2DBD"/>
    <w:rsid w:val="00FD31A9"/>
    <w:rsid w:val="00FD3817"/>
    <w:rsid w:val="00FD394D"/>
    <w:rsid w:val="00FD3C0E"/>
    <w:rsid w:val="00FD4619"/>
    <w:rsid w:val="00FD464C"/>
    <w:rsid w:val="00FD4907"/>
    <w:rsid w:val="00FD50B2"/>
    <w:rsid w:val="00FD5609"/>
    <w:rsid w:val="00FD58B3"/>
    <w:rsid w:val="00FD5A75"/>
    <w:rsid w:val="00FD5D9C"/>
    <w:rsid w:val="00FD5E97"/>
    <w:rsid w:val="00FD616D"/>
    <w:rsid w:val="00FD6941"/>
    <w:rsid w:val="00FD6D32"/>
    <w:rsid w:val="00FD6DD0"/>
    <w:rsid w:val="00FD6E2F"/>
    <w:rsid w:val="00FD6F66"/>
    <w:rsid w:val="00FD7231"/>
    <w:rsid w:val="00FD72A4"/>
    <w:rsid w:val="00FD7886"/>
    <w:rsid w:val="00FD78BD"/>
    <w:rsid w:val="00FD7D86"/>
    <w:rsid w:val="00FE00AB"/>
    <w:rsid w:val="00FE0685"/>
    <w:rsid w:val="00FE0CB3"/>
    <w:rsid w:val="00FE0D60"/>
    <w:rsid w:val="00FE12B8"/>
    <w:rsid w:val="00FE14DD"/>
    <w:rsid w:val="00FE1BA4"/>
    <w:rsid w:val="00FE1BB2"/>
    <w:rsid w:val="00FE2180"/>
    <w:rsid w:val="00FE231D"/>
    <w:rsid w:val="00FE2914"/>
    <w:rsid w:val="00FE2A1B"/>
    <w:rsid w:val="00FE2CDB"/>
    <w:rsid w:val="00FE2D61"/>
    <w:rsid w:val="00FE3ADB"/>
    <w:rsid w:val="00FE3D52"/>
    <w:rsid w:val="00FE3D73"/>
    <w:rsid w:val="00FE3E2E"/>
    <w:rsid w:val="00FE3EEF"/>
    <w:rsid w:val="00FE463F"/>
    <w:rsid w:val="00FE46B4"/>
    <w:rsid w:val="00FE4D54"/>
    <w:rsid w:val="00FE4E4B"/>
    <w:rsid w:val="00FE4F22"/>
    <w:rsid w:val="00FE4F2F"/>
    <w:rsid w:val="00FE50F7"/>
    <w:rsid w:val="00FE514F"/>
    <w:rsid w:val="00FE53EE"/>
    <w:rsid w:val="00FE581A"/>
    <w:rsid w:val="00FE5B16"/>
    <w:rsid w:val="00FE5CF6"/>
    <w:rsid w:val="00FE5D6A"/>
    <w:rsid w:val="00FE6062"/>
    <w:rsid w:val="00FE63B7"/>
    <w:rsid w:val="00FE6713"/>
    <w:rsid w:val="00FE68D5"/>
    <w:rsid w:val="00FE69A8"/>
    <w:rsid w:val="00FE6B24"/>
    <w:rsid w:val="00FE6BC3"/>
    <w:rsid w:val="00FE6DEE"/>
    <w:rsid w:val="00FE72F6"/>
    <w:rsid w:val="00FE73E6"/>
    <w:rsid w:val="00FE788B"/>
    <w:rsid w:val="00FE7C2D"/>
    <w:rsid w:val="00FE7DED"/>
    <w:rsid w:val="00FF0ACD"/>
    <w:rsid w:val="00FF0BAC"/>
    <w:rsid w:val="00FF0CD9"/>
    <w:rsid w:val="00FF157D"/>
    <w:rsid w:val="00FF17D4"/>
    <w:rsid w:val="00FF18D5"/>
    <w:rsid w:val="00FF1E46"/>
    <w:rsid w:val="00FF230B"/>
    <w:rsid w:val="00FF2864"/>
    <w:rsid w:val="00FF295E"/>
    <w:rsid w:val="00FF2AE6"/>
    <w:rsid w:val="00FF3171"/>
    <w:rsid w:val="00FF3402"/>
    <w:rsid w:val="00FF3515"/>
    <w:rsid w:val="00FF38C5"/>
    <w:rsid w:val="00FF3DD0"/>
    <w:rsid w:val="00FF405C"/>
    <w:rsid w:val="00FF4979"/>
    <w:rsid w:val="00FF4A7F"/>
    <w:rsid w:val="00FF4B9E"/>
    <w:rsid w:val="00FF5558"/>
    <w:rsid w:val="00FF55AF"/>
    <w:rsid w:val="00FF55C8"/>
    <w:rsid w:val="00FF6644"/>
    <w:rsid w:val="00FF679A"/>
    <w:rsid w:val="00FF6832"/>
    <w:rsid w:val="00FF6C17"/>
    <w:rsid w:val="00FF6D5F"/>
    <w:rsid w:val="00FF6F85"/>
    <w:rsid w:val="00FF7000"/>
    <w:rsid w:val="00FF73AE"/>
    <w:rsid w:val="00FF73FD"/>
    <w:rsid w:val="00FF7407"/>
    <w:rsid w:val="00FF756C"/>
    <w:rsid w:val="00FF7D00"/>
    <w:rsid w:val="00FF7EBB"/>
    <w:rsid w:val="01A47FEF"/>
    <w:rsid w:val="020B3CA3"/>
    <w:rsid w:val="036F2398"/>
    <w:rsid w:val="055A5C14"/>
    <w:rsid w:val="05AF61CB"/>
    <w:rsid w:val="07277F9F"/>
    <w:rsid w:val="0BD55CB2"/>
    <w:rsid w:val="0C6F0253"/>
    <w:rsid w:val="0DCD2E38"/>
    <w:rsid w:val="0E8B34BF"/>
    <w:rsid w:val="0EA67A84"/>
    <w:rsid w:val="0EB00737"/>
    <w:rsid w:val="0EC013D7"/>
    <w:rsid w:val="0FD5012A"/>
    <w:rsid w:val="11BF1446"/>
    <w:rsid w:val="122D3EAF"/>
    <w:rsid w:val="126533BB"/>
    <w:rsid w:val="13FD150A"/>
    <w:rsid w:val="14A21318"/>
    <w:rsid w:val="15A5514E"/>
    <w:rsid w:val="160543AE"/>
    <w:rsid w:val="16F72CB9"/>
    <w:rsid w:val="17245FF7"/>
    <w:rsid w:val="17874A7A"/>
    <w:rsid w:val="1A3851B5"/>
    <w:rsid w:val="1AA01560"/>
    <w:rsid w:val="1BA90DB7"/>
    <w:rsid w:val="1BD34104"/>
    <w:rsid w:val="1EA23499"/>
    <w:rsid w:val="1FA22438"/>
    <w:rsid w:val="1FE95D57"/>
    <w:rsid w:val="21432395"/>
    <w:rsid w:val="219114E1"/>
    <w:rsid w:val="21CF110C"/>
    <w:rsid w:val="21DB7963"/>
    <w:rsid w:val="22313065"/>
    <w:rsid w:val="22631838"/>
    <w:rsid w:val="2270387C"/>
    <w:rsid w:val="23774B67"/>
    <w:rsid w:val="256F6369"/>
    <w:rsid w:val="25A71015"/>
    <w:rsid w:val="25E80596"/>
    <w:rsid w:val="260D383B"/>
    <w:rsid w:val="263B17C8"/>
    <w:rsid w:val="269167D3"/>
    <w:rsid w:val="26BB6249"/>
    <w:rsid w:val="281A3238"/>
    <w:rsid w:val="28BF6E9C"/>
    <w:rsid w:val="28E12AAF"/>
    <w:rsid w:val="299D52CE"/>
    <w:rsid w:val="2A2E2D46"/>
    <w:rsid w:val="2A3C7759"/>
    <w:rsid w:val="2AA41C28"/>
    <w:rsid w:val="2DD578EF"/>
    <w:rsid w:val="2E4A1577"/>
    <w:rsid w:val="2FBA6AEB"/>
    <w:rsid w:val="30542084"/>
    <w:rsid w:val="30924F9F"/>
    <w:rsid w:val="32193BA3"/>
    <w:rsid w:val="33B03C1D"/>
    <w:rsid w:val="352E4626"/>
    <w:rsid w:val="3559723E"/>
    <w:rsid w:val="3B533ACA"/>
    <w:rsid w:val="3BD936F1"/>
    <w:rsid w:val="3CEA5045"/>
    <w:rsid w:val="3DCB6307"/>
    <w:rsid w:val="3E62573F"/>
    <w:rsid w:val="3F073682"/>
    <w:rsid w:val="415831D0"/>
    <w:rsid w:val="416720C9"/>
    <w:rsid w:val="426B20BE"/>
    <w:rsid w:val="438C1FC7"/>
    <w:rsid w:val="441E63FE"/>
    <w:rsid w:val="44687A85"/>
    <w:rsid w:val="44B60C31"/>
    <w:rsid w:val="44CF05DE"/>
    <w:rsid w:val="45992680"/>
    <w:rsid w:val="45DA3B17"/>
    <w:rsid w:val="46DA4082"/>
    <w:rsid w:val="47742FA8"/>
    <w:rsid w:val="47D01EDF"/>
    <w:rsid w:val="47FD1AB4"/>
    <w:rsid w:val="48984F57"/>
    <w:rsid w:val="48E757E7"/>
    <w:rsid w:val="4A7E7BF1"/>
    <w:rsid w:val="4ABD0879"/>
    <w:rsid w:val="4BFD69BF"/>
    <w:rsid w:val="4C18525B"/>
    <w:rsid w:val="4C467730"/>
    <w:rsid w:val="4E1B3EF5"/>
    <w:rsid w:val="4EE97039"/>
    <w:rsid w:val="50107715"/>
    <w:rsid w:val="506B4678"/>
    <w:rsid w:val="50875053"/>
    <w:rsid w:val="51660B07"/>
    <w:rsid w:val="52B21504"/>
    <w:rsid w:val="538E5A76"/>
    <w:rsid w:val="54481B69"/>
    <w:rsid w:val="545A561D"/>
    <w:rsid w:val="55093596"/>
    <w:rsid w:val="55DE7A8C"/>
    <w:rsid w:val="5764572A"/>
    <w:rsid w:val="5A567945"/>
    <w:rsid w:val="5A9E0C11"/>
    <w:rsid w:val="619D4A7D"/>
    <w:rsid w:val="62084158"/>
    <w:rsid w:val="62D37C04"/>
    <w:rsid w:val="631B15B3"/>
    <w:rsid w:val="63635F95"/>
    <w:rsid w:val="655853F4"/>
    <w:rsid w:val="66E777E3"/>
    <w:rsid w:val="68C72DF3"/>
    <w:rsid w:val="68CE14B1"/>
    <w:rsid w:val="6ADB2042"/>
    <w:rsid w:val="6C152D75"/>
    <w:rsid w:val="6D290774"/>
    <w:rsid w:val="6F296AE3"/>
    <w:rsid w:val="708232E0"/>
    <w:rsid w:val="71377096"/>
    <w:rsid w:val="72A37B04"/>
    <w:rsid w:val="74DC3928"/>
    <w:rsid w:val="762C0527"/>
    <w:rsid w:val="77627814"/>
    <w:rsid w:val="77A10BC2"/>
    <w:rsid w:val="79202621"/>
    <w:rsid w:val="798058E5"/>
    <w:rsid w:val="799637BE"/>
    <w:rsid w:val="79FA3E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0" w:semiHidden="0" w:name="endnote reference"/>
    <w:lsdException w:qFormat="1" w:unhideWhenUsed="0" w:uiPriority="0" w:semiHidden="0" w:name="endnote text"/>
    <w:lsdException w:uiPriority="99" w:name="table of authorities"/>
    <w:lsdException w:uiPriority="99" w:name="macro"/>
    <w:lsdException w:qFormat="1" w:uiPriority="99" w:semiHidden="0"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qFormat="1" w:unhideWhenUsed="0" w:uiPriority="0" w:semiHidden="0"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6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7"/>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68"/>
    <w:qFormat/>
    <w:uiPriority w:val="9"/>
    <w:pPr>
      <w:keepNext/>
      <w:keepLines/>
      <w:spacing w:before="260" w:after="260" w:line="416" w:lineRule="auto"/>
      <w:outlineLvl w:val="2"/>
    </w:pPr>
    <w:rPr>
      <w:b/>
      <w:bCs/>
      <w:kern w:val="0"/>
      <w:sz w:val="32"/>
      <w:szCs w:val="32"/>
    </w:rPr>
  </w:style>
  <w:style w:type="paragraph" w:styleId="5">
    <w:name w:val="heading 4"/>
    <w:basedOn w:val="1"/>
    <w:next w:val="1"/>
    <w:link w:val="69"/>
    <w:qFormat/>
    <w:uiPriority w:val="9"/>
    <w:pPr>
      <w:tabs>
        <w:tab w:val="left" w:pos="315"/>
      </w:tabs>
      <w:spacing w:before="120" w:after="120"/>
      <w:outlineLvl w:val="3"/>
    </w:pPr>
    <w:rPr>
      <w:rFonts w:ascii="Cambria" w:hAnsi="Cambria" w:eastAsia="黑体"/>
      <w:bCs/>
      <w:sz w:val="24"/>
      <w:szCs w:val="28"/>
    </w:rPr>
  </w:style>
  <w:style w:type="paragraph" w:styleId="6">
    <w:name w:val="heading 5"/>
    <w:basedOn w:val="1"/>
    <w:next w:val="1"/>
    <w:link w:val="70"/>
    <w:qFormat/>
    <w:uiPriority w:val="9"/>
    <w:pPr>
      <w:tabs>
        <w:tab w:val="left" w:pos="420"/>
      </w:tabs>
      <w:spacing w:beforeLines="50" w:afterLines="50"/>
      <w:outlineLvl w:val="4"/>
    </w:pPr>
    <w:rPr>
      <w:bCs/>
      <w:szCs w:val="28"/>
    </w:rPr>
  </w:style>
  <w:style w:type="paragraph" w:styleId="7">
    <w:name w:val="heading 6"/>
    <w:basedOn w:val="1"/>
    <w:next w:val="1"/>
    <w:link w:val="71"/>
    <w:qFormat/>
    <w:uiPriority w:val="9"/>
    <w:pPr>
      <w:tabs>
        <w:tab w:val="left" w:pos="945"/>
      </w:tabs>
      <w:outlineLvl w:val="5"/>
    </w:pPr>
    <w:rPr>
      <w:rFonts w:ascii="Cambria" w:hAnsi="Cambria"/>
      <w:bCs/>
      <w:szCs w:val="24"/>
    </w:rPr>
  </w:style>
  <w:style w:type="paragraph" w:styleId="8">
    <w:name w:val="heading 7"/>
    <w:basedOn w:val="1"/>
    <w:next w:val="1"/>
    <w:link w:val="242"/>
    <w:qFormat/>
    <w:uiPriority w:val="0"/>
    <w:pPr>
      <w:keepNext/>
      <w:keepLines/>
      <w:widowControl/>
      <w:tabs>
        <w:tab w:val="left" w:pos="2520"/>
      </w:tabs>
      <w:spacing w:before="240" w:after="64" w:line="320" w:lineRule="auto"/>
      <w:ind w:left="1296" w:hanging="1296"/>
      <w:jc w:val="center"/>
      <w:outlineLvl w:val="6"/>
    </w:pPr>
    <w:rPr>
      <w:rFonts w:ascii="Times New Roman" w:hAnsi="Times New Roman"/>
      <w:bCs/>
      <w:kern w:val="0"/>
      <w:sz w:val="24"/>
      <w:szCs w:val="24"/>
    </w:rPr>
  </w:style>
  <w:style w:type="paragraph" w:styleId="9">
    <w:name w:val="heading 8"/>
    <w:basedOn w:val="1"/>
    <w:next w:val="1"/>
    <w:link w:val="243"/>
    <w:qFormat/>
    <w:uiPriority w:val="0"/>
    <w:pPr>
      <w:keepNext/>
      <w:keepLines/>
      <w:widowControl/>
      <w:tabs>
        <w:tab w:val="left" w:pos="1440"/>
      </w:tabs>
      <w:spacing w:before="240" w:after="64" w:line="320" w:lineRule="auto"/>
      <w:ind w:left="1440" w:hanging="1440"/>
      <w:jc w:val="center"/>
      <w:outlineLvl w:val="7"/>
    </w:pPr>
    <w:rPr>
      <w:rFonts w:ascii="Arial" w:hAnsi="Arial" w:eastAsia="黑体"/>
      <w:b/>
      <w:kern w:val="0"/>
      <w:sz w:val="24"/>
      <w:szCs w:val="24"/>
    </w:rPr>
  </w:style>
  <w:style w:type="paragraph" w:styleId="10">
    <w:name w:val="heading 9"/>
    <w:basedOn w:val="1"/>
    <w:next w:val="1"/>
    <w:link w:val="244"/>
    <w:qFormat/>
    <w:uiPriority w:val="0"/>
    <w:pPr>
      <w:keepNext/>
      <w:keepLines/>
      <w:widowControl/>
      <w:tabs>
        <w:tab w:val="left" w:pos="1584"/>
      </w:tabs>
      <w:spacing w:before="240" w:after="64" w:line="320" w:lineRule="auto"/>
      <w:ind w:left="1584" w:hanging="1584"/>
      <w:jc w:val="center"/>
      <w:outlineLvl w:val="8"/>
    </w:pPr>
    <w:rPr>
      <w:rFonts w:ascii="Arial" w:hAnsi="Arial" w:eastAsia="黑体"/>
      <w:b/>
      <w:kern w:val="0"/>
      <w:szCs w:val="21"/>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Times New Roman" w:hAnsi="Times New Roman"/>
      <w:szCs w:val="24"/>
    </w:rPr>
  </w:style>
  <w:style w:type="paragraph" w:styleId="12">
    <w:name w:val="toc 7"/>
    <w:basedOn w:val="1"/>
    <w:next w:val="1"/>
    <w:unhideWhenUsed/>
    <w:qFormat/>
    <w:uiPriority w:val="39"/>
    <w:pPr>
      <w:ind w:left="1050"/>
      <w:jc w:val="left"/>
    </w:pPr>
    <w:rPr>
      <w:rFonts w:asciiTheme="minorHAnsi" w:eastAsiaTheme="minorHAnsi"/>
      <w:sz w:val="20"/>
      <w:szCs w:val="20"/>
    </w:rPr>
  </w:style>
  <w:style w:type="paragraph" w:styleId="13">
    <w:name w:val="Normal Indent"/>
    <w:basedOn w:val="1"/>
    <w:qFormat/>
    <w:uiPriority w:val="0"/>
    <w:pPr>
      <w:widowControl/>
      <w:ind w:firstLine="420" w:firstLineChars="200"/>
      <w:jc w:val="center"/>
    </w:pPr>
    <w:rPr>
      <w:rFonts w:ascii="Times New Roman" w:hAnsi="Times New Roman"/>
      <w:b/>
      <w:kern w:val="0"/>
      <w:sz w:val="44"/>
      <w:szCs w:val="20"/>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255"/>
    <w:qFormat/>
    <w:uiPriority w:val="0"/>
    <w:pPr>
      <w:shd w:val="clear" w:color="auto" w:fill="000080"/>
    </w:pPr>
  </w:style>
  <w:style w:type="paragraph" w:styleId="16">
    <w:name w:val="toa heading"/>
    <w:basedOn w:val="1"/>
    <w:next w:val="1"/>
    <w:unhideWhenUsed/>
    <w:qFormat/>
    <w:uiPriority w:val="99"/>
    <w:pPr>
      <w:spacing w:before="120"/>
    </w:pPr>
    <w:rPr>
      <w:rFonts w:ascii="Cambria" w:hAnsi="Cambria"/>
      <w:sz w:val="24"/>
      <w:szCs w:val="24"/>
    </w:rPr>
  </w:style>
  <w:style w:type="paragraph" w:styleId="17">
    <w:name w:val="annotation text"/>
    <w:basedOn w:val="1"/>
    <w:link w:val="247"/>
    <w:qFormat/>
    <w:uiPriority w:val="0"/>
    <w:pPr>
      <w:jc w:val="left"/>
    </w:pPr>
  </w:style>
  <w:style w:type="paragraph" w:styleId="18">
    <w:name w:val="Body Text 3"/>
    <w:basedOn w:val="1"/>
    <w:link w:val="238"/>
    <w:qFormat/>
    <w:uiPriority w:val="0"/>
    <w:rPr>
      <w:rFonts w:ascii="宋体" w:hAnsi="Times New Roman"/>
      <w:sz w:val="24"/>
      <w:szCs w:val="20"/>
    </w:rPr>
  </w:style>
  <w:style w:type="paragraph" w:styleId="19">
    <w:name w:val="Body Text"/>
    <w:basedOn w:val="1"/>
    <w:link w:val="72"/>
    <w:qFormat/>
    <w:uiPriority w:val="0"/>
    <w:rPr>
      <w:rFonts w:ascii="Times New Roman" w:hAnsi="Times New Roman"/>
      <w:sz w:val="28"/>
      <w:szCs w:val="24"/>
    </w:rPr>
  </w:style>
  <w:style w:type="paragraph" w:styleId="20">
    <w:name w:val="Body Text Indent"/>
    <w:basedOn w:val="1"/>
    <w:link w:val="239"/>
    <w:qFormat/>
    <w:uiPriority w:val="0"/>
    <w:pPr>
      <w:ind w:firstLine="1120" w:firstLineChars="400"/>
    </w:pPr>
    <w:rPr>
      <w:rFonts w:ascii="Times New Roman" w:hAnsi="Times New Roman"/>
      <w:sz w:val="28"/>
      <w:szCs w:val="24"/>
    </w:rPr>
  </w:style>
  <w:style w:type="paragraph" w:styleId="21">
    <w:name w:val="List 2"/>
    <w:basedOn w:val="1"/>
    <w:qFormat/>
    <w:uiPriority w:val="0"/>
    <w:pPr>
      <w:ind w:left="100" w:leftChars="200" w:hanging="200" w:hangingChars="200"/>
    </w:pPr>
    <w:rPr>
      <w:rFonts w:ascii="Times New Roman" w:hAnsi="Times New Roman"/>
      <w:szCs w:val="24"/>
    </w:rPr>
  </w:style>
  <w:style w:type="paragraph" w:styleId="22">
    <w:name w:val="List Continue"/>
    <w:basedOn w:val="1"/>
    <w:qFormat/>
    <w:uiPriority w:val="0"/>
    <w:pPr>
      <w:adjustRightInd w:val="0"/>
      <w:spacing w:after="120" w:line="312" w:lineRule="atLeast"/>
      <w:ind w:left="420"/>
      <w:textAlignment w:val="baseline"/>
    </w:pPr>
    <w:rPr>
      <w:rFonts w:ascii="Times New Roman" w:hAnsi="Times New Roman"/>
      <w:kern w:val="0"/>
      <w:szCs w:val="20"/>
    </w:rPr>
  </w:style>
  <w:style w:type="paragraph" w:styleId="23">
    <w:name w:val="index 4"/>
    <w:basedOn w:val="1"/>
    <w:next w:val="1"/>
    <w:unhideWhenUsed/>
    <w:qFormat/>
    <w:uiPriority w:val="0"/>
    <w:pPr>
      <w:ind w:left="600" w:leftChars="600"/>
    </w:pPr>
    <w:rPr>
      <w:rFonts w:ascii="Times New Roman" w:hAnsi="Times New Roman"/>
      <w:szCs w:val="24"/>
    </w:rPr>
  </w:style>
  <w:style w:type="paragraph" w:styleId="24">
    <w:name w:val="toc 5"/>
    <w:basedOn w:val="1"/>
    <w:next w:val="1"/>
    <w:unhideWhenUsed/>
    <w:qFormat/>
    <w:uiPriority w:val="39"/>
    <w:pPr>
      <w:ind w:left="630"/>
      <w:jc w:val="left"/>
    </w:pPr>
    <w:rPr>
      <w:rFonts w:asciiTheme="minorHAnsi" w:eastAsiaTheme="minorHAnsi"/>
      <w:sz w:val="20"/>
      <w:szCs w:val="20"/>
    </w:rPr>
  </w:style>
  <w:style w:type="paragraph" w:styleId="25">
    <w:name w:val="toc 3"/>
    <w:basedOn w:val="1"/>
    <w:next w:val="1"/>
    <w:unhideWhenUsed/>
    <w:qFormat/>
    <w:uiPriority w:val="39"/>
    <w:pPr>
      <w:ind w:left="210"/>
      <w:jc w:val="left"/>
    </w:pPr>
    <w:rPr>
      <w:rFonts w:asciiTheme="minorHAnsi" w:eastAsiaTheme="minorHAnsi"/>
      <w:sz w:val="20"/>
      <w:szCs w:val="20"/>
    </w:rPr>
  </w:style>
  <w:style w:type="paragraph" w:styleId="26">
    <w:name w:val="Plain Text"/>
    <w:basedOn w:val="1"/>
    <w:link w:val="74"/>
    <w:qFormat/>
    <w:uiPriority w:val="0"/>
    <w:rPr>
      <w:rFonts w:ascii="宋体" w:hAnsi="Courier New"/>
      <w:szCs w:val="21"/>
    </w:rPr>
  </w:style>
  <w:style w:type="paragraph" w:styleId="27">
    <w:name w:val="toc 8"/>
    <w:basedOn w:val="1"/>
    <w:next w:val="1"/>
    <w:unhideWhenUsed/>
    <w:qFormat/>
    <w:uiPriority w:val="39"/>
    <w:pPr>
      <w:ind w:left="1260"/>
      <w:jc w:val="left"/>
    </w:pPr>
    <w:rPr>
      <w:rFonts w:asciiTheme="minorHAnsi" w:eastAsiaTheme="minorHAnsi"/>
      <w:sz w:val="20"/>
      <w:szCs w:val="20"/>
    </w:rPr>
  </w:style>
  <w:style w:type="paragraph" w:styleId="28">
    <w:name w:val="Date"/>
    <w:basedOn w:val="1"/>
    <w:next w:val="1"/>
    <w:link w:val="245"/>
    <w:qFormat/>
    <w:uiPriority w:val="0"/>
    <w:pPr>
      <w:ind w:left="100" w:leftChars="2500"/>
    </w:pPr>
    <w:rPr>
      <w:rFonts w:ascii="Times New Roman" w:hAnsi="Times New Roman"/>
      <w:szCs w:val="24"/>
    </w:rPr>
  </w:style>
  <w:style w:type="paragraph" w:styleId="29">
    <w:name w:val="Body Text Indent 2"/>
    <w:basedOn w:val="1"/>
    <w:link w:val="256"/>
    <w:qFormat/>
    <w:uiPriority w:val="0"/>
    <w:pPr>
      <w:ind w:left="206" w:hanging="206" w:hangingChars="98"/>
    </w:pPr>
    <w:rPr>
      <w:rFonts w:ascii="Times New Roman" w:hAnsi="Times New Roman"/>
      <w:szCs w:val="24"/>
    </w:rPr>
  </w:style>
  <w:style w:type="paragraph" w:styleId="30">
    <w:name w:val="endnote text"/>
    <w:basedOn w:val="1"/>
    <w:link w:val="259"/>
    <w:qFormat/>
    <w:uiPriority w:val="0"/>
    <w:pPr>
      <w:snapToGrid w:val="0"/>
      <w:jc w:val="left"/>
    </w:pPr>
    <w:rPr>
      <w:rFonts w:ascii="Times New Roman" w:hAnsi="Times New Roman"/>
      <w:szCs w:val="24"/>
    </w:rPr>
  </w:style>
  <w:style w:type="paragraph" w:styleId="31">
    <w:name w:val="List Continue 5"/>
    <w:basedOn w:val="1"/>
    <w:qFormat/>
    <w:uiPriority w:val="0"/>
    <w:pPr>
      <w:adjustRightInd w:val="0"/>
      <w:spacing w:after="120" w:line="312" w:lineRule="atLeast"/>
      <w:ind w:left="2100"/>
      <w:textAlignment w:val="baseline"/>
    </w:pPr>
    <w:rPr>
      <w:rFonts w:ascii="Times New Roman" w:hAnsi="Times New Roman"/>
      <w:kern w:val="0"/>
      <w:szCs w:val="20"/>
    </w:rPr>
  </w:style>
  <w:style w:type="paragraph" w:styleId="32">
    <w:name w:val="Balloon Text"/>
    <w:basedOn w:val="1"/>
    <w:link w:val="75"/>
    <w:unhideWhenUsed/>
    <w:qFormat/>
    <w:uiPriority w:val="99"/>
    <w:rPr>
      <w:kern w:val="0"/>
      <w:sz w:val="18"/>
      <w:szCs w:val="18"/>
    </w:rPr>
  </w:style>
  <w:style w:type="paragraph" w:styleId="33">
    <w:name w:val="footer"/>
    <w:basedOn w:val="1"/>
    <w:link w:val="76"/>
    <w:unhideWhenUsed/>
    <w:qFormat/>
    <w:uiPriority w:val="99"/>
    <w:pPr>
      <w:tabs>
        <w:tab w:val="center" w:pos="4153"/>
        <w:tab w:val="right" w:pos="8306"/>
      </w:tabs>
      <w:snapToGrid w:val="0"/>
      <w:jc w:val="left"/>
    </w:pPr>
    <w:rPr>
      <w:kern w:val="0"/>
      <w:sz w:val="18"/>
      <w:szCs w:val="18"/>
    </w:rPr>
  </w:style>
  <w:style w:type="paragraph" w:styleId="34">
    <w:name w:val="header"/>
    <w:basedOn w:val="1"/>
    <w:link w:val="7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unhideWhenUsed/>
    <w:qFormat/>
    <w:uiPriority w:val="39"/>
    <w:pPr>
      <w:spacing w:before="360"/>
      <w:jc w:val="left"/>
    </w:pPr>
    <w:rPr>
      <w:rFonts w:asciiTheme="majorHAnsi" w:eastAsiaTheme="majorHAnsi"/>
      <w:b/>
      <w:bCs/>
      <w:caps/>
      <w:sz w:val="24"/>
      <w:szCs w:val="24"/>
    </w:rPr>
  </w:style>
  <w:style w:type="paragraph" w:styleId="36">
    <w:name w:val="List Continue 4"/>
    <w:basedOn w:val="1"/>
    <w:qFormat/>
    <w:uiPriority w:val="0"/>
    <w:pPr>
      <w:adjustRightInd w:val="0"/>
      <w:spacing w:after="120" w:line="312" w:lineRule="atLeast"/>
      <w:ind w:left="1680"/>
      <w:textAlignment w:val="baseline"/>
    </w:pPr>
    <w:rPr>
      <w:rFonts w:ascii="Times New Roman" w:hAnsi="Times New Roman"/>
      <w:kern w:val="0"/>
      <w:szCs w:val="20"/>
    </w:rPr>
  </w:style>
  <w:style w:type="paragraph" w:styleId="37">
    <w:name w:val="toc 4"/>
    <w:basedOn w:val="1"/>
    <w:next w:val="1"/>
    <w:unhideWhenUsed/>
    <w:qFormat/>
    <w:uiPriority w:val="39"/>
    <w:pPr>
      <w:ind w:left="420"/>
      <w:jc w:val="left"/>
    </w:pPr>
    <w:rPr>
      <w:rFonts w:asciiTheme="minorHAnsi" w:eastAsiaTheme="minorHAnsi"/>
      <w:sz w:val="20"/>
      <w:szCs w:val="20"/>
    </w:rPr>
  </w:style>
  <w:style w:type="paragraph" w:styleId="38">
    <w:name w:val="Subtitle"/>
    <w:basedOn w:val="1"/>
    <w:next w:val="1"/>
    <w:link w:val="78"/>
    <w:qFormat/>
    <w:uiPriority w:val="11"/>
    <w:pPr>
      <w:spacing w:before="240" w:after="60" w:line="312" w:lineRule="auto"/>
      <w:jc w:val="center"/>
      <w:outlineLvl w:val="1"/>
    </w:pPr>
    <w:rPr>
      <w:rFonts w:ascii="Cambria" w:hAnsi="Cambria"/>
      <w:b/>
      <w:bCs/>
      <w:kern w:val="28"/>
      <w:sz w:val="32"/>
      <w:szCs w:val="32"/>
    </w:rPr>
  </w:style>
  <w:style w:type="paragraph" w:styleId="39">
    <w:name w:val="List"/>
    <w:basedOn w:val="1"/>
    <w:qFormat/>
    <w:uiPriority w:val="0"/>
    <w:pPr>
      <w:ind w:left="200" w:hanging="200" w:hangingChars="200"/>
    </w:pPr>
    <w:rPr>
      <w:rFonts w:ascii="Times New Roman" w:hAnsi="Times New Roman"/>
      <w:szCs w:val="24"/>
    </w:rPr>
  </w:style>
  <w:style w:type="paragraph" w:styleId="40">
    <w:name w:val="footnote text"/>
    <w:basedOn w:val="1"/>
    <w:link w:val="79"/>
    <w:unhideWhenUsed/>
    <w:qFormat/>
    <w:uiPriority w:val="0"/>
    <w:pPr>
      <w:snapToGrid w:val="0"/>
      <w:jc w:val="left"/>
    </w:pPr>
    <w:rPr>
      <w:kern w:val="0"/>
      <w:sz w:val="18"/>
      <w:szCs w:val="18"/>
    </w:rPr>
  </w:style>
  <w:style w:type="paragraph" w:styleId="41">
    <w:name w:val="toc 6"/>
    <w:basedOn w:val="1"/>
    <w:next w:val="1"/>
    <w:unhideWhenUsed/>
    <w:qFormat/>
    <w:uiPriority w:val="39"/>
    <w:pPr>
      <w:ind w:left="840"/>
      <w:jc w:val="left"/>
    </w:pPr>
    <w:rPr>
      <w:rFonts w:asciiTheme="minorHAnsi" w:eastAsiaTheme="minorHAnsi"/>
      <w:sz w:val="20"/>
      <w:szCs w:val="20"/>
    </w:rPr>
  </w:style>
  <w:style w:type="paragraph" w:styleId="42">
    <w:name w:val="List 5"/>
    <w:basedOn w:val="1"/>
    <w:qFormat/>
    <w:uiPriority w:val="0"/>
    <w:pPr>
      <w:ind w:left="100" w:leftChars="800" w:hanging="200" w:hangingChars="200"/>
    </w:pPr>
    <w:rPr>
      <w:rFonts w:ascii="Times New Roman" w:hAnsi="Times New Roman"/>
      <w:szCs w:val="24"/>
    </w:rPr>
  </w:style>
  <w:style w:type="paragraph" w:styleId="43">
    <w:name w:val="Body Text Indent 3"/>
    <w:basedOn w:val="1"/>
    <w:link w:val="249"/>
    <w:qFormat/>
    <w:uiPriority w:val="0"/>
    <w:pPr>
      <w:spacing w:line="420" w:lineRule="exact"/>
      <w:ind w:firstLine="420" w:firstLineChars="200"/>
    </w:pPr>
    <w:rPr>
      <w:rFonts w:ascii="Times New Roman" w:hAnsi="Times New Roman"/>
      <w:szCs w:val="24"/>
    </w:rPr>
  </w:style>
  <w:style w:type="paragraph" w:styleId="44">
    <w:name w:val="toc 2"/>
    <w:basedOn w:val="1"/>
    <w:next w:val="1"/>
    <w:unhideWhenUsed/>
    <w:qFormat/>
    <w:uiPriority w:val="39"/>
    <w:pPr>
      <w:spacing w:before="240"/>
      <w:jc w:val="left"/>
    </w:pPr>
    <w:rPr>
      <w:rFonts w:asciiTheme="minorHAnsi" w:eastAsiaTheme="minorHAnsi"/>
      <w:b/>
      <w:bCs/>
      <w:sz w:val="20"/>
      <w:szCs w:val="20"/>
    </w:rPr>
  </w:style>
  <w:style w:type="paragraph" w:styleId="45">
    <w:name w:val="toc 9"/>
    <w:basedOn w:val="1"/>
    <w:next w:val="1"/>
    <w:unhideWhenUsed/>
    <w:qFormat/>
    <w:uiPriority w:val="39"/>
    <w:pPr>
      <w:ind w:left="1470"/>
      <w:jc w:val="left"/>
    </w:pPr>
    <w:rPr>
      <w:rFonts w:asciiTheme="minorHAnsi" w:eastAsiaTheme="minorHAnsi"/>
      <w:sz w:val="20"/>
      <w:szCs w:val="20"/>
    </w:rPr>
  </w:style>
  <w:style w:type="paragraph" w:styleId="46">
    <w:name w:val="Body Text 2"/>
    <w:basedOn w:val="1"/>
    <w:link w:val="257"/>
    <w:qFormat/>
    <w:uiPriority w:val="0"/>
    <w:pPr>
      <w:spacing w:after="120" w:line="480" w:lineRule="auto"/>
    </w:pPr>
    <w:rPr>
      <w:rFonts w:ascii="Times New Roman" w:hAnsi="Times New Roman"/>
      <w:szCs w:val="24"/>
    </w:rPr>
  </w:style>
  <w:style w:type="paragraph" w:styleId="47">
    <w:name w:val="List 4"/>
    <w:basedOn w:val="1"/>
    <w:qFormat/>
    <w:uiPriority w:val="0"/>
    <w:pPr>
      <w:adjustRightInd w:val="0"/>
      <w:spacing w:line="312" w:lineRule="atLeast"/>
      <w:ind w:left="1680" w:hanging="420"/>
      <w:textAlignment w:val="baseline"/>
    </w:pPr>
    <w:rPr>
      <w:rFonts w:ascii="Times New Roman" w:hAnsi="Times New Roman"/>
      <w:kern w:val="0"/>
      <w:szCs w:val="20"/>
    </w:rPr>
  </w:style>
  <w:style w:type="paragraph" w:styleId="48">
    <w:name w:val="List Continue 2"/>
    <w:basedOn w:val="1"/>
    <w:qFormat/>
    <w:uiPriority w:val="0"/>
    <w:pPr>
      <w:adjustRightInd w:val="0"/>
      <w:spacing w:after="120" w:line="312" w:lineRule="atLeast"/>
      <w:ind w:left="840"/>
      <w:textAlignment w:val="baseline"/>
    </w:pPr>
    <w:rPr>
      <w:rFonts w:ascii="Times New Roman" w:hAnsi="Times New Roman"/>
      <w:kern w:val="0"/>
      <w:szCs w:val="20"/>
    </w:rPr>
  </w:style>
  <w:style w:type="paragraph" w:styleId="49">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50">
    <w:name w:val="index 1"/>
    <w:basedOn w:val="1"/>
    <w:next w:val="1"/>
    <w:qFormat/>
    <w:uiPriority w:val="0"/>
    <w:rPr>
      <w:rFonts w:ascii="Times New Roman" w:hAnsi="Times New Roman"/>
      <w:szCs w:val="24"/>
    </w:rPr>
  </w:style>
  <w:style w:type="paragraph" w:styleId="51">
    <w:name w:val="Title"/>
    <w:basedOn w:val="1"/>
    <w:link w:val="248"/>
    <w:qFormat/>
    <w:uiPriority w:val="0"/>
    <w:pPr>
      <w:widowControl/>
      <w:spacing w:before="240" w:after="60"/>
      <w:jc w:val="center"/>
      <w:outlineLvl w:val="0"/>
    </w:pPr>
    <w:rPr>
      <w:rFonts w:ascii="Arial" w:hAnsi="Arial" w:cs="Arial"/>
      <w:b/>
      <w:bCs/>
      <w:kern w:val="0"/>
      <w:sz w:val="44"/>
      <w:szCs w:val="32"/>
    </w:rPr>
  </w:style>
  <w:style w:type="paragraph" w:styleId="52">
    <w:name w:val="annotation subject"/>
    <w:basedOn w:val="17"/>
    <w:next w:val="17"/>
    <w:link w:val="260"/>
    <w:qFormat/>
    <w:uiPriority w:val="0"/>
    <w:rPr>
      <w:b/>
      <w:bCs/>
    </w:rPr>
  </w:style>
  <w:style w:type="paragraph" w:styleId="53">
    <w:name w:val="Body Text First Indent"/>
    <w:basedOn w:val="19"/>
    <w:link w:val="73"/>
    <w:qFormat/>
    <w:uiPriority w:val="0"/>
    <w:pPr>
      <w:spacing w:after="120"/>
      <w:ind w:firstLine="420" w:firstLineChars="100"/>
    </w:pPr>
    <w:rPr>
      <w:sz w:val="21"/>
    </w:rPr>
  </w:style>
  <w:style w:type="paragraph" w:styleId="54">
    <w:name w:val="Body Text First Indent 2"/>
    <w:basedOn w:val="20"/>
    <w:link w:val="240"/>
    <w:qFormat/>
    <w:uiPriority w:val="0"/>
    <w:pPr>
      <w:adjustRightInd w:val="0"/>
      <w:spacing w:after="120" w:line="312" w:lineRule="atLeast"/>
      <w:ind w:firstLine="420" w:firstLineChars="0"/>
      <w:textAlignment w:val="baseline"/>
    </w:pPr>
    <w:rPr>
      <w:kern w:val="0"/>
      <w:sz w:val="21"/>
      <w:szCs w:val="20"/>
    </w:rPr>
  </w:style>
  <w:style w:type="table" w:styleId="56">
    <w:name w:val="Table Grid"/>
    <w:basedOn w:val="5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qFormat/>
    <w:uiPriority w:val="0"/>
    <w:rPr>
      <w:b/>
      <w:bCs/>
    </w:rPr>
  </w:style>
  <w:style w:type="character" w:styleId="59">
    <w:name w:val="endnote reference"/>
    <w:unhideWhenUsed/>
    <w:qFormat/>
    <w:uiPriority w:val="0"/>
    <w:rPr>
      <w:vertAlign w:val="superscript"/>
    </w:rPr>
  </w:style>
  <w:style w:type="character" w:styleId="60">
    <w:name w:val="page number"/>
    <w:basedOn w:val="57"/>
    <w:qFormat/>
    <w:uiPriority w:val="0"/>
  </w:style>
  <w:style w:type="character" w:styleId="61">
    <w:name w:val="FollowedHyperlink"/>
    <w:unhideWhenUsed/>
    <w:qFormat/>
    <w:uiPriority w:val="99"/>
    <w:rPr>
      <w:color w:val="800080"/>
      <w:u w:val="single"/>
    </w:rPr>
  </w:style>
  <w:style w:type="character" w:styleId="62">
    <w:name w:val="Emphasis"/>
    <w:qFormat/>
    <w:uiPriority w:val="20"/>
    <w:rPr>
      <w:i/>
      <w:iCs/>
    </w:rPr>
  </w:style>
  <w:style w:type="character" w:styleId="63">
    <w:name w:val="Hyperlink"/>
    <w:unhideWhenUsed/>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vertAlign w:val="superscript"/>
    </w:rPr>
  </w:style>
  <w:style w:type="character" w:customStyle="1" w:styleId="66">
    <w:name w:val="标题 1 字符"/>
    <w:link w:val="2"/>
    <w:qFormat/>
    <w:uiPriority w:val="9"/>
    <w:rPr>
      <w:b/>
      <w:bCs/>
      <w:kern w:val="44"/>
      <w:sz w:val="44"/>
      <w:szCs w:val="44"/>
    </w:rPr>
  </w:style>
  <w:style w:type="character" w:customStyle="1" w:styleId="67">
    <w:name w:val="标题 2 字符"/>
    <w:link w:val="3"/>
    <w:qFormat/>
    <w:uiPriority w:val="9"/>
    <w:rPr>
      <w:rFonts w:ascii="Cambria" w:hAnsi="Cambria" w:eastAsia="宋体" w:cs="Times New Roman"/>
      <w:b/>
      <w:bCs/>
      <w:sz w:val="32"/>
      <w:szCs w:val="32"/>
    </w:rPr>
  </w:style>
  <w:style w:type="character" w:customStyle="1" w:styleId="68">
    <w:name w:val="标题 3 字符"/>
    <w:link w:val="4"/>
    <w:qFormat/>
    <w:uiPriority w:val="9"/>
    <w:rPr>
      <w:b/>
      <w:bCs/>
      <w:sz w:val="32"/>
      <w:szCs w:val="32"/>
    </w:rPr>
  </w:style>
  <w:style w:type="character" w:customStyle="1" w:styleId="69">
    <w:name w:val="标题 4 字符"/>
    <w:link w:val="5"/>
    <w:qFormat/>
    <w:uiPriority w:val="9"/>
    <w:rPr>
      <w:rFonts w:ascii="Cambria" w:hAnsi="Cambria" w:eastAsia="黑体"/>
      <w:bCs/>
      <w:kern w:val="2"/>
      <w:sz w:val="24"/>
      <w:szCs w:val="28"/>
    </w:rPr>
  </w:style>
  <w:style w:type="character" w:customStyle="1" w:styleId="70">
    <w:name w:val="标题 5 字符"/>
    <w:link w:val="6"/>
    <w:qFormat/>
    <w:uiPriority w:val="9"/>
    <w:rPr>
      <w:bCs/>
      <w:kern w:val="2"/>
      <w:sz w:val="21"/>
      <w:szCs w:val="28"/>
    </w:rPr>
  </w:style>
  <w:style w:type="character" w:customStyle="1" w:styleId="71">
    <w:name w:val="标题 6 字符"/>
    <w:link w:val="7"/>
    <w:qFormat/>
    <w:uiPriority w:val="9"/>
    <w:rPr>
      <w:rFonts w:ascii="Cambria" w:hAnsi="Cambria"/>
      <w:bCs/>
      <w:kern w:val="2"/>
      <w:sz w:val="21"/>
      <w:szCs w:val="24"/>
    </w:rPr>
  </w:style>
  <w:style w:type="character" w:customStyle="1" w:styleId="72">
    <w:name w:val="正文文本 字符"/>
    <w:link w:val="19"/>
    <w:qFormat/>
    <w:uiPriority w:val="0"/>
    <w:rPr>
      <w:rFonts w:ascii="Times New Roman" w:hAnsi="Times New Roman"/>
      <w:kern w:val="2"/>
      <w:sz w:val="28"/>
      <w:szCs w:val="24"/>
    </w:rPr>
  </w:style>
  <w:style w:type="character" w:customStyle="1" w:styleId="73">
    <w:name w:val="正文文本首行缩进 字符"/>
    <w:link w:val="53"/>
    <w:qFormat/>
    <w:uiPriority w:val="0"/>
    <w:rPr>
      <w:rFonts w:ascii="Times New Roman" w:hAnsi="Times New Roman"/>
      <w:kern w:val="2"/>
      <w:sz w:val="21"/>
      <w:szCs w:val="24"/>
    </w:rPr>
  </w:style>
  <w:style w:type="character" w:customStyle="1" w:styleId="74">
    <w:name w:val="纯文本 字符"/>
    <w:link w:val="26"/>
    <w:qFormat/>
    <w:locked/>
    <w:uiPriority w:val="0"/>
    <w:rPr>
      <w:rFonts w:ascii="宋体" w:hAnsi="Courier New" w:cs="Courier New"/>
      <w:kern w:val="2"/>
      <w:sz w:val="21"/>
      <w:szCs w:val="21"/>
    </w:rPr>
  </w:style>
  <w:style w:type="character" w:customStyle="1" w:styleId="75">
    <w:name w:val="批注框文本 字符"/>
    <w:link w:val="32"/>
    <w:qFormat/>
    <w:uiPriority w:val="99"/>
    <w:rPr>
      <w:sz w:val="18"/>
      <w:szCs w:val="18"/>
    </w:rPr>
  </w:style>
  <w:style w:type="character" w:customStyle="1" w:styleId="76">
    <w:name w:val="页脚 字符1"/>
    <w:link w:val="33"/>
    <w:qFormat/>
    <w:uiPriority w:val="99"/>
    <w:rPr>
      <w:sz w:val="18"/>
      <w:szCs w:val="18"/>
    </w:rPr>
  </w:style>
  <w:style w:type="character" w:customStyle="1" w:styleId="77">
    <w:name w:val="页眉 字符"/>
    <w:link w:val="34"/>
    <w:qFormat/>
    <w:uiPriority w:val="99"/>
    <w:rPr>
      <w:sz w:val="18"/>
      <w:szCs w:val="18"/>
    </w:rPr>
  </w:style>
  <w:style w:type="character" w:customStyle="1" w:styleId="78">
    <w:name w:val="副标题 字符"/>
    <w:link w:val="38"/>
    <w:qFormat/>
    <w:uiPriority w:val="11"/>
    <w:rPr>
      <w:rFonts w:ascii="Cambria" w:hAnsi="Cambria" w:eastAsia="宋体" w:cs="Times New Roman"/>
      <w:b/>
      <w:bCs/>
      <w:kern w:val="28"/>
      <w:sz w:val="32"/>
      <w:szCs w:val="32"/>
    </w:rPr>
  </w:style>
  <w:style w:type="character" w:customStyle="1" w:styleId="79">
    <w:name w:val="脚注文本 字符1"/>
    <w:link w:val="40"/>
    <w:qFormat/>
    <w:uiPriority w:val="0"/>
    <w:rPr>
      <w:sz w:val="18"/>
      <w:szCs w:val="18"/>
    </w:rPr>
  </w:style>
  <w:style w:type="character" w:customStyle="1" w:styleId="80">
    <w:name w:val="Char Char4"/>
    <w:semiHidden/>
    <w:qFormat/>
    <w:locked/>
    <w:uiPriority w:val="0"/>
    <w:rPr>
      <w:sz w:val="18"/>
      <w:szCs w:val="18"/>
      <w:lang w:bidi="ar-SA"/>
    </w:rPr>
  </w:style>
  <w:style w:type="character" w:customStyle="1" w:styleId="81">
    <w:name w:val="纯文本 Char1"/>
    <w:qFormat/>
    <w:locked/>
    <w:uiPriority w:val="0"/>
    <w:rPr>
      <w:rFonts w:ascii="宋体" w:hAnsi="Courier New" w:eastAsia="宋体" w:cs="宋体"/>
      <w:szCs w:val="21"/>
    </w:rPr>
  </w:style>
  <w:style w:type="character" w:customStyle="1" w:styleId="82">
    <w:name w:val="Char Char11"/>
    <w:link w:val="83"/>
    <w:qFormat/>
    <w:uiPriority w:val="0"/>
    <w:rPr>
      <w:rFonts w:ascii="宋体" w:hAnsi="宋体" w:eastAsia="宋体" w:cs="宋体"/>
      <w:kern w:val="2"/>
      <w:sz w:val="24"/>
      <w:szCs w:val="24"/>
      <w:lang w:val="en-US" w:eastAsia="zh-CN" w:bidi="ar-SA"/>
    </w:rPr>
  </w:style>
  <w:style w:type="paragraph" w:customStyle="1" w:styleId="83">
    <w:name w:val="Char"/>
    <w:basedOn w:val="1"/>
    <w:link w:val="82"/>
    <w:qFormat/>
    <w:uiPriority w:val="0"/>
    <w:pPr>
      <w:spacing w:line="360" w:lineRule="auto"/>
      <w:ind w:firstLine="200" w:firstLineChars="200"/>
    </w:pPr>
    <w:rPr>
      <w:rFonts w:ascii="宋体" w:hAnsi="宋体" w:cs="宋体"/>
      <w:sz w:val="24"/>
      <w:szCs w:val="24"/>
    </w:rPr>
  </w:style>
  <w:style w:type="character" w:customStyle="1" w:styleId="84">
    <w:name w:val="Char2 Char Char"/>
    <w:qFormat/>
    <w:uiPriority w:val="0"/>
    <w:rPr>
      <w:rFonts w:eastAsia="宋体"/>
      <w:sz w:val="21"/>
      <w:lang w:val="en-US" w:eastAsia="zh-CN" w:bidi="ar-SA"/>
    </w:rPr>
  </w:style>
  <w:style w:type="character" w:customStyle="1" w:styleId="85">
    <w:name w:val="Char Char14"/>
    <w:qFormat/>
    <w:locked/>
    <w:uiPriority w:val="0"/>
    <w:rPr>
      <w:rFonts w:ascii="Calibri" w:hAnsi="Calibri" w:eastAsia="宋体" w:cs="Calibri"/>
      <w:kern w:val="2"/>
      <w:sz w:val="18"/>
      <w:szCs w:val="18"/>
      <w:lang w:val="en-US" w:eastAsia="zh-CN" w:bidi="ar-SA"/>
    </w:rPr>
  </w:style>
  <w:style w:type="paragraph" w:customStyle="1" w:styleId="86">
    <w:name w:val="CM108"/>
    <w:basedOn w:val="87"/>
    <w:next w:val="87"/>
    <w:qFormat/>
    <w:uiPriority w:val="99"/>
    <w:rPr>
      <w:rFonts w:cs="Times New Roman"/>
      <w:color w:val="auto"/>
    </w:rPr>
  </w:style>
  <w:style w:type="paragraph" w:customStyle="1" w:styleId="8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88">
    <w:name w:val="CM78"/>
    <w:basedOn w:val="87"/>
    <w:next w:val="87"/>
    <w:qFormat/>
    <w:uiPriority w:val="99"/>
    <w:rPr>
      <w:rFonts w:cs="Times New Roman"/>
      <w:color w:val="auto"/>
    </w:rPr>
  </w:style>
  <w:style w:type="paragraph" w:customStyle="1" w:styleId="89">
    <w:name w:val="CM71"/>
    <w:basedOn w:val="87"/>
    <w:next w:val="87"/>
    <w:qFormat/>
    <w:uiPriority w:val="99"/>
    <w:rPr>
      <w:rFonts w:cs="Times New Roman"/>
      <w:color w:val="auto"/>
    </w:rPr>
  </w:style>
  <w:style w:type="paragraph" w:customStyle="1" w:styleId="90">
    <w:name w:val="CM8"/>
    <w:basedOn w:val="87"/>
    <w:next w:val="87"/>
    <w:qFormat/>
    <w:uiPriority w:val="99"/>
    <w:pPr>
      <w:spacing w:line="318" w:lineRule="atLeast"/>
    </w:pPr>
    <w:rPr>
      <w:rFonts w:cs="Times New Roman"/>
      <w:color w:val="auto"/>
    </w:rPr>
  </w:style>
  <w:style w:type="paragraph" w:customStyle="1" w:styleId="91">
    <w:name w:val="CM87"/>
    <w:basedOn w:val="87"/>
    <w:next w:val="87"/>
    <w:qFormat/>
    <w:uiPriority w:val="99"/>
    <w:pPr>
      <w:spacing w:line="440" w:lineRule="atLeast"/>
    </w:pPr>
    <w:rPr>
      <w:rFonts w:cs="Times New Roman"/>
      <w:color w:val="auto"/>
    </w:rPr>
  </w:style>
  <w:style w:type="paragraph" w:customStyle="1" w:styleId="92">
    <w:name w:val="CM28"/>
    <w:basedOn w:val="87"/>
    <w:next w:val="87"/>
    <w:qFormat/>
    <w:uiPriority w:val="99"/>
    <w:pPr>
      <w:spacing w:line="398" w:lineRule="atLeast"/>
    </w:pPr>
    <w:rPr>
      <w:rFonts w:cs="Times New Roman"/>
      <w:color w:val="auto"/>
    </w:rPr>
  </w:style>
  <w:style w:type="paragraph" w:customStyle="1" w:styleId="93">
    <w:name w:val="CM10"/>
    <w:basedOn w:val="87"/>
    <w:next w:val="87"/>
    <w:qFormat/>
    <w:uiPriority w:val="99"/>
    <w:rPr>
      <w:rFonts w:cs="Times New Roman"/>
      <w:color w:val="auto"/>
    </w:rPr>
  </w:style>
  <w:style w:type="paragraph" w:customStyle="1" w:styleId="94">
    <w:name w:val="CM103"/>
    <w:basedOn w:val="87"/>
    <w:next w:val="87"/>
    <w:qFormat/>
    <w:uiPriority w:val="99"/>
    <w:rPr>
      <w:rFonts w:cs="Times New Roman"/>
      <w:color w:val="auto"/>
    </w:rPr>
  </w:style>
  <w:style w:type="paragraph" w:customStyle="1" w:styleId="95">
    <w:name w:val="CM4"/>
    <w:basedOn w:val="87"/>
    <w:next w:val="87"/>
    <w:qFormat/>
    <w:uiPriority w:val="99"/>
    <w:rPr>
      <w:rFonts w:cs="Times New Roman"/>
      <w:color w:val="auto"/>
    </w:rPr>
  </w:style>
  <w:style w:type="paragraph" w:customStyle="1" w:styleId="96">
    <w:name w:val="CM6"/>
    <w:basedOn w:val="87"/>
    <w:next w:val="87"/>
    <w:qFormat/>
    <w:uiPriority w:val="99"/>
    <w:pPr>
      <w:spacing w:line="318" w:lineRule="atLeast"/>
    </w:pPr>
    <w:rPr>
      <w:rFonts w:cs="Times New Roman"/>
      <w:color w:val="auto"/>
    </w:rPr>
  </w:style>
  <w:style w:type="paragraph" w:customStyle="1" w:styleId="97">
    <w:name w:val="CM112"/>
    <w:basedOn w:val="87"/>
    <w:next w:val="87"/>
    <w:qFormat/>
    <w:uiPriority w:val="99"/>
    <w:rPr>
      <w:rFonts w:cs="Times New Roman"/>
      <w:color w:val="auto"/>
    </w:rPr>
  </w:style>
  <w:style w:type="paragraph" w:customStyle="1" w:styleId="98">
    <w:name w:val="CM34"/>
    <w:basedOn w:val="87"/>
    <w:next w:val="87"/>
    <w:qFormat/>
    <w:uiPriority w:val="99"/>
    <w:rPr>
      <w:rFonts w:cs="Times New Roman"/>
      <w:color w:val="auto"/>
    </w:rPr>
  </w:style>
  <w:style w:type="paragraph" w:customStyle="1" w:styleId="99">
    <w:name w:val="CM48"/>
    <w:basedOn w:val="87"/>
    <w:next w:val="87"/>
    <w:qFormat/>
    <w:uiPriority w:val="99"/>
    <w:pPr>
      <w:spacing w:line="440" w:lineRule="atLeast"/>
    </w:pPr>
    <w:rPr>
      <w:rFonts w:cs="Times New Roman"/>
      <w:color w:val="auto"/>
    </w:rPr>
  </w:style>
  <w:style w:type="paragraph" w:customStyle="1" w:styleId="100">
    <w:name w:val="CM110"/>
    <w:basedOn w:val="87"/>
    <w:next w:val="87"/>
    <w:qFormat/>
    <w:uiPriority w:val="99"/>
    <w:rPr>
      <w:rFonts w:cs="Times New Roman"/>
      <w:color w:val="auto"/>
    </w:rPr>
  </w:style>
  <w:style w:type="paragraph" w:customStyle="1" w:styleId="101">
    <w:name w:val="CM12"/>
    <w:basedOn w:val="87"/>
    <w:next w:val="87"/>
    <w:qFormat/>
    <w:uiPriority w:val="99"/>
    <w:pPr>
      <w:spacing w:line="313" w:lineRule="atLeast"/>
    </w:pPr>
    <w:rPr>
      <w:rFonts w:cs="Times New Roman"/>
      <w:color w:val="auto"/>
    </w:rPr>
  </w:style>
  <w:style w:type="paragraph" w:customStyle="1" w:styleId="102">
    <w:name w:val="CM94"/>
    <w:basedOn w:val="87"/>
    <w:next w:val="87"/>
    <w:qFormat/>
    <w:uiPriority w:val="99"/>
    <w:pPr>
      <w:spacing w:line="440" w:lineRule="atLeast"/>
    </w:pPr>
    <w:rPr>
      <w:rFonts w:cs="Times New Roman"/>
      <w:color w:val="auto"/>
    </w:rPr>
  </w:style>
  <w:style w:type="paragraph" w:customStyle="1" w:styleId="103">
    <w:name w:val="CM57"/>
    <w:basedOn w:val="87"/>
    <w:next w:val="87"/>
    <w:qFormat/>
    <w:uiPriority w:val="99"/>
    <w:pPr>
      <w:spacing w:line="400" w:lineRule="atLeast"/>
    </w:pPr>
    <w:rPr>
      <w:rFonts w:cs="Times New Roman"/>
      <w:color w:val="auto"/>
    </w:rPr>
  </w:style>
  <w:style w:type="paragraph" w:customStyle="1" w:styleId="104">
    <w:name w:val="CM22"/>
    <w:basedOn w:val="87"/>
    <w:next w:val="87"/>
    <w:qFormat/>
    <w:uiPriority w:val="99"/>
    <w:rPr>
      <w:rFonts w:cs="Times New Roman"/>
      <w:color w:val="auto"/>
    </w:rPr>
  </w:style>
  <w:style w:type="paragraph" w:customStyle="1" w:styleId="105">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6">
    <w:name w:val="CM25"/>
    <w:basedOn w:val="87"/>
    <w:next w:val="87"/>
    <w:qFormat/>
    <w:uiPriority w:val="99"/>
    <w:pPr>
      <w:spacing w:line="400" w:lineRule="atLeast"/>
    </w:pPr>
    <w:rPr>
      <w:rFonts w:cs="Times New Roman"/>
      <w:color w:val="auto"/>
    </w:rPr>
  </w:style>
  <w:style w:type="paragraph" w:customStyle="1" w:styleId="107">
    <w:name w:val="CM44"/>
    <w:basedOn w:val="87"/>
    <w:next w:val="87"/>
    <w:qFormat/>
    <w:uiPriority w:val="99"/>
    <w:rPr>
      <w:rFonts w:cs="Times New Roman"/>
      <w:color w:val="auto"/>
    </w:rPr>
  </w:style>
  <w:style w:type="paragraph" w:customStyle="1" w:styleId="108">
    <w:name w:val="样式3"/>
    <w:basedOn w:val="1"/>
    <w:qFormat/>
    <w:uiPriority w:val="0"/>
    <w:pPr>
      <w:keepNext/>
      <w:keepLines/>
      <w:spacing w:line="400" w:lineRule="exact"/>
      <w:outlineLvl w:val="0"/>
    </w:pPr>
    <w:rPr>
      <w:rFonts w:ascii="Times New Roman" w:hAnsi="Times New Roman"/>
      <w:b/>
      <w:bCs/>
      <w:kern w:val="44"/>
      <w:sz w:val="28"/>
      <w:szCs w:val="44"/>
    </w:rPr>
  </w:style>
  <w:style w:type="paragraph" w:customStyle="1" w:styleId="109">
    <w:name w:val="CM105"/>
    <w:basedOn w:val="87"/>
    <w:next w:val="87"/>
    <w:qFormat/>
    <w:uiPriority w:val="99"/>
    <w:rPr>
      <w:rFonts w:cs="Times New Roman"/>
      <w:color w:val="auto"/>
    </w:rPr>
  </w:style>
  <w:style w:type="paragraph" w:customStyle="1" w:styleId="110">
    <w:name w:val="CM90"/>
    <w:basedOn w:val="87"/>
    <w:next w:val="87"/>
    <w:qFormat/>
    <w:uiPriority w:val="99"/>
    <w:pPr>
      <w:spacing w:line="440" w:lineRule="atLeast"/>
    </w:pPr>
    <w:rPr>
      <w:rFonts w:cs="Times New Roman"/>
      <w:color w:val="auto"/>
    </w:rPr>
  </w:style>
  <w:style w:type="paragraph" w:customStyle="1" w:styleId="111">
    <w:name w:val="CM70"/>
    <w:basedOn w:val="87"/>
    <w:next w:val="87"/>
    <w:qFormat/>
    <w:uiPriority w:val="99"/>
    <w:pPr>
      <w:spacing w:line="400" w:lineRule="atLeast"/>
    </w:pPr>
    <w:rPr>
      <w:rFonts w:cs="Times New Roman"/>
      <w:color w:val="auto"/>
    </w:rPr>
  </w:style>
  <w:style w:type="paragraph" w:customStyle="1" w:styleId="112">
    <w:name w:val="CM74"/>
    <w:basedOn w:val="87"/>
    <w:next w:val="87"/>
    <w:qFormat/>
    <w:uiPriority w:val="99"/>
    <w:pPr>
      <w:spacing w:line="400" w:lineRule="atLeast"/>
    </w:pPr>
    <w:rPr>
      <w:rFonts w:cs="Times New Roman"/>
      <w:color w:val="auto"/>
    </w:rPr>
  </w:style>
  <w:style w:type="paragraph" w:customStyle="1" w:styleId="113">
    <w:name w:val="CM104"/>
    <w:basedOn w:val="87"/>
    <w:next w:val="87"/>
    <w:qFormat/>
    <w:uiPriority w:val="99"/>
    <w:rPr>
      <w:rFonts w:cs="Times New Roman"/>
      <w:color w:val="auto"/>
    </w:rPr>
  </w:style>
  <w:style w:type="paragraph" w:customStyle="1" w:styleId="114">
    <w:name w:val="CM2"/>
    <w:basedOn w:val="87"/>
    <w:next w:val="87"/>
    <w:qFormat/>
    <w:uiPriority w:val="99"/>
    <w:pPr>
      <w:spacing w:line="500" w:lineRule="atLeast"/>
    </w:pPr>
    <w:rPr>
      <w:rFonts w:cs="Times New Roman"/>
      <w:color w:val="auto"/>
    </w:rPr>
  </w:style>
  <w:style w:type="paragraph" w:customStyle="1" w:styleId="115">
    <w:name w:val="CM55"/>
    <w:basedOn w:val="87"/>
    <w:next w:val="87"/>
    <w:qFormat/>
    <w:uiPriority w:val="99"/>
    <w:pPr>
      <w:spacing w:line="400" w:lineRule="atLeast"/>
    </w:pPr>
    <w:rPr>
      <w:rFonts w:cs="Times New Roman"/>
      <w:color w:val="auto"/>
    </w:rPr>
  </w:style>
  <w:style w:type="paragraph" w:customStyle="1" w:styleId="116">
    <w:name w:val="CM109"/>
    <w:basedOn w:val="87"/>
    <w:next w:val="87"/>
    <w:qFormat/>
    <w:uiPriority w:val="99"/>
    <w:rPr>
      <w:rFonts w:cs="Times New Roman"/>
      <w:color w:val="auto"/>
    </w:rPr>
  </w:style>
  <w:style w:type="paragraph" w:customStyle="1" w:styleId="117">
    <w:name w:val="CM99"/>
    <w:basedOn w:val="87"/>
    <w:next w:val="87"/>
    <w:qFormat/>
    <w:uiPriority w:val="99"/>
    <w:rPr>
      <w:rFonts w:cs="Times New Roman"/>
      <w:color w:val="auto"/>
    </w:rPr>
  </w:style>
  <w:style w:type="paragraph" w:customStyle="1" w:styleId="118">
    <w:name w:val="_Style 131"/>
    <w:next w:val="1"/>
    <w:unhideWhenUsed/>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19">
    <w:name w:val="CM24"/>
    <w:basedOn w:val="87"/>
    <w:next w:val="87"/>
    <w:qFormat/>
    <w:uiPriority w:val="99"/>
    <w:pPr>
      <w:spacing w:line="400" w:lineRule="atLeast"/>
    </w:pPr>
    <w:rPr>
      <w:rFonts w:cs="Times New Roman"/>
      <w:color w:val="auto"/>
    </w:rPr>
  </w:style>
  <w:style w:type="paragraph" w:customStyle="1" w:styleId="120">
    <w:name w:val="CM32"/>
    <w:basedOn w:val="87"/>
    <w:next w:val="87"/>
    <w:qFormat/>
    <w:uiPriority w:val="99"/>
    <w:pPr>
      <w:spacing w:line="400" w:lineRule="atLeast"/>
    </w:pPr>
    <w:rPr>
      <w:rFonts w:cs="Times New Roman"/>
      <w:color w:val="auto"/>
    </w:rPr>
  </w:style>
  <w:style w:type="paragraph" w:customStyle="1" w:styleId="121">
    <w:name w:val="CM5"/>
    <w:basedOn w:val="87"/>
    <w:next w:val="87"/>
    <w:qFormat/>
    <w:uiPriority w:val="99"/>
    <w:rPr>
      <w:rFonts w:cs="Times New Roman"/>
      <w:color w:val="auto"/>
    </w:rPr>
  </w:style>
  <w:style w:type="paragraph" w:customStyle="1" w:styleId="122">
    <w:name w:val="CM19"/>
    <w:basedOn w:val="87"/>
    <w:next w:val="87"/>
    <w:qFormat/>
    <w:uiPriority w:val="99"/>
    <w:pPr>
      <w:spacing w:line="440" w:lineRule="atLeast"/>
    </w:pPr>
    <w:rPr>
      <w:rFonts w:cs="Times New Roman"/>
      <w:color w:val="auto"/>
    </w:rPr>
  </w:style>
  <w:style w:type="paragraph" w:customStyle="1" w:styleId="12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124">
    <w:name w:val="CM18"/>
    <w:basedOn w:val="87"/>
    <w:next w:val="87"/>
    <w:qFormat/>
    <w:uiPriority w:val="99"/>
    <w:pPr>
      <w:spacing w:line="440" w:lineRule="atLeast"/>
    </w:pPr>
    <w:rPr>
      <w:rFonts w:cs="Times New Roman"/>
      <w:color w:val="auto"/>
    </w:rPr>
  </w:style>
  <w:style w:type="paragraph" w:customStyle="1" w:styleId="125">
    <w:name w:val="CM3"/>
    <w:basedOn w:val="87"/>
    <w:next w:val="87"/>
    <w:qFormat/>
    <w:uiPriority w:val="99"/>
    <w:pPr>
      <w:spacing w:line="500" w:lineRule="atLeast"/>
    </w:pPr>
    <w:rPr>
      <w:rFonts w:cs="Times New Roman"/>
      <w:color w:val="auto"/>
    </w:rPr>
  </w:style>
  <w:style w:type="paragraph" w:customStyle="1" w:styleId="126">
    <w:name w:val="CM98"/>
    <w:basedOn w:val="87"/>
    <w:next w:val="87"/>
    <w:qFormat/>
    <w:uiPriority w:val="99"/>
    <w:rPr>
      <w:rFonts w:cs="Times New Roman"/>
      <w:color w:val="auto"/>
    </w:rPr>
  </w:style>
  <w:style w:type="paragraph" w:customStyle="1" w:styleId="127">
    <w:name w:val="CM40"/>
    <w:basedOn w:val="87"/>
    <w:next w:val="87"/>
    <w:qFormat/>
    <w:uiPriority w:val="99"/>
    <w:pPr>
      <w:spacing w:line="400" w:lineRule="atLeast"/>
    </w:pPr>
    <w:rPr>
      <w:rFonts w:cs="Times New Roman"/>
      <w:color w:val="auto"/>
    </w:rPr>
  </w:style>
  <w:style w:type="paragraph" w:customStyle="1" w:styleId="128">
    <w:name w:val="CM92"/>
    <w:basedOn w:val="87"/>
    <w:next w:val="87"/>
    <w:qFormat/>
    <w:uiPriority w:val="99"/>
    <w:pPr>
      <w:spacing w:line="443" w:lineRule="atLeast"/>
    </w:pPr>
    <w:rPr>
      <w:rFonts w:cs="Times New Roman"/>
      <w:color w:val="auto"/>
    </w:rPr>
  </w:style>
  <w:style w:type="paragraph" w:customStyle="1" w:styleId="129">
    <w:name w:val="CM13"/>
    <w:basedOn w:val="87"/>
    <w:next w:val="87"/>
    <w:qFormat/>
    <w:uiPriority w:val="99"/>
    <w:rPr>
      <w:rFonts w:cs="Times New Roman"/>
      <w:color w:val="auto"/>
    </w:rPr>
  </w:style>
  <w:style w:type="paragraph" w:customStyle="1" w:styleId="130">
    <w:name w:val="CM29"/>
    <w:basedOn w:val="87"/>
    <w:next w:val="87"/>
    <w:qFormat/>
    <w:uiPriority w:val="99"/>
    <w:pPr>
      <w:spacing w:line="400" w:lineRule="atLeast"/>
    </w:pPr>
    <w:rPr>
      <w:rFonts w:cs="Times New Roman"/>
      <w:color w:val="auto"/>
    </w:rPr>
  </w:style>
  <w:style w:type="paragraph" w:customStyle="1" w:styleId="131">
    <w:name w:val="Char Char Char Char Char Char Char"/>
    <w:basedOn w:val="15"/>
    <w:qFormat/>
    <w:uiPriority w:val="0"/>
    <w:rPr>
      <w:rFonts w:ascii="Tahoma" w:hAnsi="Tahoma"/>
      <w:sz w:val="24"/>
    </w:rPr>
  </w:style>
  <w:style w:type="paragraph" w:customStyle="1" w:styleId="132">
    <w:name w:val="CM45"/>
    <w:basedOn w:val="87"/>
    <w:next w:val="87"/>
    <w:qFormat/>
    <w:uiPriority w:val="99"/>
    <w:rPr>
      <w:rFonts w:cs="Times New Roman"/>
      <w:color w:val="auto"/>
    </w:rPr>
  </w:style>
  <w:style w:type="paragraph" w:customStyle="1" w:styleId="133">
    <w:name w:val="CM114"/>
    <w:basedOn w:val="87"/>
    <w:next w:val="87"/>
    <w:qFormat/>
    <w:uiPriority w:val="99"/>
    <w:rPr>
      <w:rFonts w:cs="Times New Roman"/>
      <w:color w:val="auto"/>
    </w:rPr>
  </w:style>
  <w:style w:type="paragraph" w:customStyle="1" w:styleId="134">
    <w:name w:val="CM9"/>
    <w:basedOn w:val="87"/>
    <w:next w:val="87"/>
    <w:qFormat/>
    <w:uiPriority w:val="99"/>
    <w:rPr>
      <w:rFonts w:cs="Times New Roman"/>
      <w:color w:val="auto"/>
    </w:rPr>
  </w:style>
  <w:style w:type="paragraph" w:customStyle="1" w:styleId="135">
    <w:name w:val="Char Char Char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136">
    <w:name w:val="CM47"/>
    <w:basedOn w:val="87"/>
    <w:next w:val="87"/>
    <w:qFormat/>
    <w:uiPriority w:val="99"/>
    <w:pPr>
      <w:spacing w:line="540" w:lineRule="atLeast"/>
    </w:pPr>
    <w:rPr>
      <w:rFonts w:cs="Times New Roman"/>
      <w:color w:val="auto"/>
    </w:rPr>
  </w:style>
  <w:style w:type="paragraph" w:customStyle="1" w:styleId="137">
    <w:name w:val="样式 标题 3 + (中文) 黑体 小四 非加粗 段前: 7.8 磅 段后: 0 磅 行距: 固定值 20 磅"/>
    <w:basedOn w:val="4"/>
    <w:qFormat/>
    <w:uiPriority w:val="0"/>
    <w:pPr>
      <w:spacing w:before="0" w:after="0" w:line="400" w:lineRule="exact"/>
    </w:pPr>
    <w:rPr>
      <w:rFonts w:ascii="Times New Roman" w:hAnsi="Times New Roman" w:eastAsia="黑体" w:cs="宋体"/>
      <w:b w:val="0"/>
      <w:bCs w:val="0"/>
      <w:sz w:val="24"/>
      <w:szCs w:val="20"/>
    </w:rPr>
  </w:style>
  <w:style w:type="paragraph" w:customStyle="1" w:styleId="138">
    <w:name w:val="Char Char"/>
    <w:basedOn w:val="1"/>
    <w:qFormat/>
    <w:uiPriority w:val="0"/>
    <w:rPr>
      <w:rFonts w:ascii="Tahoma" w:hAnsi="Tahoma"/>
      <w:sz w:val="24"/>
      <w:szCs w:val="20"/>
    </w:rPr>
  </w:style>
  <w:style w:type="paragraph" w:customStyle="1" w:styleId="139">
    <w:name w:val="Char Char1 Char Char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140">
    <w:name w:val="CM1"/>
    <w:basedOn w:val="87"/>
    <w:next w:val="87"/>
    <w:qFormat/>
    <w:uiPriority w:val="99"/>
    <w:rPr>
      <w:rFonts w:cs="Times New Roman"/>
      <w:color w:val="auto"/>
    </w:rPr>
  </w:style>
  <w:style w:type="paragraph" w:customStyle="1" w:styleId="141">
    <w:name w:val="CM7"/>
    <w:basedOn w:val="87"/>
    <w:next w:val="87"/>
    <w:qFormat/>
    <w:uiPriority w:val="99"/>
    <w:pPr>
      <w:spacing w:line="318" w:lineRule="atLeast"/>
    </w:pPr>
    <w:rPr>
      <w:rFonts w:cs="Times New Roman"/>
      <w:color w:val="auto"/>
    </w:rPr>
  </w:style>
  <w:style w:type="paragraph" w:customStyle="1" w:styleId="142">
    <w:name w:val="CM17"/>
    <w:basedOn w:val="87"/>
    <w:next w:val="87"/>
    <w:qFormat/>
    <w:uiPriority w:val="99"/>
    <w:pPr>
      <w:spacing w:line="440" w:lineRule="atLeast"/>
    </w:pPr>
    <w:rPr>
      <w:rFonts w:cs="Times New Roman"/>
      <w:color w:val="auto"/>
    </w:rPr>
  </w:style>
  <w:style w:type="paragraph" w:customStyle="1" w:styleId="143">
    <w:name w:val="CM96"/>
    <w:basedOn w:val="87"/>
    <w:next w:val="87"/>
    <w:qFormat/>
    <w:uiPriority w:val="99"/>
    <w:rPr>
      <w:rFonts w:cs="Times New Roman"/>
      <w:color w:val="auto"/>
    </w:rPr>
  </w:style>
  <w:style w:type="paragraph" w:customStyle="1" w:styleId="144">
    <w:name w:val="Char Char Char Char"/>
    <w:basedOn w:val="1"/>
    <w:qFormat/>
    <w:uiPriority w:val="0"/>
    <w:pPr>
      <w:spacing w:line="360" w:lineRule="auto"/>
      <w:ind w:firstLine="200" w:firstLineChars="200"/>
    </w:pPr>
    <w:rPr>
      <w:rFonts w:ascii="宋体" w:hAnsi="宋体" w:cs="宋体"/>
      <w:sz w:val="24"/>
      <w:szCs w:val="24"/>
    </w:rPr>
  </w:style>
  <w:style w:type="paragraph" w:customStyle="1" w:styleId="145">
    <w:name w:val="CM97"/>
    <w:basedOn w:val="87"/>
    <w:next w:val="87"/>
    <w:qFormat/>
    <w:uiPriority w:val="99"/>
    <w:rPr>
      <w:rFonts w:cs="Times New Roman"/>
      <w:color w:val="auto"/>
    </w:rPr>
  </w:style>
  <w:style w:type="paragraph" w:customStyle="1" w:styleId="146">
    <w:name w:val="CM11"/>
    <w:basedOn w:val="87"/>
    <w:next w:val="87"/>
    <w:qFormat/>
    <w:uiPriority w:val="99"/>
    <w:pPr>
      <w:spacing w:line="313" w:lineRule="atLeast"/>
    </w:pPr>
    <w:rPr>
      <w:rFonts w:cs="Times New Roman"/>
      <w:color w:val="auto"/>
    </w:rPr>
  </w:style>
  <w:style w:type="paragraph" w:customStyle="1" w:styleId="147">
    <w:name w:val="CM35"/>
    <w:basedOn w:val="87"/>
    <w:next w:val="87"/>
    <w:qFormat/>
    <w:uiPriority w:val="99"/>
    <w:pPr>
      <w:spacing w:line="400" w:lineRule="atLeast"/>
    </w:pPr>
    <w:rPr>
      <w:rFonts w:cs="Times New Roman"/>
      <w:color w:val="auto"/>
    </w:rPr>
  </w:style>
  <w:style w:type="paragraph" w:customStyle="1" w:styleId="148">
    <w:name w:val="CM102"/>
    <w:basedOn w:val="87"/>
    <w:next w:val="87"/>
    <w:qFormat/>
    <w:uiPriority w:val="99"/>
    <w:rPr>
      <w:rFonts w:cs="Times New Roman"/>
      <w:color w:val="auto"/>
    </w:rPr>
  </w:style>
  <w:style w:type="paragraph" w:customStyle="1" w:styleId="149">
    <w:name w:val="CM54"/>
    <w:basedOn w:val="87"/>
    <w:next w:val="87"/>
    <w:qFormat/>
    <w:uiPriority w:val="99"/>
    <w:rPr>
      <w:rFonts w:cs="Times New Roman"/>
      <w:color w:val="auto"/>
    </w:rPr>
  </w:style>
  <w:style w:type="paragraph" w:customStyle="1" w:styleId="150">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151">
    <w:name w:val="CM84"/>
    <w:basedOn w:val="87"/>
    <w:next w:val="87"/>
    <w:qFormat/>
    <w:uiPriority w:val="99"/>
    <w:pPr>
      <w:spacing w:line="400" w:lineRule="atLeast"/>
    </w:pPr>
    <w:rPr>
      <w:rFonts w:cs="Times New Roman"/>
      <w:color w:val="auto"/>
    </w:rPr>
  </w:style>
  <w:style w:type="paragraph" w:customStyle="1" w:styleId="152">
    <w:name w:val="CM60"/>
    <w:basedOn w:val="87"/>
    <w:next w:val="87"/>
    <w:qFormat/>
    <w:uiPriority w:val="99"/>
    <w:pPr>
      <w:spacing w:line="400" w:lineRule="atLeast"/>
    </w:pPr>
    <w:rPr>
      <w:rFonts w:cs="Times New Roman"/>
      <w:color w:val="auto"/>
    </w:rPr>
  </w:style>
  <w:style w:type="paragraph" w:customStyle="1" w:styleId="153">
    <w:name w:val="CM46"/>
    <w:basedOn w:val="87"/>
    <w:next w:val="87"/>
    <w:qFormat/>
    <w:uiPriority w:val="99"/>
    <w:pPr>
      <w:spacing w:line="440" w:lineRule="atLeast"/>
    </w:pPr>
    <w:rPr>
      <w:rFonts w:cs="Times New Roman"/>
      <w:color w:val="auto"/>
    </w:rPr>
  </w:style>
  <w:style w:type="paragraph" w:customStyle="1" w:styleId="154">
    <w:name w:val="CM62"/>
    <w:basedOn w:val="87"/>
    <w:next w:val="87"/>
    <w:qFormat/>
    <w:uiPriority w:val="99"/>
    <w:rPr>
      <w:rFonts w:cs="Times New Roman"/>
      <w:color w:val="auto"/>
    </w:rPr>
  </w:style>
  <w:style w:type="paragraph" w:customStyle="1" w:styleId="155">
    <w:name w:val="1 Char"/>
    <w:basedOn w:val="1"/>
    <w:qFormat/>
    <w:uiPriority w:val="0"/>
    <w:pPr>
      <w:spacing w:line="360" w:lineRule="auto"/>
      <w:ind w:firstLine="200" w:firstLineChars="200"/>
    </w:pPr>
    <w:rPr>
      <w:rFonts w:ascii="宋体" w:hAnsi="宋体" w:cs="宋体"/>
      <w:sz w:val="24"/>
      <w:szCs w:val="24"/>
    </w:rPr>
  </w:style>
  <w:style w:type="paragraph" w:customStyle="1" w:styleId="156">
    <w:name w:val="CM107"/>
    <w:basedOn w:val="87"/>
    <w:next w:val="87"/>
    <w:qFormat/>
    <w:uiPriority w:val="99"/>
    <w:rPr>
      <w:rFonts w:cs="Times New Roman"/>
      <w:color w:val="auto"/>
    </w:rPr>
  </w:style>
  <w:style w:type="paragraph" w:customStyle="1" w:styleId="157">
    <w:name w:val="CM115"/>
    <w:basedOn w:val="87"/>
    <w:next w:val="87"/>
    <w:qFormat/>
    <w:uiPriority w:val="99"/>
    <w:rPr>
      <w:rFonts w:cs="Times New Roman"/>
      <w:color w:val="auto"/>
    </w:rPr>
  </w:style>
  <w:style w:type="paragraph" w:customStyle="1" w:styleId="158">
    <w:name w:val="Char1"/>
    <w:basedOn w:val="1"/>
    <w:qFormat/>
    <w:uiPriority w:val="0"/>
    <w:pPr>
      <w:spacing w:line="360" w:lineRule="auto"/>
      <w:ind w:firstLine="200" w:firstLineChars="200"/>
    </w:pPr>
    <w:rPr>
      <w:rFonts w:ascii="宋体" w:hAnsi="宋体" w:cs="宋体"/>
      <w:sz w:val="24"/>
      <w:szCs w:val="24"/>
    </w:rPr>
  </w:style>
  <w:style w:type="paragraph" w:customStyle="1" w:styleId="159">
    <w:name w:val="CM88"/>
    <w:basedOn w:val="87"/>
    <w:next w:val="87"/>
    <w:qFormat/>
    <w:uiPriority w:val="99"/>
    <w:pPr>
      <w:spacing w:line="440" w:lineRule="atLeast"/>
    </w:pPr>
    <w:rPr>
      <w:rFonts w:cs="Times New Roman"/>
      <w:color w:val="auto"/>
    </w:rPr>
  </w:style>
  <w:style w:type="paragraph" w:styleId="160">
    <w:name w:val="List Paragraph"/>
    <w:basedOn w:val="1"/>
    <w:qFormat/>
    <w:uiPriority w:val="1"/>
    <w:pPr>
      <w:ind w:firstLine="420" w:firstLineChars="200"/>
    </w:pPr>
  </w:style>
  <w:style w:type="paragraph" w:customStyle="1" w:styleId="161">
    <w:name w:val="CM52"/>
    <w:basedOn w:val="87"/>
    <w:next w:val="87"/>
    <w:qFormat/>
    <w:uiPriority w:val="99"/>
    <w:pPr>
      <w:spacing w:line="400" w:lineRule="atLeast"/>
    </w:pPr>
    <w:rPr>
      <w:rFonts w:cs="Times New Roman"/>
      <w:color w:val="auto"/>
    </w:rPr>
  </w:style>
  <w:style w:type="paragraph" w:customStyle="1" w:styleId="162">
    <w:name w:val="CM41"/>
    <w:basedOn w:val="87"/>
    <w:next w:val="87"/>
    <w:qFormat/>
    <w:uiPriority w:val="99"/>
    <w:pPr>
      <w:spacing w:line="400" w:lineRule="atLeast"/>
    </w:pPr>
    <w:rPr>
      <w:rFonts w:cs="Times New Roman"/>
      <w:color w:val="auto"/>
    </w:rPr>
  </w:style>
  <w:style w:type="paragraph" w:customStyle="1" w:styleId="163">
    <w:name w:val="CM43"/>
    <w:basedOn w:val="87"/>
    <w:next w:val="87"/>
    <w:qFormat/>
    <w:uiPriority w:val="99"/>
    <w:pPr>
      <w:spacing w:line="440" w:lineRule="atLeast"/>
    </w:pPr>
    <w:rPr>
      <w:rFonts w:cs="Times New Roman"/>
      <w:color w:val="auto"/>
    </w:rPr>
  </w:style>
  <w:style w:type="paragraph" w:customStyle="1" w:styleId="164">
    <w:name w:val="CM101"/>
    <w:basedOn w:val="87"/>
    <w:next w:val="87"/>
    <w:qFormat/>
    <w:uiPriority w:val="99"/>
    <w:rPr>
      <w:rFonts w:cs="Times New Roman"/>
      <w:color w:val="auto"/>
    </w:rPr>
  </w:style>
  <w:style w:type="paragraph" w:customStyle="1" w:styleId="165">
    <w:name w:val="CM26"/>
    <w:basedOn w:val="87"/>
    <w:next w:val="87"/>
    <w:qFormat/>
    <w:uiPriority w:val="99"/>
    <w:pPr>
      <w:spacing w:line="400" w:lineRule="atLeast"/>
    </w:pPr>
    <w:rPr>
      <w:rFonts w:cs="Times New Roman"/>
      <w:color w:val="auto"/>
    </w:rPr>
  </w:style>
  <w:style w:type="paragraph" w:customStyle="1" w:styleId="166">
    <w:name w:val="CM100"/>
    <w:basedOn w:val="87"/>
    <w:next w:val="87"/>
    <w:qFormat/>
    <w:uiPriority w:val="99"/>
    <w:rPr>
      <w:rFonts w:cs="Times New Roman"/>
      <w:color w:val="auto"/>
    </w:rPr>
  </w:style>
  <w:style w:type="paragraph" w:customStyle="1" w:styleId="167">
    <w:name w:val="Char Char Char Char Char Char Char1"/>
    <w:basedOn w:val="15"/>
    <w:qFormat/>
    <w:uiPriority w:val="0"/>
    <w:rPr>
      <w:rFonts w:ascii="Tahoma" w:hAnsi="Tahoma"/>
      <w:sz w:val="24"/>
    </w:rPr>
  </w:style>
  <w:style w:type="paragraph" w:customStyle="1" w:styleId="168">
    <w:name w:val="CM83"/>
    <w:basedOn w:val="87"/>
    <w:next w:val="87"/>
    <w:qFormat/>
    <w:uiPriority w:val="99"/>
    <w:pPr>
      <w:spacing w:line="400" w:lineRule="atLeast"/>
    </w:pPr>
    <w:rPr>
      <w:rFonts w:cs="Times New Roman"/>
      <w:color w:val="auto"/>
    </w:rPr>
  </w:style>
  <w:style w:type="paragraph" w:customStyle="1" w:styleId="169">
    <w:name w:val="CM64"/>
    <w:basedOn w:val="87"/>
    <w:next w:val="87"/>
    <w:qFormat/>
    <w:uiPriority w:val="99"/>
    <w:pPr>
      <w:spacing w:line="398" w:lineRule="atLeast"/>
    </w:pPr>
    <w:rPr>
      <w:rFonts w:cs="Times New Roman"/>
      <w:color w:val="auto"/>
    </w:rPr>
  </w:style>
  <w:style w:type="paragraph" w:customStyle="1" w:styleId="170">
    <w:name w:val="CM49"/>
    <w:basedOn w:val="87"/>
    <w:next w:val="87"/>
    <w:qFormat/>
    <w:uiPriority w:val="99"/>
    <w:pPr>
      <w:spacing w:line="1020" w:lineRule="atLeast"/>
    </w:pPr>
    <w:rPr>
      <w:rFonts w:cs="Times New Roman"/>
      <w:color w:val="auto"/>
    </w:rPr>
  </w:style>
  <w:style w:type="paragraph" w:customStyle="1" w:styleId="171">
    <w:name w:val="CM95"/>
    <w:basedOn w:val="87"/>
    <w:next w:val="87"/>
    <w:qFormat/>
    <w:uiPriority w:val="99"/>
    <w:pPr>
      <w:spacing w:line="440" w:lineRule="atLeast"/>
    </w:pPr>
    <w:rPr>
      <w:rFonts w:cs="Times New Roman"/>
      <w:color w:val="auto"/>
    </w:rPr>
  </w:style>
  <w:style w:type="paragraph" w:customStyle="1" w:styleId="172">
    <w:name w:val="CM20"/>
    <w:basedOn w:val="87"/>
    <w:next w:val="87"/>
    <w:qFormat/>
    <w:uiPriority w:val="99"/>
    <w:pPr>
      <w:spacing w:line="400" w:lineRule="atLeast"/>
    </w:pPr>
    <w:rPr>
      <w:rFonts w:cs="Times New Roman"/>
      <w:color w:val="auto"/>
    </w:rPr>
  </w:style>
  <w:style w:type="paragraph" w:customStyle="1" w:styleId="173">
    <w:name w:val="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174">
    <w:name w:val="xl25"/>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szCs w:val="24"/>
    </w:rPr>
  </w:style>
  <w:style w:type="paragraph" w:customStyle="1" w:styleId="175">
    <w:name w:val="列出段落1"/>
    <w:basedOn w:val="1"/>
    <w:qFormat/>
    <w:uiPriority w:val="0"/>
    <w:pPr>
      <w:ind w:firstLine="420" w:firstLineChars="200"/>
    </w:pPr>
  </w:style>
  <w:style w:type="character" w:customStyle="1" w:styleId="176">
    <w:name w:val="正文文本 (2) + Sylfaen"/>
    <w:qFormat/>
    <w:uiPriority w:val="0"/>
    <w:rPr>
      <w:rFonts w:ascii="Sylfaen" w:hAnsi="Sylfaen" w:eastAsia="Sylfaen" w:cs="Sylfaen"/>
      <w:color w:val="000000"/>
      <w:spacing w:val="0"/>
      <w:w w:val="100"/>
      <w:position w:val="0"/>
      <w:sz w:val="22"/>
      <w:szCs w:val="22"/>
      <w:u w:val="none"/>
      <w:lang w:val="en-US" w:eastAsia="en-US" w:bidi="en-US"/>
    </w:rPr>
  </w:style>
  <w:style w:type="character" w:customStyle="1" w:styleId="177">
    <w:name w:val="正文文本 (2)_"/>
    <w:link w:val="178"/>
    <w:qFormat/>
    <w:uiPriority w:val="0"/>
    <w:rPr>
      <w:rFonts w:ascii="宋体" w:hAnsi="宋体" w:cs="宋体"/>
      <w:sz w:val="22"/>
      <w:szCs w:val="22"/>
      <w:shd w:val="clear" w:color="auto" w:fill="FFFFFF"/>
    </w:rPr>
  </w:style>
  <w:style w:type="paragraph" w:customStyle="1" w:styleId="178">
    <w:name w:val="正文文本 (2)"/>
    <w:basedOn w:val="1"/>
    <w:link w:val="177"/>
    <w:qFormat/>
    <w:uiPriority w:val="0"/>
    <w:pPr>
      <w:shd w:val="clear" w:color="auto" w:fill="FFFFFF"/>
      <w:spacing w:before="300" w:line="439" w:lineRule="exact"/>
      <w:jc w:val="distribute"/>
    </w:pPr>
    <w:rPr>
      <w:rFonts w:ascii="宋体" w:hAnsi="宋体" w:cs="宋体"/>
      <w:kern w:val="0"/>
      <w:sz w:val="22"/>
    </w:rPr>
  </w:style>
  <w:style w:type="character" w:customStyle="1" w:styleId="179">
    <w:name w:val="正文文本 (2) + Times New Roman"/>
    <w:qFormat/>
    <w:uiPriority w:val="0"/>
    <w:rPr>
      <w:rFonts w:ascii="Times New Roman" w:hAnsi="Times New Roman" w:eastAsia="Times New Roman" w:cs="Times New Roman"/>
      <w:color w:val="000000"/>
      <w:spacing w:val="0"/>
      <w:w w:val="100"/>
      <w:position w:val="0"/>
      <w:sz w:val="24"/>
      <w:szCs w:val="24"/>
      <w:u w:val="none"/>
      <w:shd w:val="clear" w:color="auto" w:fill="FFFFFF"/>
      <w:lang w:val="en-US" w:eastAsia="en-US" w:bidi="en-US"/>
    </w:rPr>
  </w:style>
  <w:style w:type="character" w:customStyle="1" w:styleId="180">
    <w:name w:val="正文文本 (2) + Lucida Sans Unicode"/>
    <w:qFormat/>
    <w:uiPriority w:val="0"/>
    <w:rPr>
      <w:rFonts w:ascii="Lucida Sans Unicode" w:hAnsi="Lucida Sans Unicode" w:eastAsia="Lucida Sans Unicode" w:cs="Lucida Sans Unicode"/>
      <w:b/>
      <w:bCs/>
      <w:color w:val="000000"/>
      <w:spacing w:val="0"/>
      <w:w w:val="100"/>
      <w:position w:val="0"/>
      <w:sz w:val="20"/>
      <w:szCs w:val="20"/>
      <w:u w:val="none"/>
      <w:shd w:val="clear" w:color="auto" w:fill="FFFFFF"/>
      <w:lang w:val="en-US" w:eastAsia="en-US" w:bidi="en-US"/>
    </w:rPr>
  </w:style>
  <w:style w:type="character" w:customStyle="1" w:styleId="181">
    <w:name w:val="正文文本 (2) + 11.5 pt"/>
    <w:qFormat/>
    <w:uiPriority w:val="0"/>
    <w:rPr>
      <w:rFonts w:ascii="宋体" w:hAnsi="宋体" w:eastAsia="宋体" w:cs="宋体"/>
      <w:b/>
      <w:bCs/>
      <w:color w:val="000000"/>
      <w:spacing w:val="0"/>
      <w:w w:val="100"/>
      <w:position w:val="0"/>
      <w:sz w:val="23"/>
      <w:szCs w:val="23"/>
      <w:u w:val="none"/>
      <w:shd w:val="clear" w:color="auto" w:fill="FFFFFF"/>
      <w:lang w:val="zh-TW" w:eastAsia="zh-TW" w:bidi="zh-TW"/>
    </w:rPr>
  </w:style>
  <w:style w:type="character" w:customStyle="1" w:styleId="182">
    <w:name w:val="正文文本 (7) + 间距 0 pt Exact"/>
    <w:qFormat/>
    <w:uiPriority w:val="0"/>
    <w:rPr>
      <w:rFonts w:ascii="宋体" w:hAnsi="宋体" w:eastAsia="宋体" w:cs="宋体"/>
      <w:color w:val="000000"/>
      <w:spacing w:val="0"/>
      <w:w w:val="100"/>
      <w:position w:val="0"/>
      <w:sz w:val="22"/>
      <w:szCs w:val="22"/>
      <w:u w:val="none"/>
      <w:lang w:val="zh-TW" w:eastAsia="zh-TW" w:bidi="zh-TW"/>
    </w:rPr>
  </w:style>
  <w:style w:type="character" w:customStyle="1" w:styleId="183">
    <w:name w:val="正文文本 (7)_"/>
    <w:link w:val="184"/>
    <w:qFormat/>
    <w:uiPriority w:val="0"/>
    <w:rPr>
      <w:rFonts w:ascii="宋体" w:hAnsi="宋体" w:cs="宋体"/>
      <w:spacing w:val="10"/>
      <w:sz w:val="22"/>
      <w:szCs w:val="22"/>
      <w:shd w:val="clear" w:color="auto" w:fill="FFFFFF"/>
    </w:rPr>
  </w:style>
  <w:style w:type="paragraph" w:customStyle="1" w:styleId="184">
    <w:name w:val="正文文本 (7)"/>
    <w:basedOn w:val="1"/>
    <w:link w:val="183"/>
    <w:qFormat/>
    <w:uiPriority w:val="0"/>
    <w:pPr>
      <w:shd w:val="clear" w:color="auto" w:fill="FFFFFF"/>
      <w:spacing w:before="120" w:after="300" w:line="0" w:lineRule="atLeast"/>
      <w:jc w:val="center"/>
    </w:pPr>
    <w:rPr>
      <w:rFonts w:ascii="宋体" w:hAnsi="宋体" w:cs="宋体"/>
      <w:spacing w:val="10"/>
      <w:kern w:val="0"/>
      <w:sz w:val="22"/>
    </w:rPr>
  </w:style>
  <w:style w:type="character" w:customStyle="1" w:styleId="185">
    <w:name w:val="正文文本 (14)_"/>
    <w:link w:val="186"/>
    <w:qFormat/>
    <w:uiPriority w:val="0"/>
    <w:rPr>
      <w:rFonts w:ascii="宋体" w:hAnsi="宋体" w:cs="宋体"/>
      <w:sz w:val="18"/>
      <w:szCs w:val="18"/>
      <w:shd w:val="clear" w:color="auto" w:fill="FFFFFF"/>
    </w:rPr>
  </w:style>
  <w:style w:type="paragraph" w:customStyle="1" w:styleId="186">
    <w:name w:val="正文文本 (14)"/>
    <w:basedOn w:val="1"/>
    <w:link w:val="185"/>
    <w:qFormat/>
    <w:uiPriority w:val="0"/>
    <w:pPr>
      <w:shd w:val="clear" w:color="auto" w:fill="FFFFFF"/>
      <w:spacing w:before="300" w:line="300" w:lineRule="exact"/>
      <w:jc w:val="distribute"/>
    </w:pPr>
    <w:rPr>
      <w:rFonts w:ascii="宋体" w:hAnsi="宋体" w:cs="宋体"/>
      <w:kern w:val="0"/>
      <w:sz w:val="18"/>
      <w:szCs w:val="18"/>
    </w:rPr>
  </w:style>
  <w:style w:type="character" w:customStyle="1" w:styleId="187">
    <w:name w:val="正文文本 (2) + 间距 4 pt"/>
    <w:qFormat/>
    <w:uiPriority w:val="0"/>
    <w:rPr>
      <w:rFonts w:ascii="宋体" w:hAnsi="宋体" w:eastAsia="宋体" w:cs="宋体"/>
      <w:color w:val="000000"/>
      <w:spacing w:val="80"/>
      <w:w w:val="100"/>
      <w:position w:val="0"/>
      <w:sz w:val="22"/>
      <w:szCs w:val="22"/>
      <w:u w:val="none"/>
      <w:shd w:val="clear" w:color="auto" w:fill="FFFFFF"/>
      <w:lang w:val="zh-TW" w:eastAsia="zh-TW" w:bidi="zh-TW"/>
    </w:rPr>
  </w:style>
  <w:style w:type="character" w:customStyle="1" w:styleId="188">
    <w:name w:val="页脚 字符"/>
    <w:qFormat/>
    <w:uiPriority w:val="99"/>
    <w:rPr>
      <w:kern w:val="2"/>
      <w:sz w:val="18"/>
      <w:szCs w:val="18"/>
    </w:rPr>
  </w:style>
  <w:style w:type="character" w:customStyle="1" w:styleId="189">
    <w:name w:val="脚注文本 字符"/>
    <w:qFormat/>
    <w:uiPriority w:val="0"/>
    <w:rPr>
      <w:kern w:val="2"/>
      <w:sz w:val="18"/>
      <w:szCs w:val="18"/>
    </w:rPr>
  </w:style>
  <w:style w:type="paragraph" w:customStyle="1" w:styleId="190">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191">
    <w:name w:val="修订1"/>
    <w:hidden/>
    <w:qFormat/>
    <w:uiPriority w:val="99"/>
    <w:rPr>
      <w:rFonts w:ascii="Calibri" w:hAnsi="Calibri" w:eastAsia="宋体" w:cs="Times New Roman"/>
      <w:kern w:val="2"/>
      <w:sz w:val="21"/>
      <w:szCs w:val="22"/>
      <w:lang w:val="en-US" w:eastAsia="zh-CN" w:bidi="ar-SA"/>
    </w:rPr>
  </w:style>
  <w:style w:type="paragraph" w:customStyle="1" w:styleId="192">
    <w:name w:val="三级"/>
    <w:basedOn w:val="4"/>
    <w:link w:val="193"/>
    <w:qFormat/>
    <w:uiPriority w:val="0"/>
    <w:pPr>
      <w:keepNext w:val="0"/>
      <w:keepLines w:val="0"/>
      <w:spacing w:before="120" w:after="120" w:line="415" w:lineRule="auto"/>
      <w:ind w:firstLine="241" w:firstLineChars="100"/>
      <w:jc w:val="center"/>
    </w:pPr>
    <w:rPr>
      <w:rFonts w:ascii="黑体" w:hAnsi="黑体" w:eastAsia="黑体"/>
      <w:b w:val="0"/>
    </w:rPr>
  </w:style>
  <w:style w:type="character" w:customStyle="1" w:styleId="193">
    <w:name w:val="三级 Char"/>
    <w:basedOn w:val="68"/>
    <w:link w:val="192"/>
    <w:qFormat/>
    <w:uiPriority w:val="0"/>
    <w:rPr>
      <w:rFonts w:ascii="黑体" w:hAnsi="黑体" w:eastAsia="黑体"/>
      <w:b w:val="0"/>
      <w:sz w:val="32"/>
      <w:szCs w:val="32"/>
    </w:rPr>
  </w:style>
  <w:style w:type="paragraph" w:customStyle="1" w:styleId="19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95">
    <w:name w:val="xl3192"/>
    <w:basedOn w:val="1"/>
    <w:qFormat/>
    <w:uiPriority w:val="0"/>
    <w:pPr>
      <w:widowControl/>
      <w:spacing w:before="100" w:beforeAutospacing="1" w:after="100" w:afterAutospacing="1"/>
      <w:jc w:val="left"/>
    </w:pPr>
    <w:rPr>
      <w:rFonts w:ascii="黑体" w:hAnsi="黑体" w:eastAsia="黑体" w:cs="宋体"/>
      <w:b/>
      <w:bCs/>
      <w:kern w:val="0"/>
      <w:sz w:val="28"/>
      <w:szCs w:val="28"/>
    </w:rPr>
  </w:style>
  <w:style w:type="paragraph" w:customStyle="1" w:styleId="196">
    <w:name w:val="xl3193"/>
    <w:basedOn w:val="1"/>
    <w:qFormat/>
    <w:uiPriority w:val="0"/>
    <w:pPr>
      <w:widowControl/>
      <w:spacing w:before="100" w:beforeAutospacing="1" w:after="100" w:afterAutospacing="1"/>
      <w:jc w:val="center"/>
    </w:pPr>
    <w:rPr>
      <w:rFonts w:ascii="黑体" w:hAnsi="黑体" w:eastAsia="黑体" w:cs="宋体"/>
      <w:b/>
      <w:bCs/>
      <w:kern w:val="0"/>
      <w:sz w:val="28"/>
      <w:szCs w:val="28"/>
    </w:rPr>
  </w:style>
  <w:style w:type="paragraph" w:customStyle="1" w:styleId="197">
    <w:name w:val="xl3194"/>
    <w:basedOn w:val="1"/>
    <w:qFormat/>
    <w:uiPriority w:val="0"/>
    <w:pPr>
      <w:widowControl/>
      <w:spacing w:before="100" w:beforeAutospacing="1" w:after="100" w:afterAutospacing="1"/>
      <w:jc w:val="right"/>
    </w:pPr>
    <w:rPr>
      <w:rFonts w:ascii="黑体" w:hAnsi="黑体" w:eastAsia="黑体" w:cs="宋体"/>
      <w:b/>
      <w:bCs/>
      <w:kern w:val="0"/>
      <w:sz w:val="28"/>
      <w:szCs w:val="28"/>
    </w:rPr>
  </w:style>
  <w:style w:type="paragraph" w:customStyle="1" w:styleId="198">
    <w:name w:val="xl3195"/>
    <w:basedOn w:val="1"/>
    <w:qFormat/>
    <w:uiPriority w:val="0"/>
    <w:pPr>
      <w:widowControl/>
      <w:spacing w:before="100" w:beforeAutospacing="1" w:after="100" w:afterAutospacing="1"/>
      <w:ind w:firstLine="1200" w:firstLineChars="1200"/>
      <w:jc w:val="left"/>
    </w:pPr>
    <w:rPr>
      <w:rFonts w:ascii="黑体" w:hAnsi="黑体" w:eastAsia="黑体" w:cs="宋体"/>
      <w:b/>
      <w:bCs/>
      <w:kern w:val="0"/>
      <w:sz w:val="28"/>
      <w:szCs w:val="28"/>
    </w:rPr>
  </w:style>
  <w:style w:type="paragraph" w:customStyle="1" w:styleId="199">
    <w:name w:val="xl319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0">
    <w:name w:val="xl3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1">
    <w:name w:val="xl3198"/>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202">
    <w:name w:val="xl3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3">
    <w:name w:val="xl3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04">
    <w:name w:val="xl3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5">
    <w:name w:val="xl3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6">
    <w:name w:val="xl32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7">
    <w:name w:val="xl320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8">
    <w:name w:val="xl3205"/>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09">
    <w:name w:val="xl3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10">
    <w:name w:val="xl3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szCs w:val="20"/>
    </w:rPr>
  </w:style>
  <w:style w:type="paragraph" w:customStyle="1" w:styleId="211">
    <w:name w:val="xl3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12">
    <w:name w:val="xl3209"/>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213">
    <w:name w:val="xl3210"/>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14">
    <w:name w:val="xl3211"/>
    <w:basedOn w:val="1"/>
    <w:qFormat/>
    <w:uiPriority w:val="0"/>
    <w:pPr>
      <w:widowControl/>
      <w:spacing w:before="100" w:beforeAutospacing="1" w:after="100" w:afterAutospacing="1"/>
      <w:jc w:val="right"/>
    </w:pPr>
    <w:rPr>
      <w:rFonts w:ascii="宋体" w:hAnsi="宋体" w:cs="宋体"/>
      <w:kern w:val="0"/>
      <w:sz w:val="20"/>
      <w:szCs w:val="20"/>
    </w:rPr>
  </w:style>
  <w:style w:type="paragraph" w:customStyle="1" w:styleId="215">
    <w:name w:val="xl3212"/>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kern w:val="0"/>
      <w:sz w:val="20"/>
      <w:szCs w:val="20"/>
    </w:rPr>
  </w:style>
  <w:style w:type="paragraph" w:customStyle="1" w:styleId="216">
    <w:name w:val="xl3213"/>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right"/>
    </w:pPr>
    <w:rPr>
      <w:rFonts w:ascii="宋体" w:hAnsi="宋体" w:cs="宋体"/>
      <w:kern w:val="0"/>
      <w:sz w:val="20"/>
      <w:szCs w:val="20"/>
    </w:rPr>
  </w:style>
  <w:style w:type="paragraph" w:customStyle="1" w:styleId="217">
    <w:name w:val="xl3214"/>
    <w:basedOn w:val="1"/>
    <w:qFormat/>
    <w:uiPriority w:val="0"/>
    <w:pPr>
      <w:widowControl/>
      <w:pBdr>
        <w:bottom w:val="single" w:color="auto" w:sz="4" w:space="0"/>
      </w:pBdr>
      <w:spacing w:before="100" w:beforeAutospacing="1" w:after="100" w:afterAutospacing="1"/>
      <w:jc w:val="left"/>
    </w:pPr>
    <w:rPr>
      <w:rFonts w:ascii="宋体" w:hAnsi="宋体" w:cs="宋体"/>
      <w:kern w:val="0"/>
      <w:sz w:val="20"/>
      <w:szCs w:val="20"/>
    </w:rPr>
  </w:style>
  <w:style w:type="paragraph" w:customStyle="1" w:styleId="218">
    <w:name w:val="xl321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219">
    <w:name w:val="xl321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220">
    <w:name w:val="xl321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1">
    <w:name w:val="xl3218"/>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kern w:val="0"/>
      <w:sz w:val="20"/>
      <w:szCs w:val="20"/>
    </w:rPr>
  </w:style>
  <w:style w:type="paragraph" w:customStyle="1" w:styleId="222">
    <w:name w:val="xl3219"/>
    <w:basedOn w:val="1"/>
    <w:qFormat/>
    <w:uiPriority w:val="0"/>
    <w:pPr>
      <w:widowControl/>
      <w:pBdr>
        <w:top w:val="single" w:color="auto" w:sz="4" w:space="0"/>
        <w:bottom w:val="single" w:color="auto" w:sz="4" w:space="0"/>
      </w:pBdr>
      <w:spacing w:before="100" w:beforeAutospacing="1" w:after="100" w:afterAutospacing="1"/>
      <w:jc w:val="right"/>
    </w:pPr>
    <w:rPr>
      <w:rFonts w:ascii="宋体" w:hAnsi="宋体" w:cs="宋体"/>
      <w:kern w:val="0"/>
      <w:sz w:val="20"/>
      <w:szCs w:val="20"/>
    </w:rPr>
  </w:style>
  <w:style w:type="paragraph" w:customStyle="1" w:styleId="223">
    <w:name w:val="xl3220"/>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kern w:val="0"/>
      <w:sz w:val="20"/>
      <w:szCs w:val="20"/>
    </w:rPr>
  </w:style>
  <w:style w:type="paragraph" w:customStyle="1" w:styleId="224">
    <w:name w:val="xl322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25">
    <w:name w:val="xl3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26">
    <w:name w:val="xl3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7">
    <w:name w:val="xl3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28">
    <w:name w:val="xl3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29">
    <w:name w:val="xl3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30">
    <w:name w:val="xl3227"/>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31">
    <w:name w:val="xl3228"/>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32">
    <w:name w:val="xl3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33">
    <w:name w:val="xl32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34">
    <w:name w:val="xl3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35">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236">
    <w:name w:val="网格型1"/>
    <w:basedOn w:val="5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
    <w:name w:val="网格型2"/>
    <w:basedOn w:val="5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8">
    <w:name w:val="正文文本 3 字符"/>
    <w:basedOn w:val="57"/>
    <w:link w:val="18"/>
    <w:qFormat/>
    <w:uiPriority w:val="0"/>
    <w:rPr>
      <w:rFonts w:ascii="宋体"/>
      <w:kern w:val="2"/>
      <w:sz w:val="24"/>
    </w:rPr>
  </w:style>
  <w:style w:type="character" w:customStyle="1" w:styleId="239">
    <w:name w:val="正文文本缩进 字符"/>
    <w:basedOn w:val="57"/>
    <w:link w:val="20"/>
    <w:qFormat/>
    <w:uiPriority w:val="0"/>
    <w:rPr>
      <w:kern w:val="2"/>
      <w:sz w:val="28"/>
      <w:szCs w:val="24"/>
    </w:rPr>
  </w:style>
  <w:style w:type="character" w:customStyle="1" w:styleId="240">
    <w:name w:val="正文文本首行缩进 2 字符"/>
    <w:basedOn w:val="239"/>
    <w:link w:val="54"/>
    <w:qFormat/>
    <w:uiPriority w:val="0"/>
    <w:rPr>
      <w:kern w:val="2"/>
      <w:sz w:val="21"/>
      <w:szCs w:val="24"/>
    </w:rPr>
  </w:style>
  <w:style w:type="table" w:customStyle="1" w:styleId="241">
    <w:name w:val="网格型3"/>
    <w:basedOn w:val="5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2">
    <w:name w:val="标题 7 字符"/>
    <w:link w:val="8"/>
    <w:qFormat/>
    <w:uiPriority w:val="0"/>
    <w:rPr>
      <w:bCs/>
      <w:sz w:val="24"/>
      <w:szCs w:val="24"/>
    </w:rPr>
  </w:style>
  <w:style w:type="character" w:customStyle="1" w:styleId="243">
    <w:name w:val="标题 8 字符"/>
    <w:link w:val="9"/>
    <w:qFormat/>
    <w:uiPriority w:val="0"/>
    <w:rPr>
      <w:rFonts w:ascii="Arial" w:hAnsi="Arial" w:eastAsia="黑体"/>
      <w:b/>
      <w:sz w:val="24"/>
      <w:szCs w:val="24"/>
    </w:rPr>
  </w:style>
  <w:style w:type="character" w:customStyle="1" w:styleId="244">
    <w:name w:val="标题 9 字符"/>
    <w:link w:val="10"/>
    <w:qFormat/>
    <w:uiPriority w:val="0"/>
    <w:rPr>
      <w:rFonts w:ascii="Arial" w:hAnsi="Arial" w:eastAsia="黑体"/>
      <w:b/>
      <w:sz w:val="21"/>
      <w:szCs w:val="21"/>
    </w:rPr>
  </w:style>
  <w:style w:type="character" w:customStyle="1" w:styleId="245">
    <w:name w:val="日期 字符"/>
    <w:link w:val="28"/>
    <w:qFormat/>
    <w:uiPriority w:val="0"/>
    <w:rPr>
      <w:kern w:val="2"/>
      <w:sz w:val="21"/>
      <w:szCs w:val="24"/>
    </w:rPr>
  </w:style>
  <w:style w:type="paragraph" w:customStyle="1" w:styleId="246">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character" w:customStyle="1" w:styleId="247">
    <w:name w:val="批注文字 字符"/>
    <w:link w:val="17"/>
    <w:qFormat/>
    <w:uiPriority w:val="0"/>
    <w:rPr>
      <w:rFonts w:ascii="Calibri" w:hAnsi="Calibri"/>
      <w:kern w:val="2"/>
      <w:sz w:val="21"/>
      <w:szCs w:val="22"/>
    </w:rPr>
  </w:style>
  <w:style w:type="character" w:customStyle="1" w:styleId="248">
    <w:name w:val="标题 字符"/>
    <w:link w:val="51"/>
    <w:qFormat/>
    <w:uiPriority w:val="0"/>
    <w:rPr>
      <w:rFonts w:ascii="Arial" w:hAnsi="Arial" w:cs="Arial"/>
      <w:b/>
      <w:bCs/>
      <w:sz w:val="44"/>
      <w:szCs w:val="32"/>
    </w:rPr>
  </w:style>
  <w:style w:type="character" w:customStyle="1" w:styleId="249">
    <w:name w:val="正文文本缩进 3 字符"/>
    <w:link w:val="43"/>
    <w:qFormat/>
    <w:uiPriority w:val="0"/>
    <w:rPr>
      <w:kern w:val="2"/>
      <w:sz w:val="21"/>
      <w:szCs w:val="24"/>
    </w:rPr>
  </w:style>
  <w:style w:type="paragraph" w:customStyle="1" w:styleId="250">
    <w:name w:val="1"/>
    <w:basedOn w:val="1"/>
    <w:qFormat/>
    <w:uiPriority w:val="0"/>
    <w:rPr>
      <w:rFonts w:ascii="Times New Roman" w:hAnsi="Times New Roman"/>
      <w:szCs w:val="24"/>
    </w:rPr>
  </w:style>
  <w:style w:type="character" w:customStyle="1" w:styleId="251">
    <w:name w:val="font161"/>
    <w:qFormat/>
    <w:uiPriority w:val="0"/>
    <w:rPr>
      <w:b/>
      <w:bCs/>
      <w:sz w:val="32"/>
      <w:szCs w:val="32"/>
    </w:rPr>
  </w:style>
  <w:style w:type="paragraph" w:customStyle="1" w:styleId="252">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253">
    <w:name w:val="表格"/>
    <w:basedOn w:val="1"/>
    <w:qFormat/>
    <w:uiPriority w:val="0"/>
    <w:pPr>
      <w:jc w:val="center"/>
      <w:textAlignment w:val="center"/>
    </w:pPr>
    <w:rPr>
      <w:rFonts w:ascii="华文细黑" w:hAnsi="华文细黑"/>
      <w:kern w:val="0"/>
      <w:szCs w:val="20"/>
    </w:rPr>
  </w:style>
  <w:style w:type="paragraph" w:customStyle="1" w:styleId="254">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character" w:customStyle="1" w:styleId="255">
    <w:name w:val="文档结构图 字符"/>
    <w:link w:val="15"/>
    <w:qFormat/>
    <w:uiPriority w:val="0"/>
    <w:rPr>
      <w:rFonts w:ascii="Calibri" w:hAnsi="Calibri"/>
      <w:kern w:val="2"/>
      <w:sz w:val="21"/>
      <w:szCs w:val="22"/>
      <w:shd w:val="clear" w:color="auto" w:fill="000080"/>
    </w:rPr>
  </w:style>
  <w:style w:type="character" w:customStyle="1" w:styleId="256">
    <w:name w:val="正文文本缩进 2 字符"/>
    <w:link w:val="29"/>
    <w:qFormat/>
    <w:uiPriority w:val="0"/>
    <w:rPr>
      <w:kern w:val="2"/>
      <w:sz w:val="21"/>
      <w:szCs w:val="24"/>
    </w:rPr>
  </w:style>
  <w:style w:type="character" w:customStyle="1" w:styleId="257">
    <w:name w:val="正文文本 2 字符"/>
    <w:link w:val="46"/>
    <w:qFormat/>
    <w:uiPriority w:val="0"/>
    <w:rPr>
      <w:kern w:val="2"/>
      <w:sz w:val="21"/>
      <w:szCs w:val="24"/>
    </w:rPr>
  </w:style>
  <w:style w:type="paragraph" w:customStyle="1" w:styleId="258">
    <w:name w:val="表格文字居中"/>
    <w:basedOn w:val="1"/>
    <w:next w:val="1"/>
    <w:qFormat/>
    <w:uiPriority w:val="0"/>
    <w:pPr>
      <w:tabs>
        <w:tab w:val="left" w:pos="720"/>
        <w:tab w:val="left" w:pos="900"/>
      </w:tabs>
      <w:adjustRightInd w:val="0"/>
      <w:snapToGrid w:val="0"/>
      <w:spacing w:before="62" w:beforeLines="20" w:after="62" w:afterLines="20" w:line="360" w:lineRule="auto"/>
      <w:jc w:val="center"/>
    </w:pPr>
    <w:rPr>
      <w:rFonts w:ascii="宋体" w:hAnsi="Arial"/>
      <w:kern w:val="0"/>
      <w:sz w:val="18"/>
      <w:szCs w:val="20"/>
    </w:rPr>
  </w:style>
  <w:style w:type="character" w:customStyle="1" w:styleId="259">
    <w:name w:val="尾注文本 字符"/>
    <w:link w:val="30"/>
    <w:qFormat/>
    <w:uiPriority w:val="0"/>
    <w:rPr>
      <w:kern w:val="2"/>
      <w:sz w:val="21"/>
      <w:szCs w:val="24"/>
    </w:rPr>
  </w:style>
  <w:style w:type="character" w:customStyle="1" w:styleId="260">
    <w:name w:val="批注主题 字符"/>
    <w:link w:val="52"/>
    <w:qFormat/>
    <w:uiPriority w:val="0"/>
    <w:rPr>
      <w:rFonts w:ascii="Calibri" w:hAnsi="Calibri"/>
      <w:b/>
      <w:bCs/>
      <w:kern w:val="2"/>
      <w:sz w:val="21"/>
      <w:szCs w:val="22"/>
    </w:rPr>
  </w:style>
  <w:style w:type="paragraph" w:styleId="261">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262">
    <w:name w:val="Quote"/>
    <w:basedOn w:val="1"/>
    <w:next w:val="1"/>
    <w:link w:val="263"/>
    <w:qFormat/>
    <w:uiPriority w:val="0"/>
    <w:rPr>
      <w:i/>
      <w:iCs/>
      <w:color w:val="000000"/>
    </w:rPr>
  </w:style>
  <w:style w:type="character" w:customStyle="1" w:styleId="263">
    <w:name w:val="引用 字符"/>
    <w:basedOn w:val="57"/>
    <w:link w:val="262"/>
    <w:qFormat/>
    <w:uiPriority w:val="0"/>
    <w:rPr>
      <w:rFonts w:ascii="Calibri" w:hAnsi="Calibri"/>
      <w:i/>
      <w:iCs/>
      <w:color w:val="000000"/>
      <w:kern w:val="2"/>
      <w:sz w:val="21"/>
      <w:szCs w:val="22"/>
    </w:rPr>
  </w:style>
  <w:style w:type="paragraph" w:styleId="264">
    <w:name w:val="Intense Quote"/>
    <w:basedOn w:val="1"/>
    <w:next w:val="1"/>
    <w:link w:val="265"/>
    <w:qFormat/>
    <w:uiPriority w:val="0"/>
    <w:pPr>
      <w:pBdr>
        <w:bottom w:val="single" w:color="4F81BD" w:sz="4" w:space="4"/>
      </w:pBdr>
      <w:spacing w:before="200" w:after="280"/>
      <w:ind w:left="936" w:right="936"/>
    </w:pPr>
    <w:rPr>
      <w:b/>
      <w:bCs/>
      <w:i/>
      <w:iCs/>
      <w:color w:val="4F81BD"/>
    </w:rPr>
  </w:style>
  <w:style w:type="character" w:customStyle="1" w:styleId="265">
    <w:name w:val="明显引用 字符"/>
    <w:basedOn w:val="57"/>
    <w:link w:val="264"/>
    <w:qFormat/>
    <w:uiPriority w:val="0"/>
    <w:rPr>
      <w:rFonts w:ascii="Calibri" w:hAnsi="Calibri"/>
      <w:b/>
      <w:bCs/>
      <w:i/>
      <w:iCs/>
      <w:color w:val="4F81BD"/>
      <w:kern w:val="2"/>
      <w:sz w:val="21"/>
      <w:szCs w:val="22"/>
    </w:rPr>
  </w:style>
  <w:style w:type="paragraph" w:customStyle="1" w:styleId="266">
    <w:name w:val="flNote"/>
    <w:basedOn w:val="1"/>
    <w:qFormat/>
    <w:uiPriority w:val="0"/>
    <w:pPr>
      <w:adjustRightInd w:val="0"/>
      <w:spacing w:before="320" w:after="160" w:line="360" w:lineRule="atLeast"/>
      <w:jc w:val="center"/>
    </w:pPr>
    <w:rPr>
      <w:rFonts w:ascii="Arial" w:hAnsi="Times New Roman" w:eastAsia="黑体"/>
      <w:kern w:val="0"/>
      <w:sz w:val="30"/>
      <w:szCs w:val="20"/>
    </w:rPr>
  </w:style>
  <w:style w:type="character" w:customStyle="1" w:styleId="267">
    <w:name w:val="标题4 Char Char"/>
    <w:link w:val="268"/>
    <w:qFormat/>
    <w:locked/>
    <w:uiPriority w:val="0"/>
    <w:rPr>
      <w:rFonts w:ascii="Arial" w:hAnsi="Arial" w:cs="Arial"/>
      <w:b/>
      <w:bCs/>
      <w:sz w:val="24"/>
      <w:szCs w:val="32"/>
    </w:rPr>
  </w:style>
  <w:style w:type="paragraph" w:customStyle="1" w:styleId="268">
    <w:name w:val="标题4"/>
    <w:basedOn w:val="3"/>
    <w:next w:val="23"/>
    <w:link w:val="267"/>
    <w:qFormat/>
    <w:uiPriority w:val="0"/>
    <w:pPr>
      <w:spacing w:line="412" w:lineRule="auto"/>
    </w:pPr>
    <w:rPr>
      <w:rFonts w:ascii="Arial" w:hAnsi="Arial" w:cs="Arial"/>
      <w:sz w:val="24"/>
    </w:rPr>
  </w:style>
  <w:style w:type="character" w:customStyle="1" w:styleId="269">
    <w:name w:val="标题5 Char Char"/>
    <w:link w:val="270"/>
    <w:qFormat/>
    <w:locked/>
    <w:uiPriority w:val="0"/>
    <w:rPr>
      <w:rFonts w:ascii="Arial" w:hAnsi="Arial" w:cs="Arial"/>
      <w:b/>
      <w:bCs/>
      <w:sz w:val="24"/>
      <w:szCs w:val="32"/>
    </w:rPr>
  </w:style>
  <w:style w:type="paragraph" w:customStyle="1" w:styleId="270">
    <w:name w:val="标题5"/>
    <w:basedOn w:val="4"/>
    <w:link w:val="269"/>
    <w:qFormat/>
    <w:uiPriority w:val="0"/>
    <w:pPr>
      <w:spacing w:line="412" w:lineRule="auto"/>
    </w:pPr>
    <w:rPr>
      <w:rFonts w:ascii="Arial" w:hAnsi="Arial" w:cs="Arial"/>
      <w:sz w:val="24"/>
    </w:rPr>
  </w:style>
  <w:style w:type="paragraph" w:customStyle="1" w:styleId="271">
    <w:name w:val="空半行"/>
    <w:basedOn w:val="1"/>
    <w:qFormat/>
    <w:uiPriority w:val="0"/>
    <w:pPr>
      <w:adjustRightInd w:val="0"/>
      <w:spacing w:line="120" w:lineRule="exact"/>
    </w:pPr>
    <w:rPr>
      <w:rFonts w:ascii="Times New Roman" w:hAnsi="Times New Roman" w:eastAsia="仿宋_GB2312"/>
      <w:color w:val="FFFFFF"/>
      <w:kern w:val="0"/>
      <w:sz w:val="30"/>
      <w:szCs w:val="20"/>
    </w:rPr>
  </w:style>
  <w:style w:type="character" w:customStyle="1" w:styleId="272">
    <w:name w:val="不明显强调1"/>
    <w:qFormat/>
    <w:uiPriority w:val="0"/>
    <w:rPr>
      <w:i/>
      <w:iCs/>
      <w:color w:val="808080"/>
    </w:rPr>
  </w:style>
  <w:style w:type="character" w:customStyle="1" w:styleId="273">
    <w:name w:val="明显强调1"/>
    <w:qFormat/>
    <w:uiPriority w:val="0"/>
    <w:rPr>
      <w:b/>
      <w:bCs/>
      <w:i/>
      <w:iCs/>
      <w:color w:val="4F81BD"/>
    </w:rPr>
  </w:style>
  <w:style w:type="character" w:customStyle="1" w:styleId="274">
    <w:name w:val="不明显参考1"/>
    <w:qFormat/>
    <w:uiPriority w:val="0"/>
    <w:rPr>
      <w:smallCaps/>
      <w:color w:val="C0504D"/>
      <w:u w:val="single"/>
    </w:rPr>
  </w:style>
  <w:style w:type="character" w:customStyle="1" w:styleId="275">
    <w:name w:val="明显参考1"/>
    <w:qFormat/>
    <w:uiPriority w:val="0"/>
    <w:rPr>
      <w:b/>
      <w:bCs/>
      <w:smallCaps/>
      <w:color w:val="C0504D"/>
      <w:spacing w:val="5"/>
      <w:u w:val="single"/>
    </w:rPr>
  </w:style>
  <w:style w:type="character" w:customStyle="1" w:styleId="276">
    <w:name w:val="书籍标题1"/>
    <w:qFormat/>
    <w:uiPriority w:val="0"/>
    <w:rPr>
      <w:b/>
      <w:bCs/>
      <w:smallCaps/>
      <w:spacing w:val="5"/>
    </w:rPr>
  </w:style>
  <w:style w:type="character" w:customStyle="1" w:styleId="277">
    <w:name w:val="textcontents"/>
    <w:qFormat/>
    <w:uiPriority w:val="0"/>
    <w:rPr>
      <w:rFonts w:hint="default" w:ascii="Times New Roman" w:hAnsi="Times New Roman" w:cs="Times New Roman"/>
    </w:rPr>
  </w:style>
  <w:style w:type="character" w:customStyle="1" w:styleId="278">
    <w:name w:val="日期 Char1"/>
    <w:qFormat/>
    <w:uiPriority w:val="0"/>
    <w:rPr>
      <w:kern w:val="2"/>
      <w:sz w:val="21"/>
      <w:szCs w:val="22"/>
    </w:rPr>
  </w:style>
  <w:style w:type="character" w:customStyle="1" w:styleId="279">
    <w:name w:val="正文文本 Char1"/>
    <w:qFormat/>
    <w:uiPriority w:val="0"/>
    <w:rPr>
      <w:kern w:val="2"/>
      <w:sz w:val="21"/>
      <w:szCs w:val="22"/>
    </w:rPr>
  </w:style>
  <w:style w:type="character" w:customStyle="1" w:styleId="280">
    <w:name w:val="批注主题 Char1"/>
    <w:qFormat/>
    <w:uiPriority w:val="0"/>
    <w:rPr>
      <w:b/>
      <w:bCs/>
      <w:kern w:val="2"/>
      <w:sz w:val="21"/>
      <w:szCs w:val="22"/>
    </w:rPr>
  </w:style>
  <w:style w:type="character" w:customStyle="1" w:styleId="281">
    <w:name w:val="批注文字 Char Char"/>
    <w:qFormat/>
    <w:uiPriority w:val="0"/>
    <w:rPr>
      <w:rFonts w:hint="eastAsia" w:ascii="宋体" w:hAnsi="Times New Roman" w:eastAsia="宋体" w:cs="Times New Roman"/>
      <w:sz w:val="28"/>
      <w:szCs w:val="20"/>
    </w:rPr>
  </w:style>
  <w:style w:type="character" w:customStyle="1" w:styleId="282">
    <w:name w:val="批注框文本 Char1"/>
    <w:qFormat/>
    <w:uiPriority w:val="0"/>
    <w:rPr>
      <w:kern w:val="2"/>
      <w:sz w:val="18"/>
      <w:szCs w:val="18"/>
    </w:rPr>
  </w:style>
  <w:style w:type="character" w:customStyle="1" w:styleId="283">
    <w:name w:val="文档结构图 Char1"/>
    <w:qFormat/>
    <w:uiPriority w:val="0"/>
    <w:rPr>
      <w:rFonts w:hint="eastAsia" w:ascii="宋体" w:hAnsi="宋体" w:eastAsia="宋体"/>
      <w:kern w:val="2"/>
      <w:sz w:val="18"/>
      <w:szCs w:val="18"/>
    </w:rPr>
  </w:style>
  <w:style w:type="character" w:customStyle="1" w:styleId="284">
    <w:name w:val="批注文字 Char1"/>
    <w:qFormat/>
    <w:uiPriority w:val="0"/>
    <w:rPr>
      <w:kern w:val="2"/>
      <w:sz w:val="21"/>
      <w:szCs w:val="22"/>
    </w:rPr>
  </w:style>
  <w:style w:type="character" w:customStyle="1" w:styleId="285">
    <w:name w:val="副标题 Char1"/>
    <w:qFormat/>
    <w:uiPriority w:val="0"/>
    <w:rPr>
      <w:rFonts w:hint="default" w:ascii="Cambria" w:hAnsi="Cambria" w:cs="Times New Roman"/>
      <w:b/>
      <w:bCs/>
      <w:kern w:val="28"/>
      <w:sz w:val="32"/>
      <w:szCs w:val="32"/>
    </w:rPr>
  </w:style>
  <w:style w:type="character" w:customStyle="1" w:styleId="286">
    <w:name w:val="标题 Char1"/>
    <w:qFormat/>
    <w:uiPriority w:val="0"/>
    <w:rPr>
      <w:rFonts w:hint="default" w:ascii="Cambria" w:hAnsi="Cambria" w:cs="Times New Roman"/>
      <w:b/>
      <w:bCs/>
      <w:kern w:val="2"/>
      <w:sz w:val="32"/>
      <w:szCs w:val="32"/>
    </w:rPr>
  </w:style>
  <w:style w:type="character" w:customStyle="1" w:styleId="287">
    <w:name w:val="明显引用 Char1"/>
    <w:qFormat/>
    <w:uiPriority w:val="30"/>
    <w:rPr>
      <w:b/>
      <w:bCs/>
      <w:i/>
      <w:iCs/>
      <w:color w:val="4F81BD"/>
      <w:kern w:val="2"/>
      <w:sz w:val="21"/>
      <w:szCs w:val="22"/>
    </w:rPr>
  </w:style>
  <w:style w:type="character" w:customStyle="1" w:styleId="288">
    <w:name w:val="页眉 Char1"/>
    <w:semiHidden/>
    <w:qFormat/>
    <w:uiPriority w:val="99"/>
    <w:rPr>
      <w:kern w:val="2"/>
      <w:sz w:val="18"/>
      <w:szCs w:val="18"/>
    </w:rPr>
  </w:style>
  <w:style w:type="character" w:customStyle="1" w:styleId="289">
    <w:name w:val="文档结构图 Char2"/>
    <w:qFormat/>
    <w:uiPriority w:val="0"/>
    <w:rPr>
      <w:rFonts w:hint="eastAsia" w:ascii="宋体" w:hAnsi="宋体" w:eastAsia="宋体"/>
      <w:kern w:val="2"/>
      <w:sz w:val="18"/>
      <w:szCs w:val="18"/>
    </w:rPr>
  </w:style>
  <w:style w:type="character" w:customStyle="1" w:styleId="290">
    <w:name w:val="正文文本 Char2"/>
    <w:qFormat/>
    <w:uiPriority w:val="0"/>
    <w:rPr>
      <w:kern w:val="2"/>
      <w:sz w:val="21"/>
      <w:szCs w:val="22"/>
    </w:rPr>
  </w:style>
  <w:style w:type="character" w:customStyle="1" w:styleId="291">
    <w:name w:val="引用 Char1"/>
    <w:qFormat/>
    <w:uiPriority w:val="29"/>
    <w:rPr>
      <w:i/>
      <w:iCs/>
      <w:color w:val="000000"/>
      <w:kern w:val="2"/>
      <w:sz w:val="21"/>
      <w:szCs w:val="22"/>
    </w:rPr>
  </w:style>
  <w:style w:type="character" w:customStyle="1" w:styleId="292">
    <w:name w:val="页脚 Char1"/>
    <w:semiHidden/>
    <w:qFormat/>
    <w:uiPriority w:val="99"/>
    <w:rPr>
      <w:kern w:val="2"/>
      <w:sz w:val="18"/>
      <w:szCs w:val="18"/>
    </w:rPr>
  </w:style>
  <w:style w:type="character" w:customStyle="1" w:styleId="293">
    <w:name w:val="批注主题 Char2"/>
    <w:qFormat/>
    <w:uiPriority w:val="0"/>
    <w:rPr>
      <w:b/>
      <w:bCs/>
      <w:kern w:val="2"/>
      <w:sz w:val="21"/>
      <w:szCs w:val="22"/>
    </w:rPr>
  </w:style>
  <w:style w:type="character" w:customStyle="1" w:styleId="294">
    <w:name w:val="日期 Char2"/>
    <w:qFormat/>
    <w:uiPriority w:val="0"/>
    <w:rPr>
      <w:kern w:val="2"/>
      <w:sz w:val="21"/>
      <w:szCs w:val="22"/>
    </w:rPr>
  </w:style>
  <w:style w:type="character" w:customStyle="1" w:styleId="295">
    <w:name w:val="批注框文本 Char2"/>
    <w:qFormat/>
    <w:uiPriority w:val="0"/>
    <w:rPr>
      <w:kern w:val="2"/>
      <w:sz w:val="18"/>
      <w:szCs w:val="18"/>
    </w:rPr>
  </w:style>
  <w:style w:type="paragraph" w:customStyle="1" w:styleId="296">
    <w:name w:val="Char Char1"/>
    <w:basedOn w:val="1"/>
    <w:qFormat/>
    <w:uiPriority w:val="0"/>
    <w:rPr>
      <w:rFonts w:ascii="Tahoma" w:hAnsi="Tahoma"/>
      <w:sz w:val="24"/>
      <w:szCs w:val="20"/>
    </w:rPr>
  </w:style>
  <w:style w:type="paragraph" w:customStyle="1" w:styleId="297">
    <w:name w:val="样式 标题 1 + 居中"/>
    <w:basedOn w:val="2"/>
    <w:qFormat/>
    <w:uiPriority w:val="0"/>
    <w:pPr>
      <w:spacing w:line="360" w:lineRule="auto"/>
      <w:jc w:val="center"/>
    </w:pPr>
    <w:rPr>
      <w:rFonts w:ascii="Times New Roman" w:hAnsi="Times New Roman" w:cs="宋体"/>
      <w:szCs w:val="20"/>
    </w:rPr>
  </w:style>
  <w:style w:type="paragraph" w:customStyle="1" w:styleId="298">
    <w:name w:val="样式 标题 1 + 居中1"/>
    <w:basedOn w:val="2"/>
    <w:qFormat/>
    <w:uiPriority w:val="0"/>
    <w:pPr>
      <w:spacing w:line="240" w:lineRule="auto"/>
      <w:jc w:val="center"/>
    </w:pPr>
    <w:rPr>
      <w:rFonts w:ascii="Times New Roman" w:hAnsi="Times New Roman" w:cs="宋体"/>
      <w:szCs w:val="20"/>
    </w:rPr>
  </w:style>
  <w:style w:type="paragraph" w:customStyle="1" w:styleId="299">
    <w:name w:val="样式 标题 3 + 字符缩放: 99%"/>
    <w:basedOn w:val="4"/>
    <w:qFormat/>
    <w:uiPriority w:val="0"/>
    <w:pPr>
      <w:spacing w:line="240" w:lineRule="auto"/>
    </w:pPr>
    <w:rPr>
      <w:rFonts w:ascii="Times New Roman" w:hAnsi="Times New Roman"/>
      <w:w w:val="99"/>
      <w:sz w:val="24"/>
    </w:rPr>
  </w:style>
  <w:style w:type="paragraph" w:customStyle="1" w:styleId="300">
    <w:name w:val="样式 标题 2 + 字符缩放: 99%"/>
    <w:basedOn w:val="3"/>
    <w:qFormat/>
    <w:uiPriority w:val="0"/>
    <w:pPr>
      <w:spacing w:line="240" w:lineRule="auto"/>
    </w:pPr>
    <w:rPr>
      <w:rFonts w:ascii="Arial" w:hAnsi="Arial"/>
      <w:w w:val="99"/>
    </w:rPr>
  </w:style>
  <w:style w:type="paragraph" w:customStyle="1" w:styleId="301">
    <w:name w:val="样式 标题 2 + 字符缩放: 99%1"/>
    <w:basedOn w:val="3"/>
    <w:qFormat/>
    <w:uiPriority w:val="0"/>
    <w:pPr>
      <w:spacing w:line="240" w:lineRule="auto"/>
    </w:pPr>
    <w:rPr>
      <w:rFonts w:ascii="Arial" w:hAnsi="Arial"/>
      <w:w w:val="99"/>
    </w:rPr>
  </w:style>
  <w:style w:type="paragraph" w:customStyle="1" w:styleId="302">
    <w:name w:val="样式 标题 2 + 字符缩放: 105%"/>
    <w:basedOn w:val="3"/>
    <w:qFormat/>
    <w:uiPriority w:val="0"/>
    <w:pPr>
      <w:spacing w:line="240" w:lineRule="auto"/>
    </w:pPr>
    <w:rPr>
      <w:rFonts w:ascii="Arial" w:hAnsi="Arial"/>
      <w:w w:val="105"/>
    </w:rPr>
  </w:style>
  <w:style w:type="paragraph" w:customStyle="1" w:styleId="303">
    <w:name w:val="样式 标题 1 + 仿宋_GB2312"/>
    <w:basedOn w:val="2"/>
    <w:qFormat/>
    <w:uiPriority w:val="0"/>
    <w:rPr>
      <w:rFonts w:ascii="仿宋_GB2312" w:hAnsi="仿宋_GB2312" w:eastAsia="仿宋_GB2312"/>
    </w:rPr>
  </w:style>
  <w:style w:type="paragraph" w:customStyle="1" w:styleId="304">
    <w:name w:val="样式1"/>
    <w:basedOn w:val="3"/>
    <w:qFormat/>
    <w:uiPriority w:val="0"/>
    <w:pPr>
      <w:keepNext w:val="0"/>
      <w:keepLines w:val="0"/>
      <w:widowControl/>
      <w:adjustRightInd w:val="0"/>
      <w:spacing w:before="0" w:after="0" w:line="460" w:lineRule="exact"/>
      <w:jc w:val="center"/>
      <w:textAlignment w:val="baseline"/>
    </w:pPr>
    <w:rPr>
      <w:rFonts w:ascii="Times New Roman" w:hAnsi="Times New Roman"/>
      <w:sz w:val="24"/>
      <w:szCs w:val="20"/>
    </w:rPr>
  </w:style>
  <w:style w:type="paragraph" w:customStyle="1" w:styleId="305">
    <w:name w:val="样式2"/>
    <w:basedOn w:val="2"/>
    <w:qFormat/>
    <w:uiPriority w:val="0"/>
    <w:pPr>
      <w:adjustRightInd w:val="0"/>
      <w:spacing w:before="0" w:after="0" w:line="360" w:lineRule="auto"/>
      <w:jc w:val="center"/>
      <w:textAlignment w:val="baseline"/>
    </w:pPr>
    <w:rPr>
      <w:rFonts w:ascii="Times New Roman" w:hAnsi="Times New Roman"/>
      <w:sz w:val="36"/>
      <w:szCs w:val="36"/>
    </w:rPr>
  </w:style>
  <w:style w:type="character" w:customStyle="1" w:styleId="306">
    <w:name w:val="正文文本缩进 Char1"/>
    <w:basedOn w:val="57"/>
    <w:qFormat/>
    <w:uiPriority w:val="0"/>
    <w:rPr>
      <w:rFonts w:ascii="Times New Roman" w:hAnsi="Times New Roman"/>
      <w:kern w:val="2"/>
      <w:sz w:val="28"/>
      <w:szCs w:val="24"/>
    </w:rPr>
  </w:style>
  <w:style w:type="paragraph" w:customStyle="1" w:styleId="307">
    <w:name w:val="正文1"/>
    <w:qFormat/>
    <w:uiPriority w:val="0"/>
    <w:pPr>
      <w:widowControl w:val="0"/>
      <w:autoSpaceDE w:val="0"/>
      <w:autoSpaceDN w:val="0"/>
      <w:adjustRightInd w:val="0"/>
      <w:spacing w:line="0" w:lineRule="atLeast"/>
      <w:textAlignment w:val="bottom"/>
    </w:pPr>
    <w:rPr>
      <w:rFonts w:ascii="宋体" w:hAnsi="Times New Roman" w:eastAsia="宋体" w:cs="Times New Roman"/>
      <w:spacing w:val="10"/>
      <w:sz w:val="21"/>
      <w:lang w:val="en-US" w:eastAsia="zh-CN" w:bidi="ar-SA"/>
    </w:rPr>
  </w:style>
  <w:style w:type="paragraph" w:customStyle="1" w:styleId="308">
    <w:name w:val="修订2"/>
    <w:hidden/>
    <w:unhideWhenUsed/>
    <w:qFormat/>
    <w:uiPriority w:val="99"/>
    <w:rPr>
      <w:rFonts w:ascii="Calibri" w:hAnsi="Calibri" w:eastAsia="宋体" w:cs="Times New Roman"/>
      <w:kern w:val="2"/>
      <w:sz w:val="21"/>
      <w:szCs w:val="22"/>
      <w:lang w:val="en-US" w:eastAsia="zh-CN" w:bidi="ar-SA"/>
    </w:rPr>
  </w:style>
  <w:style w:type="table" w:customStyle="1" w:styleId="309">
    <w:name w:val="网格型4"/>
    <w:basedOn w:val="55"/>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10">
    <w:name w:val="Body text|1"/>
    <w:basedOn w:val="1"/>
    <w:qFormat/>
    <w:uiPriority w:val="0"/>
    <w:pPr>
      <w:spacing w:line="374" w:lineRule="auto"/>
      <w:ind w:firstLine="400"/>
    </w:pPr>
    <w:rPr>
      <w:rFonts w:ascii="宋体" w:hAnsi="宋体" w:cs="宋体"/>
      <w:sz w:val="22"/>
      <w:lang w:val="zh-TW" w:eastAsia="zh-TW" w:bidi="zh-TW"/>
    </w:rPr>
  </w:style>
  <w:style w:type="paragraph" w:customStyle="1" w:styleId="311">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312">
    <w:name w:val="Font Style32"/>
    <w:autoRedefine/>
    <w:qFormat/>
    <w:uiPriority w:val="0"/>
    <w:rPr>
      <w:rFonts w:ascii="宋体" w:hAnsi="Times New Roman" w:eastAsia="宋体" w:cs="宋体"/>
      <w:sz w:val="22"/>
      <w:szCs w:val="22"/>
      <w:lang w:val="en-US" w:eastAsia="zh-CN" w:bidi="ar-SA"/>
    </w:rPr>
  </w:style>
  <w:style w:type="character" w:customStyle="1" w:styleId="313">
    <w:name w:val="Unresolved Mention"/>
    <w:basedOn w:val="57"/>
    <w:semiHidden/>
    <w:unhideWhenUsed/>
    <w:qFormat/>
    <w:uiPriority w:val="99"/>
    <w:rPr>
      <w:color w:val="605E5C"/>
      <w:shd w:val="clear" w:color="auto" w:fill="E1DFDD"/>
    </w:rPr>
  </w:style>
  <w:style w:type="character" w:customStyle="1" w:styleId="314">
    <w:name w:val="MSG_EN_FONT_STYLE_NAME_TEMPLATE_ROLE_NUMBER MSG_EN_FONT_STYLE_NAME_BY_ROLE_TEXT 13 + MSG_EN_FONT_STYLE_MODIFER_SIZE 8.5"/>
    <w:qFormat/>
    <w:uiPriority w:val="99"/>
    <w:rPr>
      <w:rFonts w:ascii="@仿宋_GB2312" w:hAnsi="@仿宋_GB2312" w:eastAsia="@仿宋_GB2312" w:cs="@仿宋_GB2312"/>
      <w:color w:val="000000"/>
      <w:spacing w:val="0"/>
      <w:w w:val="100"/>
      <w:position w:val="0"/>
      <w:sz w:val="17"/>
      <w:szCs w:val="17"/>
      <w:u w:val="none"/>
      <w:shd w:val="clear" w:color="auto" w:fill="FFFFFF"/>
      <w:lang w:val="zh-CN" w:eastAsia="zh-CN" w:bidi="zh-CN"/>
    </w:rPr>
  </w:style>
  <w:style w:type="character" w:customStyle="1" w:styleId="315">
    <w:name w:val="MSG_EN_FONT_STYLE_NAME_TEMPLATE_ROLE_NUMBER MSG_EN_FONT_STYLE_NAME_BY_ROLE_TEXT 13_"/>
    <w:link w:val="316"/>
    <w:qFormat/>
    <w:uiPriority w:val="0"/>
    <w:rPr>
      <w:rFonts w:ascii="@仿宋_GB2312" w:hAnsi="@仿宋_GB2312" w:eastAsia="@仿宋_GB2312" w:cs="@仿宋_GB2312"/>
      <w:shd w:val="clear" w:color="auto" w:fill="FFFFFF"/>
    </w:rPr>
  </w:style>
  <w:style w:type="paragraph" w:customStyle="1" w:styleId="316">
    <w:name w:val="MSG_EN_FONT_STYLE_NAME_TEMPLATE_ROLE_NUMBER MSG_EN_FONT_STYLE_NAME_BY_ROLE_TEXT 131"/>
    <w:basedOn w:val="1"/>
    <w:link w:val="315"/>
    <w:qFormat/>
    <w:uiPriority w:val="0"/>
    <w:pPr>
      <w:shd w:val="clear" w:color="auto" w:fill="FFFFFF"/>
      <w:spacing w:before="340" w:after="160" w:line="398" w:lineRule="exact"/>
      <w:jc w:val="distribute"/>
    </w:pPr>
    <w:rPr>
      <w:rFonts w:ascii="@仿宋_GB2312" w:hAnsi="@仿宋_GB2312" w:eastAsia="@仿宋_GB2312" w:cs="@仿宋_GB2312"/>
      <w:kern w:val="0"/>
      <w:sz w:val="20"/>
      <w:szCs w:val="20"/>
    </w:rPr>
  </w:style>
  <w:style w:type="character" w:customStyle="1" w:styleId="317">
    <w:name w:val="MSG_EN_FONT_STYLE_NAME_TEMPLATE_ROLE_NUMBER MSG_EN_FONT_STYLE_NAME_BY_ROLE_TEXT 13 + MSG_EN_FONT_STYLE_MODIFER_SIZE 111"/>
    <w:qFormat/>
    <w:uiPriority w:val="0"/>
    <w:rPr>
      <w:rFonts w:ascii="@仿宋_GB2312" w:hAnsi="@仿宋_GB2312" w:eastAsia="@仿宋_GB2312" w:cs="@仿宋_GB2312"/>
      <w:color w:val="000000"/>
      <w:spacing w:val="0"/>
      <w:w w:val="100"/>
      <w:position w:val="0"/>
      <w:sz w:val="22"/>
      <w:szCs w:val="22"/>
      <w:u w:val="none"/>
      <w:shd w:val="clear" w:color="auto" w:fill="FFFFFF"/>
      <w:lang w:val="zh-CN" w:eastAsia="zh-CN" w:bidi="zh-CN"/>
    </w:rPr>
  </w:style>
  <w:style w:type="character" w:customStyle="1" w:styleId="318">
    <w:name w:val="纯文本 Char"/>
    <w:qFormat/>
    <w:uiPriority w:val="0"/>
    <w:rPr>
      <w:rFonts w:ascii="@仿宋_GB2312" w:hAnsi="@仿宋_GB2312" w:cs="@仿宋_GB2312"/>
      <w:kern w:val="2"/>
      <w:sz w:val="21"/>
      <w:szCs w:val="21"/>
    </w:rPr>
  </w:style>
  <w:style w:type="character" w:customStyle="1" w:styleId="319">
    <w:name w:val="正文文本 (6)_"/>
    <w:link w:val="320"/>
    <w:qFormat/>
    <w:uiPriority w:val="0"/>
    <w:rPr>
      <w:rFonts w:ascii="@仿宋_GB2312" w:hAnsi="@仿宋_GB2312" w:eastAsia="@仿宋_GB2312" w:cs="@仿宋_GB2312"/>
      <w:sz w:val="19"/>
      <w:szCs w:val="19"/>
      <w:shd w:val="clear" w:color="auto" w:fill="FFFFFF"/>
    </w:rPr>
  </w:style>
  <w:style w:type="paragraph" w:customStyle="1" w:styleId="320">
    <w:name w:val="正文文本 (6)"/>
    <w:basedOn w:val="1"/>
    <w:link w:val="319"/>
    <w:qFormat/>
    <w:uiPriority w:val="0"/>
    <w:pPr>
      <w:shd w:val="clear" w:color="auto" w:fill="FFFFFF"/>
      <w:spacing w:before="120" w:after="240" w:line="0" w:lineRule="atLeast"/>
      <w:jc w:val="center"/>
    </w:pPr>
    <w:rPr>
      <w:rFonts w:ascii="@仿宋_GB2312" w:hAnsi="@仿宋_GB2312" w:eastAsia="@仿宋_GB2312" w:cs="@仿宋_GB2312"/>
      <w:kern w:val="0"/>
      <w:sz w:val="19"/>
      <w:szCs w:val="19"/>
    </w:rPr>
  </w:style>
  <w:style w:type="paragraph" w:customStyle="1" w:styleId="321">
    <w:name w:val="msonormal"/>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22">
    <w:name w:val="MSG_EN_FONT_STYLE_NAME_TEMPLATE_ROLE_LEVEL MSG_EN_FONT_STYLE_NAME_BY_ROLE_HEADING 6"/>
    <w:basedOn w:val="1"/>
    <w:qFormat/>
    <w:uiPriority w:val="0"/>
    <w:pPr>
      <w:shd w:val="clear" w:color="auto" w:fill="FFFFFF"/>
      <w:spacing w:before="460" w:after="760" w:line="300" w:lineRule="exact"/>
      <w:jc w:val="distribute"/>
      <w:outlineLvl w:val="5"/>
    </w:pPr>
    <w:rPr>
      <w:rFonts w:ascii="@SJQY" w:hAnsi="@SJQY" w:eastAsia="@SJQY" w:cs="@SJQY"/>
      <w:sz w:val="30"/>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AB270-2156-485B-9CFA-DF4923A6D4EF}">
  <ds:schemaRefs/>
</ds:datastoreItem>
</file>

<file path=docProps/app.xml><?xml version="1.0" encoding="utf-8"?>
<Properties xmlns="http://schemas.openxmlformats.org/officeDocument/2006/extended-properties" xmlns:vt="http://schemas.openxmlformats.org/officeDocument/2006/docPropsVTypes">
  <Template>Normal</Template>
  <Pages>18</Pages>
  <Words>2349</Words>
  <Characters>2939</Characters>
  <Lines>2432</Lines>
  <Paragraphs>2499</Paragraphs>
  <TotalTime>1</TotalTime>
  <ScaleCrop>false</ScaleCrop>
  <LinksUpToDate>false</LinksUpToDate>
  <CharactersWithSpaces>2957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2018-05-07T07:49:00Z</dcterms:created>
  <dc:creator>lenovo</dc:creator>
  <cp:lastModifiedBy>lenovo</cp:lastModifiedBy>
  <dcterms:modified xsi:type="dcterms:W3CDTF">2025-06-05T02:45:11Z</dcterms:modified>
  <cp:revision>382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BB04EB7281D54A92A382D3E57C1B8627</vt:lpwstr>
  </property>
  <property fmtid="{D5CDD505-2E9C-101B-9397-08002B2CF9AE}" pid="4" name="KSOTemplateDocerSaveRecord">
    <vt:lpwstr>eyJoZGlkIjoiYzE4NTYxOGVkOTViODQxMjFmMWIxMzE5ZTRlOGE3NmUiLCJ1c2VySWQiOiI0MzA2NDQ1NzAifQ==</vt:lpwstr>
  </property>
</Properties>
</file>