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44488">
      <w:pPr>
        <w:keepLines w:val="0"/>
        <w:pageBreakBefore w:val="0"/>
        <w:kinsoku/>
        <w:wordWrap/>
        <w:overflowPunct/>
        <w:topLinePunct w:val="0"/>
        <w:bidi w:val="0"/>
        <w:spacing w:line="36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国道集本线（G506）老虎哨至大甸子（榆林）段工程建设项目</w:t>
      </w:r>
      <w:r>
        <w:rPr>
          <w:rFonts w:hint="eastAsia" w:ascii="宋体" w:hAnsi="宋体" w:eastAsia="宋体" w:cs="宋体"/>
          <w:b/>
          <w:sz w:val="21"/>
          <w:szCs w:val="21"/>
          <w:lang w:eastAsia="zh-CN"/>
        </w:rPr>
        <w:t>勘察设计</w:t>
      </w:r>
    </w:p>
    <w:p w14:paraId="2966BAD2">
      <w:pPr>
        <w:keepLines w:val="0"/>
        <w:pageBreakBefore w:val="0"/>
        <w:kinsoku/>
        <w:wordWrap/>
        <w:overflowPunct/>
        <w:topLinePunct w:val="0"/>
        <w:bidi w:val="0"/>
        <w:spacing w:line="360" w:lineRule="exact"/>
        <w:jc w:val="center"/>
        <w:rPr>
          <w:rFonts w:hint="eastAsia" w:ascii="宋体" w:hAnsi="宋体" w:eastAsia="宋体" w:cs="宋体"/>
          <w:b/>
          <w:sz w:val="21"/>
          <w:szCs w:val="21"/>
        </w:rPr>
      </w:pPr>
      <w:bookmarkStart w:id="21" w:name="_GoBack"/>
      <w:bookmarkEnd w:id="21"/>
      <w:r>
        <w:rPr>
          <w:rFonts w:hint="eastAsia" w:ascii="宋体" w:hAnsi="宋体" w:eastAsia="宋体" w:cs="宋体"/>
          <w:b/>
          <w:sz w:val="21"/>
          <w:szCs w:val="21"/>
        </w:rPr>
        <w:t>招标文件公开内容</w:t>
      </w:r>
    </w:p>
    <w:p w14:paraId="6519C1BC">
      <w:pPr>
        <w:keepLines w:val="0"/>
        <w:pageBreakBefore w:val="0"/>
        <w:tabs>
          <w:tab w:val="center" w:pos="4819"/>
        </w:tabs>
        <w:kinsoku/>
        <w:wordWrap/>
        <w:overflowPunct/>
        <w:topLinePunct w:val="0"/>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Lines w:val="0"/>
        <w:pageBreakBefore w:val="0"/>
        <w:kinsoku/>
        <w:wordWrap/>
        <w:overflowPunct/>
        <w:topLinePunct w:val="0"/>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334F51A">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142DB9E8">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6193D2B2">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资质条件：见附录1</w:t>
            </w:r>
          </w:p>
          <w:p w14:paraId="27CF7B37">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20C8C6A4">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0D18BAF8">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highlight w:val="none"/>
              </w:rPr>
              <w:t>项目负责人资格：见附录4</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37C69583">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p w14:paraId="06A41588">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接受，应满足下列要求：</w:t>
            </w:r>
            <w:r>
              <w:rPr>
                <w:rFonts w:hint="eastAsia" w:ascii="宋体" w:hAnsi="宋体" w:eastAsia="宋体" w:cs="宋体"/>
                <w:sz w:val="21"/>
                <w:szCs w:val="21"/>
                <w:highlight w:val="none"/>
                <w:lang w:val="en-US" w:eastAsia="zh-CN"/>
              </w:rPr>
              <w:t>见第一章招标公告。</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EA79292">
            <w:pPr>
              <w:pStyle w:val="10"/>
              <w:keepNext/>
              <w:keepLines w:val="0"/>
              <w:pageBreakBefore w:val="0"/>
              <w:shd w:val="clear" w:color="auto" w:fill="auto"/>
              <w:kinsoku/>
              <w:wordWrap/>
              <w:overflowPunct/>
              <w:topLinePunct w:val="0"/>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0C7B442">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7498B1FB">
            <w:pPr>
              <w:pStyle w:val="10"/>
              <w:keepNext/>
              <w:keepLines w:val="0"/>
              <w:pageBreakBefore w:val="0"/>
              <w:shd w:val="clear" w:color="auto" w:fill="auto"/>
              <w:kinsoku/>
              <w:wordWrap/>
              <w:overflowPunct/>
              <w:topLinePunct w:val="0"/>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1E63638F">
            <w:pPr>
              <w:pStyle w:val="10"/>
              <w:keepNext/>
              <w:keepLines w:val="0"/>
              <w:pageBreakBefore w:val="0"/>
              <w:shd w:val="clear" w:color="auto" w:fill="auto"/>
              <w:kinsoku/>
              <w:wordWrap/>
              <w:overflowPunct/>
              <w:topLinePunct w:val="0"/>
              <w:bidi w:val="0"/>
              <w:spacing w:line="360" w:lineRule="exact"/>
              <w:ind w:firstLine="0" w:firstLineChars="0"/>
              <w:jc w:val="center"/>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bl>
    <w:p w14:paraId="5BEE6399">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bookmarkStart w:id="0" w:name="_Toc152045534"/>
      <w:bookmarkStart w:id="1" w:name="_Toc502741808"/>
      <w:bookmarkStart w:id="2" w:name="_Toc144974502"/>
      <w:bookmarkStart w:id="3" w:name="_Toc152042310"/>
      <w:bookmarkStart w:id="4" w:name="_Toc179632551"/>
      <w:bookmarkStart w:id="5" w:name="_Toc109385483"/>
      <w:r>
        <w:rPr>
          <w:rFonts w:hint="eastAsia" w:ascii="宋体" w:hAnsi="宋体" w:eastAsia="宋体" w:cs="宋体"/>
          <w:sz w:val="21"/>
          <w:szCs w:val="21"/>
          <w:highlight w:val="none"/>
        </w:rPr>
        <w:t>1.4投标人资格要求（适用于未进行资格预审的）</w:t>
      </w:r>
      <w:bookmarkEnd w:id="0"/>
      <w:bookmarkEnd w:id="1"/>
      <w:bookmarkEnd w:id="2"/>
      <w:bookmarkEnd w:id="3"/>
      <w:bookmarkEnd w:id="4"/>
    </w:p>
    <w:p w14:paraId="3A1C3A22">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1.4.1投标人应具备承担本标段勘察设计的资质条件、能力和信誉。</w:t>
      </w:r>
    </w:p>
    <w:p w14:paraId="06414426">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资质要求：见投标人须知前附表；</w:t>
      </w:r>
    </w:p>
    <w:p w14:paraId="01C25488">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业绩要求：见投标人须知前附表；</w:t>
      </w:r>
    </w:p>
    <w:p w14:paraId="0D1F77C8">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信誉要求：见投标人须知前附表；</w:t>
      </w:r>
    </w:p>
    <w:p w14:paraId="35CB4CDD">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项目负责人资格：见投标人须知前附表；</w:t>
      </w:r>
    </w:p>
    <w:p w14:paraId="5AF5A46D">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其他要求：见投标人须知前附表。</w:t>
      </w:r>
    </w:p>
    <w:p w14:paraId="47B4664B">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需要提交的相关证明材料见本章第3.5款的规定。</w:t>
      </w:r>
    </w:p>
    <w:p w14:paraId="51EC98AF">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1.4.2投标人须知前附表规定接受联合体投标的，联合体除应符合本章第1.4.1项和投标人须知前附表的要求外，还应遵守以下规定：</w:t>
      </w:r>
    </w:p>
    <w:p w14:paraId="5AFC7986">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联合体各方应按招标文件提供的格式签订联合体协议书，明确联合体牵头人和各方权利义务，并承诺就中标项目向招标人承担连带责任；</w:t>
      </w:r>
    </w:p>
    <w:p w14:paraId="628F81F2">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由同一专业的单位组成的联合体，按照资质等级较低的单位确定资质等级；</w:t>
      </w:r>
    </w:p>
    <w:p w14:paraId="6B427E33">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联合体各方不得再以自已名义单独或参加其他联合体在同一标段中投标；</w:t>
      </w:r>
    </w:p>
    <w:p w14:paraId="2975E649">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33901CFB">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尽管委任了联合体牵头人，但联合体各成员在投标、签订合同与履行合同过程中，仍负有连带的和各自的法律责任。</w:t>
      </w:r>
    </w:p>
    <w:p w14:paraId="56B88C54">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1.4.3投标人（包括联合体各成员）不得与本标段相关单位存在下列关联情形：</w:t>
      </w:r>
    </w:p>
    <w:p w14:paraId="24CFA448">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为招标人不具有独立法人资格的附属机构（单位）；</w:t>
      </w:r>
    </w:p>
    <w:p w14:paraId="4F68EB6C">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与招标人存在利害关系且可能影响招标公正性；</w:t>
      </w:r>
    </w:p>
    <w:p w14:paraId="22B4EB5C">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与本标段的其他投标人同为一个单位负责人；</w:t>
      </w:r>
    </w:p>
    <w:p w14:paraId="084B7C7A">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与本标段的其他投标人存在控股、管理关系；</w:t>
      </w:r>
    </w:p>
    <w:p w14:paraId="0292CC69">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为本标段的代建人；</w:t>
      </w:r>
    </w:p>
    <w:p w14:paraId="53A61B2C">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为本标段的招标代理机构；</w:t>
      </w:r>
    </w:p>
    <w:p w14:paraId="6E321BE9">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与本标段的代建人或招标代理机构同为一个法定代表人；</w:t>
      </w:r>
    </w:p>
    <w:p w14:paraId="1DFF0374">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与本标段的代建人或招标代理机构存在控股或参股关系；</w:t>
      </w:r>
    </w:p>
    <w:p w14:paraId="14BAC414">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法律法规或投标人须知前附表规定的其他情形。</w:t>
      </w:r>
    </w:p>
    <w:p w14:paraId="0BD4B4C2">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1.4.4投标人（包括联合体各成员）不得存在下列不良状况或不良信用记录：</w:t>
      </w:r>
    </w:p>
    <w:p w14:paraId="761FBB1E">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被省级及以上交通运输主管部门取消招标项目所在地的投标资格且处于有效期内；</w:t>
      </w:r>
    </w:p>
    <w:p w14:paraId="5BC690E8">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被责令停业，暂扣或吊销执照，或吊销资质证书；</w:t>
      </w:r>
    </w:p>
    <w:p w14:paraId="23F553F6">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进入清算程序，或被宣告破产，或其他丧失履约能力的情形；</w:t>
      </w:r>
    </w:p>
    <w:p w14:paraId="251617FD">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在国家企业信用信息公示系统（http://www.gsxt.gov.cn/)中被列入严重违法失信企业名单；</w:t>
      </w:r>
    </w:p>
    <w:p w14:paraId="5CB6403C">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在“信用中国”网站（http://www.creditchina.gov.cn/)中被列入失信被执行人名单；</w:t>
      </w:r>
    </w:p>
    <w:p w14:paraId="0A28B15D">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投标人或其法定代表人、拟委任的项目负责人在近三年内有行贿犯罪行为的；</w:t>
      </w:r>
    </w:p>
    <w:p w14:paraId="621301F5">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法律法规或投标人须知前附表规定的其他情形。</w:t>
      </w:r>
    </w:p>
    <w:p w14:paraId="0D32921C">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1.4.5投标人（包括联合体各成员）应进入交通运输部“全国公路建设市场监督管理系统（https://hwdms.mot.gov.cn</w:t>
      </w:r>
      <w:r>
        <w:rPr>
          <w:rFonts w:hint="eastAsia" w:ascii="宋体" w:hAnsi="宋体" w:eastAsia="宋体" w:cs="宋体"/>
          <w:sz w:val="21"/>
          <w:szCs w:val="21"/>
          <w:highlight w:val="none"/>
          <w:lang w:eastAsia="en-US"/>
        </w:rPr>
        <w:t>)</w:t>
      </w:r>
      <w:r>
        <w:rPr>
          <w:rFonts w:hint="eastAsia" w:ascii="宋体" w:hAnsi="宋体" w:eastAsia="宋体" w:cs="宋体"/>
          <w:sz w:val="21"/>
          <w:szCs w:val="21"/>
          <w:highlight w:val="none"/>
        </w:rPr>
        <w:t>”中的公路工程设计资质企业名录，且投标人名称和资质与该名录中的相应企业名称和资质完全一致。投标人不满足本项规定条件的，将被否决投标。</w:t>
      </w:r>
      <w:r>
        <w:rPr>
          <w:rFonts w:hint="eastAsia" w:ascii="宋体" w:hAnsi="宋体" w:eastAsia="宋体" w:cs="宋体"/>
          <w:sz w:val="21"/>
          <w:szCs w:val="21"/>
          <w:highlight w:val="none"/>
        </w:rPr>
        <w:footnoteReference w:id="0"/>
      </w:r>
    </w:p>
    <w:p w14:paraId="75AC0B78">
      <w:pPr>
        <w:keepLines w:val="0"/>
        <w:pageBreakBefore w:val="0"/>
        <w:kinsoku/>
        <w:wordWrap/>
        <w:overflowPunct/>
        <w:topLinePunct w:val="0"/>
        <w:bidi w:val="0"/>
        <w:spacing w:line="360" w:lineRule="exact"/>
        <w:rPr>
          <w:rFonts w:hint="eastAsia" w:ascii="宋体" w:hAnsi="宋体" w:eastAsia="宋体" w:cs="宋体"/>
          <w:sz w:val="21"/>
          <w:szCs w:val="21"/>
        </w:rPr>
      </w:pPr>
    </w:p>
    <w:bookmarkEnd w:id="5"/>
    <w:p w14:paraId="59A199E7">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6" w:name="_Toc17384"/>
      <w:bookmarkStart w:id="7" w:name="_Toc346800722"/>
      <w:r>
        <w:rPr>
          <w:rFonts w:hint="eastAsia" w:ascii="宋体" w:hAnsi="宋体" w:eastAsia="宋体" w:cs="宋体"/>
          <w:b/>
          <w:sz w:val="21"/>
          <w:szCs w:val="21"/>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6B5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0" w:type="dxa"/>
            <w:tcBorders>
              <w:top w:val="single" w:color="auto" w:sz="12" w:space="0"/>
              <w:left w:val="single" w:color="auto" w:sz="12" w:space="0"/>
              <w:right w:val="single" w:color="auto" w:sz="4" w:space="0"/>
            </w:tcBorders>
            <w:vAlign w:val="center"/>
          </w:tcPr>
          <w:p w14:paraId="05328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1" w:type="dxa"/>
            <w:tcBorders>
              <w:top w:val="single" w:color="auto" w:sz="12" w:space="0"/>
              <w:left w:val="single" w:color="auto" w:sz="4" w:space="0"/>
              <w:right w:val="single" w:color="auto" w:sz="12" w:space="0"/>
            </w:tcBorders>
            <w:vAlign w:val="center"/>
          </w:tcPr>
          <w:p w14:paraId="485F6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2BDA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vAlign w:val="center"/>
          </w:tcPr>
          <w:p w14:paraId="5B0E8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SJ01</w:t>
            </w:r>
          </w:p>
        </w:tc>
        <w:tc>
          <w:tcPr>
            <w:tcW w:w="8356" w:type="dxa"/>
            <w:tcBorders>
              <w:left w:val="single" w:color="auto" w:sz="4" w:space="0"/>
              <w:bottom w:val="single" w:color="auto" w:sz="12" w:space="0"/>
              <w:right w:val="single" w:color="auto" w:sz="12" w:space="0"/>
            </w:tcBorders>
            <w:vAlign w:val="center"/>
          </w:tcPr>
          <w:p w14:paraId="26F1D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p>
          <w:p w14:paraId="34397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20280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（3）工程设计公路行业（公路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交通工程</w:t>
            </w:r>
            <w:r>
              <w:rPr>
                <w:rFonts w:hint="eastAsia" w:ascii="宋体" w:hAnsi="宋体" w:eastAsia="宋体" w:cs="宋体"/>
                <w:sz w:val="21"/>
                <w:szCs w:val="21"/>
                <w:highlight w:val="none"/>
              </w:rPr>
              <w:t>）专业</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r>
              <w:rPr>
                <w:rFonts w:hint="eastAsia" w:ascii="宋体" w:hAnsi="宋体" w:eastAsia="宋体" w:cs="宋体"/>
                <w:sz w:val="21"/>
                <w:szCs w:val="21"/>
                <w:highlight w:val="none"/>
                <w:lang w:eastAsia="zh-CN"/>
              </w:rPr>
              <w:t>；</w:t>
            </w:r>
          </w:p>
        </w:tc>
      </w:tr>
    </w:tbl>
    <w:p w14:paraId="75386662">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8" w:name="_Toc51622568"/>
      <w:bookmarkStart w:id="9" w:name="_Toc15300"/>
      <w:r>
        <w:rPr>
          <w:rFonts w:hint="eastAsia" w:ascii="宋体" w:hAnsi="宋体" w:eastAsia="宋体" w:cs="宋体"/>
          <w:b/>
          <w:sz w:val="21"/>
          <w:szCs w:val="21"/>
          <w:highlight w:val="none"/>
        </w:rPr>
        <w:t>附录2资格审查条件（业绩最低要求）</w:t>
      </w:r>
      <w:bookmarkEnd w:id="8"/>
      <w:bookmarkEnd w:id="9"/>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5526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top w:val="single" w:color="auto" w:sz="12" w:space="0"/>
              <w:left w:val="single" w:color="auto" w:sz="12" w:space="0"/>
              <w:right w:val="single" w:color="auto" w:sz="4" w:space="0"/>
            </w:tcBorders>
            <w:vAlign w:val="center"/>
          </w:tcPr>
          <w:p w14:paraId="3A48BC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7F2489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51BE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vAlign w:val="center"/>
          </w:tcPr>
          <w:p w14:paraId="3300466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SJ01</w:t>
            </w:r>
          </w:p>
        </w:tc>
        <w:tc>
          <w:tcPr>
            <w:tcW w:w="8364" w:type="dxa"/>
            <w:tcBorders>
              <w:left w:val="single" w:color="auto" w:sz="4" w:space="0"/>
              <w:bottom w:val="single" w:color="auto" w:sz="12" w:space="0"/>
              <w:right w:val="single" w:color="auto" w:sz="12" w:space="0"/>
            </w:tcBorders>
            <w:vAlign w:val="center"/>
          </w:tcPr>
          <w:p w14:paraId="76DFDC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近五年内</w:t>
            </w:r>
            <w:r>
              <w:rPr>
                <w:rFonts w:hint="eastAsia" w:ascii="宋体" w:hAnsi="宋体" w:eastAsia="宋体" w:cs="宋体"/>
                <w:sz w:val="21"/>
                <w:szCs w:val="21"/>
                <w:highlight w:val="none"/>
              </w:rPr>
              <w:t>（</w:t>
            </w:r>
            <w:r>
              <w:rPr>
                <w:rFonts w:hint="eastAsia" w:ascii="宋体" w:hAnsi="宋体" w:eastAsia="宋体" w:cs="宋体"/>
                <w:sz w:val="21"/>
                <w:szCs w:val="21"/>
                <w:highlight w:val="none"/>
              </w:rPr>
              <w:t>指</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年1月1日至投标截止时间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以相应的批复时间为准</w:t>
            </w:r>
            <w:r>
              <w:rPr>
                <w:rFonts w:hint="eastAsia" w:ascii="宋体" w:hAnsi="宋体" w:eastAsia="宋体" w:cs="宋体"/>
                <w:sz w:val="21"/>
                <w:szCs w:val="21"/>
                <w:highlight w:val="none"/>
              </w:rPr>
              <w:t>）</w:t>
            </w:r>
            <w:r>
              <w:rPr>
                <w:rFonts w:hint="eastAsia" w:ascii="宋体" w:hAnsi="宋体" w:eastAsia="宋体" w:cs="宋体"/>
                <w:sz w:val="21"/>
                <w:szCs w:val="21"/>
                <w:highlight w:val="none"/>
              </w:rPr>
              <w:t>完成过</w:t>
            </w:r>
            <w:r>
              <w:rPr>
                <w:rFonts w:hint="eastAsia" w:ascii="宋体" w:hAnsi="宋体" w:eastAsia="宋体" w:cs="宋体"/>
                <w:sz w:val="21"/>
                <w:szCs w:val="21"/>
                <w:highlight w:val="none"/>
                <w:lang w:val="en-US" w:eastAsia="zh-CN"/>
              </w:rPr>
              <w:t>二级（含）以上</w:t>
            </w:r>
            <w:r>
              <w:rPr>
                <w:rFonts w:hint="eastAsia" w:ascii="宋体" w:hAnsi="宋体" w:eastAsia="宋体" w:cs="宋体"/>
                <w:sz w:val="21"/>
                <w:szCs w:val="21"/>
                <w:highlight w:val="none"/>
              </w:rPr>
              <w:t>公路</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设计</w:t>
            </w:r>
            <w:r>
              <w:rPr>
                <w:rFonts w:hint="eastAsia" w:ascii="宋体" w:hAnsi="宋体" w:eastAsia="宋体" w:cs="宋体"/>
                <w:sz w:val="21"/>
                <w:szCs w:val="21"/>
                <w:highlight w:val="none"/>
                <w:lang w:val="en-US" w:eastAsia="zh-CN"/>
              </w:rPr>
              <w:t>业绩累计不少于1</w:t>
            </w:r>
            <w:r>
              <w:rPr>
                <w:rFonts w:hint="eastAsia" w:ascii="宋体" w:hAnsi="宋体" w:eastAsia="宋体" w:cs="宋体"/>
                <w:sz w:val="21"/>
                <w:szCs w:val="21"/>
                <w:highlight w:val="none"/>
              </w:rPr>
              <w:t>0公里</w:t>
            </w:r>
            <w:r>
              <w:rPr>
                <w:rFonts w:hint="eastAsia" w:ascii="宋体" w:hAnsi="宋体" w:eastAsia="宋体" w:cs="宋体"/>
                <w:sz w:val="21"/>
                <w:szCs w:val="21"/>
                <w:highlight w:val="none"/>
              </w:rPr>
              <w:t>（一级公路和高速公路业绩全幅按2倍长度计算、半幅按1倍长度计算）</w:t>
            </w:r>
            <w:r>
              <w:rPr>
                <w:rFonts w:hint="eastAsia" w:ascii="宋体" w:hAnsi="宋体" w:eastAsia="宋体" w:cs="宋体"/>
                <w:sz w:val="21"/>
                <w:szCs w:val="21"/>
                <w:highlight w:val="none"/>
                <w:lang w:eastAsia="zh-CN"/>
              </w:rPr>
              <w:t>。</w:t>
            </w:r>
          </w:p>
          <w:p w14:paraId="6F25CD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注：设计业绩的具体要求见第一章招标公告。</w:t>
            </w:r>
          </w:p>
        </w:tc>
      </w:tr>
    </w:tbl>
    <w:p w14:paraId="37A73E7E">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10" w:name="_Toc261"/>
      <w:bookmarkStart w:id="11" w:name="_Toc51622569"/>
      <w:r>
        <w:rPr>
          <w:rFonts w:hint="eastAsia" w:ascii="宋体" w:hAnsi="宋体" w:eastAsia="宋体" w:cs="宋体"/>
          <w:b/>
          <w:sz w:val="21"/>
          <w:szCs w:val="21"/>
          <w:highlight w:val="none"/>
        </w:rPr>
        <w:t>附录3资格审查条件（信誉最低要求）</w:t>
      </w:r>
      <w:bookmarkEnd w:id="10"/>
      <w:bookmarkEnd w:id="11"/>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7"/>
      </w:tblGrid>
      <w:tr w14:paraId="47B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top w:val="single" w:color="auto" w:sz="12" w:space="0"/>
              <w:left w:val="single" w:color="auto" w:sz="12" w:space="0"/>
              <w:right w:val="single" w:color="auto" w:sz="12" w:space="0"/>
            </w:tcBorders>
            <w:vAlign w:val="center"/>
          </w:tcPr>
          <w:p w14:paraId="6A7F5F9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6952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left w:val="single" w:color="auto" w:sz="12" w:space="0"/>
              <w:bottom w:val="single" w:color="auto" w:sz="12" w:space="0"/>
              <w:right w:val="single" w:color="auto" w:sz="12" w:space="0"/>
            </w:tcBorders>
            <w:vAlign w:val="center"/>
          </w:tcPr>
          <w:p w14:paraId="78481818">
            <w:pPr>
              <w:keepNext w:val="0"/>
              <w:keepLines w:val="0"/>
              <w:pageBreakBefore w:val="0"/>
              <w:suppressLineNumbers w:val="0"/>
              <w:kinsoku/>
              <w:wordWrap/>
              <w:overflowPunct/>
              <w:topLinePunct w:val="0"/>
              <w:bidi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2FB4C5ED">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12" w:name="_Toc26100"/>
      <w:bookmarkStart w:id="13" w:name="_Toc51622570"/>
      <w:bookmarkStart w:id="14" w:name="_Toc411418983"/>
      <w:r>
        <w:rPr>
          <w:rFonts w:hint="eastAsia" w:ascii="宋体" w:hAnsi="宋体" w:eastAsia="宋体" w:cs="宋体"/>
          <w:b/>
          <w:sz w:val="21"/>
          <w:szCs w:val="21"/>
          <w:highlight w:val="none"/>
        </w:rPr>
        <w:t>附录4资格审查条件（项目负责人最低要求）</w:t>
      </w:r>
      <w:bookmarkEnd w:id="12"/>
      <w:bookmarkEnd w:id="13"/>
      <w:bookmarkEnd w:id="14"/>
    </w:p>
    <w:tbl>
      <w:tblPr>
        <w:tblStyle w:val="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179"/>
        <w:gridCol w:w="6707"/>
      </w:tblGrid>
      <w:tr w14:paraId="3B4E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67" w:type="dxa"/>
            <w:vMerge w:val="restart"/>
            <w:tcBorders>
              <w:top w:val="single" w:color="auto" w:sz="12" w:space="0"/>
              <w:left w:val="single" w:color="auto" w:sz="12" w:space="0"/>
              <w:right w:val="single" w:color="auto" w:sz="4" w:space="0"/>
            </w:tcBorders>
            <w:vAlign w:val="center"/>
          </w:tcPr>
          <w:p w14:paraId="0D8ED8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179" w:type="dxa"/>
            <w:tcBorders>
              <w:top w:val="single" w:color="auto" w:sz="12" w:space="0"/>
              <w:left w:val="single" w:color="auto" w:sz="4" w:space="0"/>
              <w:bottom w:val="single" w:color="auto" w:sz="4" w:space="0"/>
              <w:right w:val="single" w:color="auto" w:sz="4" w:space="0"/>
            </w:tcBorders>
            <w:vAlign w:val="center"/>
          </w:tcPr>
          <w:p w14:paraId="4796A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lang w:eastAsia="zh-CN"/>
              </w:rPr>
              <w:t>）</w:t>
            </w:r>
          </w:p>
        </w:tc>
        <w:tc>
          <w:tcPr>
            <w:tcW w:w="6707" w:type="dxa"/>
            <w:vMerge w:val="restart"/>
            <w:tcBorders>
              <w:top w:val="single" w:color="auto" w:sz="12" w:space="0"/>
              <w:left w:val="single" w:color="auto" w:sz="4" w:space="0"/>
              <w:right w:val="single" w:color="auto" w:sz="12" w:space="0"/>
            </w:tcBorders>
            <w:vAlign w:val="center"/>
          </w:tcPr>
          <w:p w14:paraId="69C6C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 格 要 求</w:t>
            </w:r>
          </w:p>
        </w:tc>
      </w:tr>
      <w:tr w14:paraId="11C2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67" w:type="dxa"/>
            <w:vMerge w:val="continue"/>
            <w:tcBorders>
              <w:left w:val="single" w:color="auto" w:sz="12" w:space="0"/>
              <w:right w:val="single" w:color="auto" w:sz="4" w:space="0"/>
            </w:tcBorders>
            <w:vAlign w:val="center"/>
          </w:tcPr>
          <w:p w14:paraId="306BD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51CF4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SJ01</w:t>
            </w:r>
          </w:p>
        </w:tc>
        <w:tc>
          <w:tcPr>
            <w:tcW w:w="6707" w:type="dxa"/>
            <w:vMerge w:val="continue"/>
            <w:tcBorders>
              <w:left w:val="single" w:color="auto" w:sz="4" w:space="0"/>
              <w:bottom w:val="single" w:color="auto" w:sz="4" w:space="0"/>
              <w:right w:val="single" w:color="auto" w:sz="12" w:space="0"/>
            </w:tcBorders>
            <w:vAlign w:val="center"/>
          </w:tcPr>
          <w:p w14:paraId="1471A0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p>
        </w:tc>
      </w:tr>
      <w:tr w14:paraId="5DD5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67" w:type="dxa"/>
            <w:tcBorders>
              <w:left w:val="single" w:color="auto" w:sz="12" w:space="0"/>
              <w:bottom w:val="single" w:color="auto" w:sz="12" w:space="0"/>
              <w:right w:val="single" w:color="auto" w:sz="4" w:space="0"/>
            </w:tcBorders>
            <w:vAlign w:val="center"/>
          </w:tcPr>
          <w:p w14:paraId="3A249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1179" w:type="dxa"/>
            <w:tcBorders>
              <w:top w:val="single" w:color="auto" w:sz="4" w:space="0"/>
              <w:left w:val="single" w:color="auto" w:sz="4" w:space="0"/>
              <w:bottom w:val="single" w:color="auto" w:sz="12" w:space="0"/>
              <w:right w:val="single" w:color="auto" w:sz="4" w:space="0"/>
            </w:tcBorders>
            <w:vAlign w:val="center"/>
          </w:tcPr>
          <w:p w14:paraId="4C6D9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707" w:type="dxa"/>
            <w:tcBorders>
              <w:top w:val="single" w:color="auto" w:sz="4" w:space="0"/>
              <w:left w:val="single" w:color="auto" w:sz="4" w:space="0"/>
              <w:bottom w:val="single" w:color="auto" w:sz="12" w:space="0"/>
              <w:right w:val="single" w:color="auto" w:sz="12" w:space="0"/>
            </w:tcBorders>
            <w:vAlign w:val="center"/>
          </w:tcPr>
          <w:p w14:paraId="60189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（1）投标人自有人员</w:t>
            </w:r>
            <w:r>
              <w:rPr>
                <w:rFonts w:hint="eastAsia" w:ascii="宋体" w:hAnsi="宋体" w:eastAsia="宋体" w:cs="宋体"/>
                <w:sz w:val="21"/>
                <w:szCs w:val="21"/>
                <w:highlight w:val="none"/>
              </w:rPr>
              <w:t>（以联合体投标的，项目负责人必须为联合体牵头人自有人员）</w:t>
            </w:r>
            <w:r>
              <w:rPr>
                <w:rFonts w:hint="eastAsia" w:ascii="宋体" w:hAnsi="宋体" w:eastAsia="宋体" w:cs="宋体"/>
                <w:sz w:val="21"/>
                <w:szCs w:val="21"/>
                <w:highlight w:val="none"/>
                <w:vertAlign w:val="superscript"/>
              </w:rPr>
              <w:footnoteReference w:id="1"/>
            </w:r>
            <w:r>
              <w:rPr>
                <w:rFonts w:hint="eastAsia" w:ascii="宋体" w:hAnsi="宋体" w:eastAsia="宋体" w:cs="宋体"/>
                <w:sz w:val="21"/>
                <w:szCs w:val="21"/>
                <w:highlight w:val="none"/>
              </w:rPr>
              <w:t>；</w:t>
            </w:r>
          </w:p>
          <w:p w14:paraId="114F1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（2）公路工程相关专业</w:t>
            </w:r>
            <w:r>
              <w:rPr>
                <w:rFonts w:hint="eastAsia" w:ascii="宋体" w:hAnsi="宋体" w:eastAsia="宋体" w:cs="宋体"/>
                <w:sz w:val="21"/>
                <w:szCs w:val="21"/>
                <w:highlight w:val="none"/>
                <w:vertAlign w:val="superscript"/>
              </w:rPr>
              <w:footnoteReference w:id="2"/>
            </w:r>
            <w:r>
              <w:rPr>
                <w:rFonts w:hint="eastAsia" w:ascii="宋体" w:hAnsi="宋体" w:eastAsia="宋体" w:cs="宋体"/>
                <w:sz w:val="21"/>
                <w:szCs w:val="21"/>
                <w:highlight w:val="none"/>
                <w:lang w:val="en-US" w:eastAsia="zh-CN"/>
              </w:rPr>
              <w:t>中级职称</w:t>
            </w:r>
            <w:r>
              <w:rPr>
                <w:rFonts w:hint="eastAsia" w:ascii="宋体" w:hAnsi="宋体" w:eastAsia="宋体" w:cs="宋体"/>
                <w:sz w:val="21"/>
                <w:szCs w:val="21"/>
                <w:highlight w:val="none"/>
              </w:rPr>
              <w:t>；</w:t>
            </w:r>
          </w:p>
          <w:p w14:paraId="749EC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担任过一项二级（含二级）以上公路工程勘察设计的项目负责人或</w:t>
            </w:r>
            <w:r>
              <w:rPr>
                <w:rFonts w:hint="eastAsia" w:ascii="宋体" w:hAnsi="宋体" w:eastAsia="宋体" w:cs="宋体"/>
                <w:sz w:val="21"/>
                <w:szCs w:val="21"/>
                <w:highlight w:val="none"/>
                <w:lang w:val="en-US" w:eastAsia="zh-CN"/>
              </w:rPr>
              <w:t>分项</w:t>
            </w:r>
            <w:r>
              <w:rPr>
                <w:rFonts w:hint="eastAsia" w:ascii="宋体" w:hAnsi="宋体" w:eastAsia="宋体" w:cs="宋体"/>
                <w:sz w:val="21"/>
                <w:szCs w:val="21"/>
                <w:highlight w:val="none"/>
              </w:rPr>
              <w:t>负责人。</w:t>
            </w:r>
          </w:p>
          <w:p w14:paraId="5F9B6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val="zh-CN"/>
              </w:rPr>
              <w:t>项目负责人任职业绩应是交通运输部“全国公路建设市场监督管理系统”或省级交通运输主管部门“公路建设市场信用信息管理系统”已载明的任职业绩。</w:t>
            </w:r>
          </w:p>
        </w:tc>
      </w:tr>
    </w:tbl>
    <w:p w14:paraId="175C371E">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rPr>
      </w:pPr>
      <w:r>
        <w:rPr>
          <w:rFonts w:hint="eastAsia" w:ascii="宋体" w:hAnsi="宋体" w:eastAsia="宋体" w:cs="宋体"/>
          <w:b/>
          <w:sz w:val="21"/>
          <w:szCs w:val="21"/>
        </w:rPr>
        <w:br w:type="page"/>
      </w:r>
      <w:bookmarkEnd w:id="7"/>
    </w:p>
    <w:p w14:paraId="47BB395D">
      <w:pPr>
        <w:keepLines w:val="0"/>
        <w:pageBreakBefore w:val="0"/>
        <w:widowControl/>
        <w:kinsoku/>
        <w:wordWrap/>
        <w:overflowPunct/>
        <w:topLinePunct w:val="0"/>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Lines w:val="0"/>
        <w:pageBreakBefore w:val="0"/>
        <w:widowControl/>
        <w:kinsoku/>
        <w:wordWrap/>
        <w:overflowPunct/>
        <w:topLinePunct w:val="0"/>
        <w:bidi w:val="0"/>
        <w:spacing w:line="360" w:lineRule="exact"/>
        <w:jc w:val="center"/>
        <w:rPr>
          <w:rFonts w:hint="eastAsia" w:ascii="宋体" w:hAnsi="宋体" w:eastAsia="宋体" w:cs="宋体"/>
          <w:b/>
          <w:sz w:val="21"/>
          <w:szCs w:val="21"/>
        </w:rPr>
      </w:pPr>
      <w:bookmarkStart w:id="15" w:name="_Toc505091277"/>
      <w:bookmarkStart w:id="16" w:name="_Toc520285006"/>
      <w:bookmarkStart w:id="17" w:name="_Toc80536764"/>
      <w:r>
        <w:rPr>
          <w:rFonts w:hint="eastAsia" w:ascii="宋体" w:hAnsi="宋体" w:eastAsia="宋体" w:cs="宋体"/>
          <w:b/>
          <w:sz w:val="21"/>
          <w:szCs w:val="21"/>
        </w:rPr>
        <w:t>评标办法（综合评估法）</w:t>
      </w:r>
    </w:p>
    <w:bookmarkEnd w:id="15"/>
    <w:bookmarkEnd w:id="16"/>
    <w:bookmarkEnd w:id="17"/>
    <w:p w14:paraId="4258B151">
      <w:pPr>
        <w:keepLines w:val="0"/>
        <w:pageBreakBefore w:val="0"/>
        <w:kinsoku/>
        <w:wordWrap/>
        <w:overflowPunct/>
        <w:topLinePunct w:val="0"/>
        <w:bidi w:val="0"/>
        <w:spacing w:line="360" w:lineRule="exact"/>
        <w:rPr>
          <w:rFonts w:hint="eastAsia" w:ascii="宋体" w:hAnsi="宋体" w:eastAsia="宋体" w:cs="宋体"/>
          <w:b/>
          <w:bCs/>
          <w:w w:val="105"/>
          <w:sz w:val="21"/>
          <w:szCs w:val="21"/>
          <w:highlight w:val="none"/>
        </w:rPr>
      </w:pPr>
      <w:r>
        <w:rPr>
          <w:rFonts w:hint="eastAsia" w:ascii="宋体" w:hAnsi="宋体" w:eastAsia="宋体" w:cs="宋体"/>
          <w:b/>
          <w:bCs/>
          <w:w w:val="105"/>
          <w:sz w:val="21"/>
          <w:szCs w:val="21"/>
          <w:highlight w:val="none"/>
        </w:rPr>
        <w:t>评标办法前附表</w:t>
      </w:r>
    </w:p>
    <w:tbl>
      <w:tblPr>
        <w:tblStyle w:val="6"/>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47A5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6" w:type="dxa"/>
            <w:gridSpan w:val="2"/>
            <w:shd w:val="clear" w:color="auto" w:fill="auto"/>
            <w:vAlign w:val="center"/>
          </w:tcPr>
          <w:p w14:paraId="53399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536" w:type="dxa"/>
            <w:shd w:val="clear" w:color="auto" w:fill="auto"/>
            <w:vAlign w:val="center"/>
          </w:tcPr>
          <w:p w14:paraId="77E0BF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6637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03838BD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3" w:type="dxa"/>
            <w:shd w:val="clear" w:color="auto" w:fill="auto"/>
            <w:vAlign w:val="center"/>
          </w:tcPr>
          <w:p w14:paraId="05386D85">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536" w:type="dxa"/>
            <w:shd w:val="clear" w:color="auto" w:fill="auto"/>
          </w:tcPr>
          <w:p w14:paraId="78900D91">
            <w:pPr>
              <w:pStyle w:val="13"/>
              <w:keepNext w:val="0"/>
              <w:keepLines w:val="0"/>
              <w:pageBreakBefore w:val="0"/>
              <w:widowControl w:val="0"/>
              <w:suppressLineNumbers w:val="0"/>
              <w:shd w:val="clear" w:color="auto" w:fill="auto"/>
              <w:tabs>
                <w:tab w:val="left" w:pos="735"/>
              </w:tabs>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综合评分相等时，评标委员会依次按照以下优先顺序推荐中标候选人：</w:t>
            </w:r>
          </w:p>
          <w:p w14:paraId="222FCB22">
            <w:pPr>
              <w:pStyle w:val="13"/>
              <w:keepNext w:val="0"/>
              <w:keepLines w:val="0"/>
              <w:pageBreakBefore w:val="0"/>
              <w:widowControl w:val="0"/>
              <w:suppressLineNumbers w:val="0"/>
              <w:shd w:val="clear" w:color="auto" w:fill="auto"/>
              <w:tabs>
                <w:tab w:val="left" w:pos="735"/>
                <w:tab w:val="left" w:pos="1070"/>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评标价低的投标人优先；</w:t>
            </w:r>
          </w:p>
          <w:p w14:paraId="0536D2BD">
            <w:pPr>
              <w:pStyle w:val="13"/>
              <w:keepNext w:val="0"/>
              <w:keepLines w:val="0"/>
              <w:pageBreakBefore w:val="0"/>
              <w:widowControl w:val="0"/>
              <w:suppressLineNumbers w:val="0"/>
              <w:shd w:val="clear" w:color="auto" w:fill="auto"/>
              <w:tabs>
                <w:tab w:val="left" w:pos="735"/>
                <w:tab w:val="left" w:pos="107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信誉</w:t>
            </w:r>
            <w:r>
              <w:rPr>
                <w:rFonts w:hint="eastAsia" w:ascii="宋体" w:hAnsi="宋体" w:eastAsia="宋体" w:cs="宋体"/>
                <w:sz w:val="21"/>
                <w:szCs w:val="21"/>
                <w:highlight w:val="none"/>
              </w:rPr>
              <w:t>得分较高的投标人优先；</w:t>
            </w:r>
          </w:p>
          <w:p w14:paraId="76C780A1">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val="en-US" w:eastAsia="zh-CN"/>
              </w:rPr>
              <w:t>人员</w:t>
            </w:r>
            <w:r>
              <w:rPr>
                <w:rFonts w:hint="eastAsia" w:ascii="宋体" w:hAnsi="宋体" w:eastAsia="宋体" w:cs="宋体"/>
                <w:sz w:val="21"/>
                <w:szCs w:val="21"/>
                <w:highlight w:val="none"/>
              </w:rPr>
              <w:t>得分较高的投标人优先；</w:t>
            </w:r>
          </w:p>
          <w:p w14:paraId="744B1473">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（4）评标委员会投票决定。</w:t>
            </w:r>
          </w:p>
        </w:tc>
      </w:tr>
      <w:tr w14:paraId="25B5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5BA3ABA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0CA04EA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73" w:type="dxa"/>
            <w:shd w:val="clear" w:color="auto" w:fill="auto"/>
            <w:vAlign w:val="center"/>
          </w:tcPr>
          <w:p w14:paraId="1E319895">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536" w:type="dxa"/>
            <w:shd w:val="clear" w:color="auto" w:fill="auto"/>
          </w:tcPr>
          <w:p w14:paraId="064270F3">
            <w:pPr>
              <w:pStyle w:val="13"/>
              <w:keepNext w:val="0"/>
              <w:keepLines w:val="0"/>
              <w:pageBreakBefore w:val="0"/>
              <w:widowControl w:val="0"/>
              <w:suppressLineNumbers w:val="0"/>
              <w:shd w:val="clear" w:color="auto" w:fill="auto"/>
              <w:tabs>
                <w:tab w:val="left" w:pos="735"/>
              </w:tabs>
              <w:kinsoku/>
              <w:wordWrap/>
              <w:overflowPunct/>
              <w:topLinePunct w:val="0"/>
              <w:autoSpaceDE/>
              <w:autoSpaceDN/>
              <w:bidi w:val="0"/>
              <w:spacing w:before="0" w:beforeAutospacing="0" w:after="0" w:afterAutospacing="0" w:line="360" w:lineRule="exact"/>
              <w:ind w:left="0" w:right="0"/>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第一个信封（商务及技术文件）评审标准：</w:t>
            </w:r>
          </w:p>
          <w:p w14:paraId="020A2818">
            <w:pPr>
              <w:pStyle w:val="13"/>
              <w:keepNext w:val="0"/>
              <w:keepLines w:val="0"/>
              <w:pageBreakBefore w:val="0"/>
              <w:widowControl w:val="0"/>
              <w:suppressLineNumbers w:val="0"/>
              <w:shd w:val="clear" w:color="auto" w:fill="auto"/>
              <w:tabs>
                <w:tab w:val="left" w:pos="735"/>
                <w:tab w:val="left" w:pos="946"/>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投标文件按照招标文件规定的格式</w:t>
            </w:r>
            <w:r>
              <w:rPr>
                <w:rFonts w:hint="eastAsia" w:ascii="宋体" w:hAnsi="宋体" w:eastAsia="宋体" w:cs="宋体"/>
                <w:sz w:val="21"/>
                <w:szCs w:val="21"/>
                <w:highlight w:val="none"/>
              </w:rPr>
              <w:t>、</w:t>
            </w:r>
            <w:r>
              <w:rPr>
                <w:rFonts w:hint="eastAsia" w:ascii="宋体" w:hAnsi="宋体" w:eastAsia="宋体" w:cs="宋体"/>
                <w:sz w:val="21"/>
                <w:szCs w:val="21"/>
                <w:highlight w:val="none"/>
              </w:rPr>
              <w:t>内容填写，字迹清晰</w:t>
            </w:r>
            <w:r>
              <w:rPr>
                <w:rFonts w:hint="eastAsia" w:ascii="宋体" w:hAnsi="宋体" w:eastAsia="宋体" w:cs="宋体"/>
                <w:sz w:val="21"/>
                <w:szCs w:val="21"/>
                <w:highlight w:val="none"/>
              </w:rPr>
              <w:t>可</w:t>
            </w:r>
            <w:r>
              <w:rPr>
                <w:rFonts w:hint="eastAsia" w:ascii="宋体" w:hAnsi="宋体" w:eastAsia="宋体" w:cs="宋体"/>
                <w:sz w:val="21"/>
                <w:szCs w:val="21"/>
                <w:highlight w:val="none"/>
              </w:rPr>
              <w:t>辨：</w:t>
            </w:r>
          </w:p>
          <w:p w14:paraId="2DF27250">
            <w:pPr>
              <w:pStyle w:val="13"/>
              <w:keepNext w:val="0"/>
              <w:keepLines w:val="0"/>
              <w:pageBreakBefore w:val="0"/>
              <w:widowControl w:val="0"/>
              <w:suppressLineNumbers w:val="0"/>
              <w:shd w:val="clear" w:color="auto" w:fill="auto"/>
              <w:tabs>
                <w:tab w:val="left" w:pos="566"/>
                <w:tab w:val="left" w:pos="735"/>
              </w:tabs>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z w:val="21"/>
                <w:szCs w:val="21"/>
                <w:highlight w:val="none"/>
              </w:rPr>
              <w:t>投标函按招标文件规定填报了项目名称、标段号、补遗书编号（如有)、勘察设计服务期限、工程质量要求及安全目标；</w:t>
            </w:r>
          </w:p>
          <w:p w14:paraId="558DAB78">
            <w:pPr>
              <w:pStyle w:val="13"/>
              <w:keepNext w:val="0"/>
              <w:keepLines w:val="0"/>
              <w:pageBreakBefore w:val="0"/>
              <w:widowControl w:val="0"/>
              <w:suppressLineNumbers w:val="0"/>
              <w:shd w:val="clear" w:color="auto" w:fill="auto"/>
              <w:tabs>
                <w:tab w:val="left" w:pos="168"/>
                <w:tab w:val="left" w:pos="735"/>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w:t>
            </w:r>
            <w:r>
              <w:rPr>
                <w:rFonts w:hint="eastAsia" w:ascii="宋体" w:hAnsi="宋体" w:eastAsia="宋体" w:cs="宋体"/>
                <w:sz w:val="21"/>
                <w:szCs w:val="21"/>
                <w:highlight w:val="none"/>
              </w:rPr>
              <w:t>投标文件组成齐全完整，内容均按规定填写。</w:t>
            </w:r>
          </w:p>
          <w:p w14:paraId="6BC98F2C">
            <w:pPr>
              <w:pStyle w:val="13"/>
              <w:keepNext w:val="0"/>
              <w:keepLines w:val="0"/>
              <w:pageBreakBefore w:val="0"/>
              <w:widowControl w:val="0"/>
              <w:suppressLineNumbers w:val="0"/>
              <w:shd w:val="clear" w:color="auto" w:fill="auto"/>
              <w:tabs>
                <w:tab w:val="left" w:pos="735"/>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投标文件上法定代表人或其委托代理人的签字、投标人的单位章盖章齐全，符合招标文件规定。</w:t>
            </w:r>
          </w:p>
          <w:p w14:paraId="6BA63186">
            <w:pPr>
              <w:pStyle w:val="13"/>
              <w:keepNext w:val="0"/>
              <w:keepLines w:val="0"/>
              <w:pageBreakBefore w:val="0"/>
              <w:widowControl w:val="0"/>
              <w:suppressLineNumbers w:val="0"/>
              <w:shd w:val="clear" w:color="auto" w:fill="auto"/>
              <w:tabs>
                <w:tab w:val="left" w:pos="735"/>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投标人按照招标文件的规定提供了投标保证金：</w:t>
            </w:r>
          </w:p>
          <w:p w14:paraId="02D465F5">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投标保证金金额符合招标文件规定的金额，且投标保证金有效期不少于投标有效期；</w:t>
            </w:r>
          </w:p>
          <w:p w14:paraId="6B1C4D90">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b.</w:t>
            </w:r>
            <w:r>
              <w:rPr>
                <w:rStyle w:val="15"/>
                <w:rFonts w:hint="eastAsia" w:ascii="宋体" w:hAnsi="宋体" w:eastAsia="宋体" w:cs="宋体"/>
                <w:color w:val="auto"/>
                <w:sz w:val="21"/>
                <w:szCs w:val="21"/>
                <w:highlight w:val="none"/>
                <w:shd w:val="clear" w:color="auto" w:fill="auto"/>
              </w:rPr>
              <w:t>若投标保证金采用现金或支票形式提交，投标人应在招标文件规定的递交截止时间之前，将投标保证金由投标人的基本账户转入招标人指定账户；</w:t>
            </w:r>
          </w:p>
          <w:p w14:paraId="6E2DE2D8">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bidi="en-US"/>
              </w:rPr>
              <w:t>c</w:t>
            </w:r>
            <w:r>
              <w:rPr>
                <w:rFonts w:hint="eastAsia" w:ascii="宋体" w:hAnsi="宋体" w:eastAsia="宋体" w:cs="宋体"/>
                <w:b/>
                <w:bCs/>
                <w:color w:val="auto"/>
                <w:sz w:val="21"/>
                <w:szCs w:val="21"/>
                <w:highlight w:val="none"/>
                <w:lang w:bidi="en-US"/>
              </w:rPr>
              <w:t>.</w:t>
            </w:r>
            <w:r>
              <w:rPr>
                <w:rFonts w:hint="eastAsia" w:ascii="宋体" w:hAnsi="宋体" w:eastAsia="宋体" w:cs="宋体"/>
                <w:color w:val="auto"/>
                <w:sz w:val="21"/>
                <w:szCs w:val="21"/>
                <w:highlight w:val="none"/>
                <w:lang w:bidi="zh-TW"/>
              </w:rPr>
              <w:t>若投标保证金采用保函形式提交，</w:t>
            </w:r>
            <w:r>
              <w:rPr>
                <w:rFonts w:hint="eastAsia" w:ascii="宋体" w:hAnsi="宋体" w:eastAsia="宋体" w:cs="宋体"/>
                <w:color w:val="auto"/>
                <w:sz w:val="21"/>
                <w:szCs w:val="21"/>
                <w:highlight w:val="none"/>
                <w:lang w:val="en-US" w:eastAsia="zh-CN" w:bidi="zh-TW"/>
              </w:rPr>
              <w:t>保函的实质性内容</w:t>
            </w:r>
            <w:r>
              <w:rPr>
                <w:rFonts w:hint="eastAsia" w:ascii="宋体" w:hAnsi="宋体" w:eastAsia="宋体" w:cs="宋体"/>
                <w:bCs/>
                <w:color w:val="auto"/>
                <w:sz w:val="21"/>
                <w:szCs w:val="21"/>
                <w:highlight w:val="none"/>
              </w:rPr>
              <w:t>应满足</w:t>
            </w:r>
            <w:r>
              <w:rPr>
                <w:rFonts w:hint="eastAsia" w:ascii="宋体" w:hAnsi="宋体" w:eastAsia="宋体" w:cs="宋体"/>
                <w:bCs/>
                <w:color w:val="auto"/>
                <w:sz w:val="21"/>
                <w:szCs w:val="21"/>
                <w:highlight w:val="none"/>
                <w:lang w:val="en-US" w:eastAsia="zh-CN"/>
              </w:rPr>
              <w:t>招标文件要求</w:t>
            </w:r>
            <w:r>
              <w:rPr>
                <w:rFonts w:hint="eastAsia" w:ascii="宋体" w:hAnsi="宋体" w:eastAsia="宋体" w:cs="宋体"/>
                <w:bCs/>
                <w:color w:val="auto"/>
                <w:sz w:val="21"/>
                <w:szCs w:val="21"/>
                <w:highlight w:val="none"/>
                <w:lang w:val="zh-CN"/>
              </w:rPr>
              <w:t>。</w:t>
            </w:r>
          </w:p>
          <w:p w14:paraId="5D14ADBC">
            <w:pPr>
              <w:pStyle w:val="13"/>
              <w:keepNext w:val="0"/>
              <w:keepLines w:val="0"/>
              <w:pageBreakBefore w:val="0"/>
              <w:widowControl w:val="0"/>
              <w:suppressLineNumbers w:val="0"/>
              <w:shd w:val="clear" w:color="auto" w:fill="auto"/>
              <w:tabs>
                <w:tab w:val="left" w:pos="950"/>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4</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投标人法定代表人授权委托代理人签署投标文件的，须提交授权委托书，且授权人和被授权人均在授权委托书上签名。</w:t>
            </w:r>
          </w:p>
          <w:p w14:paraId="4F397439">
            <w:pPr>
              <w:pStyle w:val="13"/>
              <w:keepNext w:val="0"/>
              <w:keepLines w:val="0"/>
              <w:pageBreakBefore w:val="0"/>
              <w:widowControl w:val="0"/>
              <w:suppressLineNumbers w:val="0"/>
              <w:shd w:val="clear" w:color="auto" w:fill="auto"/>
              <w:tabs>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5</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投标人法定代表人亲自签署投标文件的，提供了法定代表人身份证明，且法定代表人在法定代表人身份证明上签名。</w:t>
            </w:r>
          </w:p>
          <w:p w14:paraId="79A70FFA">
            <w:pPr>
              <w:pStyle w:val="13"/>
              <w:keepNext w:val="0"/>
              <w:keepLines w:val="0"/>
              <w:pageBreakBefore w:val="0"/>
              <w:widowControl w:val="0"/>
              <w:suppressLineNumbers w:val="0"/>
              <w:shd w:val="clear" w:color="auto" w:fill="auto"/>
              <w:tabs>
                <w:tab w:val="left" w:pos="107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6</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p>
          <w:p w14:paraId="3E284DD6">
            <w:pPr>
              <w:pStyle w:val="13"/>
              <w:keepNext w:val="0"/>
              <w:keepLines w:val="0"/>
              <w:pageBreakBefore w:val="0"/>
              <w:widowControl w:val="0"/>
              <w:suppressLineNumbers w:val="0"/>
              <w:shd w:val="clear" w:color="auto" w:fill="auto"/>
              <w:tabs>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w:t>
            </w:r>
            <w:r>
              <w:rPr>
                <w:rStyle w:val="15"/>
                <w:rFonts w:hint="eastAsia" w:ascii="宋体" w:hAnsi="宋体" w:eastAsia="宋体" w:cs="宋体"/>
                <w:color w:val="auto"/>
                <w:sz w:val="21"/>
                <w:szCs w:val="21"/>
                <w:highlight w:val="none"/>
                <w:shd w:val="clear" w:color="auto" w:fill="auto"/>
                <w:lang w:eastAsia="zh-CN"/>
              </w:rPr>
              <w:t>如有</w:t>
            </w:r>
            <w:r>
              <w:rPr>
                <w:rStyle w:val="15"/>
                <w:rFonts w:hint="eastAsia" w:ascii="宋体" w:hAnsi="宋体" w:eastAsia="宋体" w:cs="宋体"/>
                <w:color w:val="auto"/>
                <w:sz w:val="21"/>
                <w:szCs w:val="21"/>
                <w:highlight w:val="none"/>
                <w:shd w:val="clear" w:color="auto" w:fill="auto"/>
              </w:rPr>
              <w:t>分包计划</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符合招标文件第二章</w:t>
            </w:r>
            <w:r>
              <w:rPr>
                <w:rStyle w:val="15"/>
                <w:rFonts w:hint="eastAsia" w:ascii="宋体" w:hAnsi="宋体" w:eastAsia="宋体" w:cs="宋体"/>
                <w:color w:val="auto"/>
                <w:sz w:val="21"/>
                <w:szCs w:val="21"/>
                <w:highlight w:val="none"/>
                <w:shd w:val="clear" w:color="auto" w:fill="auto"/>
                <w:lang w:eastAsia="zh-CN"/>
              </w:rPr>
              <w:t>“投标人须知”第1.11款规定，且按招标文件第六章“投标文件格式”的要求填写了“拟分包项目情况表”</w:t>
            </w:r>
          </w:p>
          <w:p w14:paraId="1F851AF4">
            <w:pPr>
              <w:pStyle w:val="13"/>
              <w:keepNext w:val="0"/>
              <w:keepLines w:val="0"/>
              <w:pageBreakBefore w:val="0"/>
              <w:widowControl w:val="0"/>
              <w:suppressLineNumbers w:val="0"/>
              <w:shd w:val="clear" w:color="auto" w:fill="auto"/>
              <w:tabs>
                <w:tab w:val="left" w:pos="962"/>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8</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同一投标人未提交两个以上不同的投标文件，但招标文件要求提交备选投标的除外。</w:t>
            </w:r>
          </w:p>
          <w:p w14:paraId="540B79CA">
            <w:pPr>
              <w:pStyle w:val="13"/>
              <w:keepNext w:val="0"/>
              <w:keepLines w:val="0"/>
              <w:pageBreakBefore w:val="0"/>
              <w:widowControl w:val="0"/>
              <w:suppressLineNumbers w:val="0"/>
              <w:shd w:val="clear" w:color="auto" w:fill="auto"/>
              <w:tabs>
                <w:tab w:val="left" w:pos="1181"/>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9</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投标文件中未出现有关投标报价的内容。</w:t>
            </w:r>
          </w:p>
          <w:p w14:paraId="13FC68C4">
            <w:pPr>
              <w:pStyle w:val="13"/>
              <w:keepNext w:val="0"/>
              <w:keepLines w:val="0"/>
              <w:pageBreakBefore w:val="0"/>
              <w:widowControl w:val="0"/>
              <w:suppressLineNumbers w:val="0"/>
              <w:shd w:val="clear" w:color="auto" w:fill="auto"/>
              <w:tabs>
                <w:tab w:val="left" w:pos="936"/>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0</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投标文件载明的招标项目完成期限未超过招标文件规定的时限。</w:t>
            </w:r>
          </w:p>
          <w:p w14:paraId="51B704D6">
            <w:pPr>
              <w:pStyle w:val="13"/>
              <w:keepNext w:val="0"/>
              <w:keepLines w:val="0"/>
              <w:pageBreakBefore w:val="0"/>
              <w:widowControl w:val="0"/>
              <w:suppressLineNumbers w:val="0"/>
              <w:shd w:val="clear" w:color="auto" w:fill="auto"/>
              <w:tabs>
                <w:tab w:val="left" w:pos="1181"/>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1</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投标文件对招标文件的实质性要求和条件作出响应。</w:t>
            </w:r>
          </w:p>
          <w:p w14:paraId="5836E7D3">
            <w:pPr>
              <w:pStyle w:val="13"/>
              <w:keepNext w:val="0"/>
              <w:keepLines w:val="0"/>
              <w:pageBreakBefore w:val="0"/>
              <w:widowControl w:val="0"/>
              <w:suppressLineNumbers w:val="0"/>
              <w:shd w:val="clear" w:color="auto" w:fill="auto"/>
              <w:tabs>
                <w:tab w:val="left" w:pos="1176"/>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2</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权利义务符合招标文件规定</w:t>
            </w:r>
            <w:r>
              <w:rPr>
                <w:rStyle w:val="16"/>
                <w:rFonts w:hint="eastAsia" w:ascii="宋体" w:hAnsi="宋体" w:eastAsia="宋体" w:cs="宋体"/>
                <w:b w:val="0"/>
                <w:color w:val="auto"/>
                <w:sz w:val="21"/>
                <w:szCs w:val="21"/>
                <w:highlight w:val="none"/>
              </w:rPr>
              <w:t>：</w:t>
            </w:r>
          </w:p>
          <w:p w14:paraId="5E729FF8">
            <w:pPr>
              <w:pStyle w:val="13"/>
              <w:keepNext w:val="0"/>
              <w:keepLines w:val="0"/>
              <w:pageBreakBefore w:val="0"/>
              <w:widowControl w:val="0"/>
              <w:suppressLineNumbers w:val="0"/>
              <w:shd w:val="clear" w:color="auto" w:fill="auto"/>
              <w:tabs>
                <w:tab w:val="left" w:pos="569"/>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投标人应接受招标文件规定的风险划分原则，未提出新的风险划分办法；</w:t>
            </w:r>
          </w:p>
          <w:p w14:paraId="7A9B091E">
            <w:pPr>
              <w:pStyle w:val="13"/>
              <w:keepNext w:val="0"/>
              <w:keepLines w:val="0"/>
              <w:pageBreakBefore w:val="0"/>
              <w:widowControl w:val="0"/>
              <w:suppressLineNumbers w:val="0"/>
              <w:shd w:val="clear" w:color="auto" w:fill="auto"/>
              <w:tabs>
                <w:tab w:val="left" w:pos="710"/>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投标人未增加发包人的责任范围，或减少投标人义务；</w:t>
            </w:r>
          </w:p>
          <w:p w14:paraId="6F3A081A">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投标人未提出不同的支付办法；</w:t>
            </w:r>
          </w:p>
          <w:p w14:paraId="162B5E45">
            <w:pPr>
              <w:pStyle w:val="13"/>
              <w:keepNext w:val="0"/>
              <w:keepLines w:val="0"/>
              <w:pageBreakBefore w:val="0"/>
              <w:widowControl w:val="0"/>
              <w:suppressLineNumbers w:val="0"/>
              <w:shd w:val="clear" w:color="auto" w:fill="auto"/>
              <w:tabs>
                <w:tab w:val="left" w:pos="703"/>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d.</w:t>
            </w:r>
            <w:r>
              <w:rPr>
                <w:rStyle w:val="15"/>
                <w:rFonts w:hint="eastAsia" w:ascii="宋体" w:hAnsi="宋体" w:eastAsia="宋体" w:cs="宋体"/>
                <w:color w:val="auto"/>
                <w:sz w:val="21"/>
                <w:szCs w:val="21"/>
                <w:highlight w:val="none"/>
                <w:shd w:val="clear" w:color="auto" w:fill="auto"/>
              </w:rPr>
              <w:t>投标人对合同纠纷、事故处理办法未提出异议；</w:t>
            </w:r>
          </w:p>
          <w:p w14:paraId="2265159C">
            <w:pPr>
              <w:pStyle w:val="13"/>
              <w:keepNext w:val="0"/>
              <w:keepLines w:val="0"/>
              <w:pageBreakBefore w:val="0"/>
              <w:widowControl w:val="0"/>
              <w:suppressLineNumbers w:val="0"/>
              <w:shd w:val="clear" w:color="auto" w:fill="auto"/>
              <w:tabs>
                <w:tab w:val="left" w:pos="689"/>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e.</w:t>
            </w:r>
            <w:r>
              <w:rPr>
                <w:rStyle w:val="15"/>
                <w:rFonts w:hint="eastAsia" w:ascii="宋体" w:hAnsi="宋体" w:eastAsia="宋体" w:cs="宋体"/>
                <w:color w:val="auto"/>
                <w:sz w:val="21"/>
                <w:szCs w:val="21"/>
                <w:highlight w:val="none"/>
                <w:shd w:val="clear" w:color="auto" w:fill="auto"/>
              </w:rPr>
              <w:t>投标人在投标活动中无欺诈行为；</w:t>
            </w:r>
          </w:p>
          <w:p w14:paraId="6AB39682">
            <w:pPr>
              <w:pStyle w:val="13"/>
              <w:keepNext w:val="0"/>
              <w:keepLines w:val="0"/>
              <w:pageBreakBefore w:val="0"/>
              <w:widowControl w:val="0"/>
              <w:suppressLineNumbers w:val="0"/>
              <w:shd w:val="clear" w:color="auto" w:fill="auto"/>
              <w:tabs>
                <w:tab w:val="left" w:pos="679"/>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lang w:eastAsia="zh-CN"/>
              </w:rPr>
              <w:t>f</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投标人未对合同条款有重要保留。</w:t>
            </w:r>
          </w:p>
          <w:p w14:paraId="38D41701">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sz w:val="21"/>
                <w:szCs w:val="21"/>
                <w:highlight w:val="none"/>
              </w:rPr>
            </w:pPr>
          </w:p>
          <w:p w14:paraId="72FC7F27">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jc w:val="left"/>
              <w:rPr>
                <w:rFonts w:hint="eastAsia" w:ascii="宋体" w:hAnsi="宋体" w:eastAsia="宋体" w:cs="宋体"/>
                <w:sz w:val="21"/>
                <w:szCs w:val="21"/>
                <w:highlight w:val="none"/>
              </w:rPr>
            </w:pPr>
            <w:r>
              <w:rPr>
                <w:rStyle w:val="16"/>
                <w:rFonts w:hint="eastAsia" w:ascii="宋体" w:hAnsi="宋体" w:eastAsia="宋体" w:cs="宋体"/>
                <w:b w:val="0"/>
                <w:color w:val="auto"/>
                <w:sz w:val="21"/>
                <w:szCs w:val="21"/>
                <w:highlight w:val="none"/>
              </w:rPr>
              <w:t>第二个信封（报价文件）评审标准：</w:t>
            </w:r>
          </w:p>
          <w:p w14:paraId="384EEFC1">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投标文件按照招标文件规定的格式、内容填写，字迹清晰可辨，内容齐全完整：</w:t>
            </w:r>
          </w:p>
          <w:p w14:paraId="2CB78A0F">
            <w:pPr>
              <w:pStyle w:val="13"/>
              <w:keepNext w:val="0"/>
              <w:keepLines w:val="0"/>
              <w:pageBreakBefore w:val="0"/>
              <w:widowControl w:val="0"/>
              <w:suppressLineNumbers w:val="0"/>
              <w:shd w:val="clear" w:color="auto" w:fill="auto"/>
              <w:tabs>
                <w:tab w:val="left" w:pos="569"/>
              </w:tabs>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投标函按招标文件规定填报了项目名称、标段号、补遗书编号（如有)、投标价（包括大写金额和小写金额</w:t>
            </w:r>
            <w:r>
              <w:rPr>
                <w:rStyle w:val="15"/>
                <w:rFonts w:hint="eastAsia" w:ascii="宋体" w:hAnsi="宋体" w:eastAsia="宋体" w:cs="宋体"/>
                <w:color w:val="auto"/>
                <w:sz w:val="21"/>
                <w:szCs w:val="21"/>
                <w:highlight w:val="none"/>
                <w:shd w:val="clear" w:color="auto" w:fill="auto"/>
                <w:lang w:bidi="en-US"/>
              </w:rPr>
              <w:t>)；</w:t>
            </w:r>
          </w:p>
          <w:p w14:paraId="12132FED">
            <w:pPr>
              <w:pStyle w:val="13"/>
              <w:keepNext w:val="0"/>
              <w:keepLines w:val="0"/>
              <w:pageBreakBefore w:val="0"/>
              <w:widowControl w:val="0"/>
              <w:suppressLineNumbers w:val="0"/>
              <w:shd w:val="clear" w:color="auto" w:fill="auto"/>
              <w:tabs>
                <w:tab w:val="left" w:pos="593"/>
              </w:tabs>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已标价报价清单说明文字与招标文件规定一致，未进行实质性修改和删减；</w:t>
            </w:r>
          </w:p>
          <w:p w14:paraId="74E8822E">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投标文件组成齐全完整，内容均按规定填写。</w:t>
            </w:r>
          </w:p>
          <w:p w14:paraId="6747F895">
            <w:pPr>
              <w:pStyle w:val="13"/>
              <w:keepNext w:val="0"/>
              <w:keepLines w:val="0"/>
              <w:pageBreakBefore w:val="0"/>
              <w:widowControl w:val="0"/>
              <w:suppressLineNumbers w:val="0"/>
              <w:shd w:val="clear" w:color="auto" w:fill="auto"/>
              <w:tabs>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投标文件上法定代表人或其委托代理人的签字、投标人的单位章盖章齐全，符合招标文件规定。</w:t>
            </w:r>
          </w:p>
          <w:p w14:paraId="53B256C6">
            <w:pPr>
              <w:pStyle w:val="13"/>
              <w:keepNext w:val="0"/>
              <w:keepLines w:val="0"/>
              <w:pageBreakBefore w:val="0"/>
              <w:widowControl w:val="0"/>
              <w:suppressLineNumbers w:val="0"/>
              <w:shd w:val="clear" w:color="auto" w:fill="auto"/>
              <w:tabs>
                <w:tab w:val="left" w:pos="1075"/>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投标报价未超过招标文件设定的最高投标限价。</w:t>
            </w:r>
          </w:p>
          <w:p w14:paraId="794E12ED">
            <w:pPr>
              <w:pStyle w:val="13"/>
              <w:keepNext w:val="0"/>
              <w:keepLines w:val="0"/>
              <w:pageBreakBefore w:val="0"/>
              <w:widowControl w:val="0"/>
              <w:suppressLineNumbers w:val="0"/>
              <w:shd w:val="clear" w:color="auto" w:fill="auto"/>
              <w:tabs>
                <w:tab w:val="left" w:pos="1075"/>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投标报价的大写金额能够确定具体数值。</w:t>
            </w:r>
          </w:p>
          <w:p w14:paraId="748B06B9">
            <w:pPr>
              <w:pStyle w:val="13"/>
              <w:keepNext w:val="0"/>
              <w:keepLines w:val="0"/>
              <w:pageBreakBefore w:val="0"/>
              <w:widowControl w:val="0"/>
              <w:suppressLineNumbers w:val="0"/>
              <w:shd w:val="clear" w:color="auto" w:fill="auto"/>
              <w:tabs>
                <w:tab w:val="left" w:pos="965"/>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同一投标人未提交两个以上不同的投标报价，但招标文件要求提交备选投标的除外。</w:t>
            </w:r>
          </w:p>
        </w:tc>
      </w:tr>
      <w:tr w14:paraId="3AAA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shd w:val="clear" w:color="auto" w:fill="auto"/>
            <w:vAlign w:val="center"/>
          </w:tcPr>
          <w:p w14:paraId="39A793D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2.1.2</w:t>
            </w:r>
          </w:p>
        </w:tc>
        <w:tc>
          <w:tcPr>
            <w:tcW w:w="1173" w:type="dxa"/>
            <w:shd w:val="clear" w:color="auto" w:fill="auto"/>
            <w:vAlign w:val="center"/>
          </w:tcPr>
          <w:p w14:paraId="4256341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资格</w:t>
            </w:r>
          </w:p>
          <w:p w14:paraId="7CA3220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评审标准</w:t>
            </w:r>
          </w:p>
        </w:tc>
        <w:tc>
          <w:tcPr>
            <w:tcW w:w="7536" w:type="dxa"/>
            <w:shd w:val="clear" w:color="auto" w:fill="auto"/>
          </w:tcPr>
          <w:p w14:paraId="1AF60499">
            <w:pPr>
              <w:pStyle w:val="13"/>
              <w:keepNext w:val="0"/>
              <w:keepLines w:val="0"/>
              <w:pageBreakBefore w:val="0"/>
              <w:widowControl w:val="0"/>
              <w:suppressLineNumbers w:val="0"/>
              <w:shd w:val="clear" w:color="auto" w:fill="auto"/>
              <w:tabs>
                <w:tab w:val="left" w:pos="946"/>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投标人具备有效的营业执照、勘察资质证书、设计资质证书和基本账户开户许可证明材料。</w:t>
            </w:r>
          </w:p>
          <w:p w14:paraId="51A92879">
            <w:pPr>
              <w:pStyle w:val="13"/>
              <w:keepNext w:val="0"/>
              <w:keepLines w:val="0"/>
              <w:pageBreakBefore w:val="0"/>
              <w:widowControl w:val="0"/>
              <w:suppressLineNumbers w:val="0"/>
              <w:shd w:val="clear" w:color="auto" w:fill="auto"/>
              <w:tabs>
                <w:tab w:val="left" w:pos="1073"/>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投标人的资质等级符合招标文件规定。</w:t>
            </w:r>
          </w:p>
          <w:p w14:paraId="5C317C78">
            <w:pPr>
              <w:pStyle w:val="13"/>
              <w:keepNext w:val="0"/>
              <w:keepLines w:val="0"/>
              <w:pageBreakBefore w:val="0"/>
              <w:widowControl w:val="0"/>
              <w:suppressLineNumbers w:val="0"/>
              <w:shd w:val="clear" w:color="auto" w:fill="auto"/>
              <w:tabs>
                <w:tab w:val="left" w:pos="1078"/>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投标人的类似项目业绩符合招标文件规定。</w:t>
            </w:r>
          </w:p>
          <w:p w14:paraId="2C4C66AE">
            <w:pPr>
              <w:pStyle w:val="13"/>
              <w:keepNext w:val="0"/>
              <w:keepLines w:val="0"/>
              <w:pageBreakBefore w:val="0"/>
              <w:widowControl w:val="0"/>
              <w:suppressLineNumbers w:val="0"/>
              <w:shd w:val="clear" w:color="auto" w:fill="auto"/>
              <w:tabs>
                <w:tab w:val="left" w:pos="1075"/>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投标人的信誉符合招标文件规定。</w:t>
            </w:r>
          </w:p>
          <w:p w14:paraId="09B95CA6">
            <w:pPr>
              <w:pStyle w:val="13"/>
              <w:keepNext w:val="0"/>
              <w:keepLines w:val="0"/>
              <w:pageBreakBefore w:val="0"/>
              <w:widowControl w:val="0"/>
              <w:suppressLineNumbers w:val="0"/>
              <w:shd w:val="clear" w:color="auto" w:fill="auto"/>
              <w:tabs>
                <w:tab w:val="left" w:pos="1078"/>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投标人的项目负责人资格符合招标文件规定。</w:t>
            </w:r>
          </w:p>
          <w:p w14:paraId="29B03165">
            <w:pPr>
              <w:pStyle w:val="13"/>
              <w:keepNext w:val="0"/>
              <w:keepLines w:val="0"/>
              <w:pageBreakBefore w:val="0"/>
              <w:widowControl w:val="0"/>
              <w:suppressLineNumbers w:val="0"/>
              <w:shd w:val="clear" w:color="auto" w:fill="auto"/>
              <w:tabs>
                <w:tab w:val="left" w:pos="1073"/>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（6）</w:t>
            </w:r>
            <w:r>
              <w:rPr>
                <w:rStyle w:val="15"/>
                <w:rFonts w:hint="eastAsia" w:ascii="宋体" w:hAnsi="宋体" w:eastAsia="宋体" w:cs="宋体"/>
                <w:color w:val="auto"/>
                <w:sz w:val="21"/>
                <w:szCs w:val="21"/>
                <w:highlight w:val="none"/>
                <w:shd w:val="clear" w:color="auto" w:fill="auto"/>
              </w:rPr>
              <w:t>投标人不存在第二章“投标人须知”第1.4.3项或第1.4.4项规定的任何一种情形。</w:t>
            </w:r>
          </w:p>
          <w:p w14:paraId="22F78C92">
            <w:pPr>
              <w:pStyle w:val="13"/>
              <w:keepNext w:val="0"/>
              <w:keepLines w:val="0"/>
              <w:pageBreakBefore w:val="0"/>
              <w:widowControl w:val="0"/>
              <w:suppressLineNumbers w:val="0"/>
              <w:shd w:val="clear" w:color="auto" w:fill="auto"/>
              <w:tabs>
                <w:tab w:val="left" w:pos="1073"/>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投标人符合第二章“投标人须知”第1.4.5项规定。</w:t>
            </w:r>
          </w:p>
          <w:p w14:paraId="7417E87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rPr>
                <w:rStyle w:val="15"/>
                <w:rFonts w:hint="eastAsia" w:ascii="宋体" w:hAnsi="宋体" w:eastAsia="宋体" w:cs="宋体"/>
                <w:color w:val="auto"/>
                <w:kern w:val="0"/>
                <w:sz w:val="21"/>
                <w:szCs w:val="21"/>
                <w:highlight w:val="none"/>
                <w:shd w:val="clear" w:color="auto" w:fill="auto"/>
              </w:rPr>
            </w:pP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lang w:eastAsia="zh-CN"/>
              </w:rPr>
              <w:t>8</w:t>
            </w: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bl>
    <w:p w14:paraId="2CBC59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tbl>
      <w:tblPr>
        <w:tblStyle w:val="6"/>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6C99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shd w:val="clear" w:color="auto" w:fill="auto"/>
            <w:vAlign w:val="center"/>
          </w:tcPr>
          <w:p w14:paraId="0CB7E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73" w:type="dxa"/>
            <w:shd w:val="clear" w:color="auto" w:fill="auto"/>
            <w:vAlign w:val="center"/>
          </w:tcPr>
          <w:p w14:paraId="108E0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36" w:type="dxa"/>
            <w:shd w:val="clear" w:color="auto" w:fill="auto"/>
            <w:vAlign w:val="center"/>
          </w:tcPr>
          <w:p w14:paraId="56807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5312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853" w:type="dxa"/>
            <w:shd w:val="clear" w:color="auto" w:fill="auto"/>
            <w:vAlign w:val="center"/>
          </w:tcPr>
          <w:p w14:paraId="6B473E4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73" w:type="dxa"/>
            <w:shd w:val="clear" w:color="auto" w:fill="auto"/>
            <w:vAlign w:val="center"/>
          </w:tcPr>
          <w:p w14:paraId="71FF99C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分值构成</w:t>
            </w:r>
          </w:p>
          <w:p w14:paraId="0619774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(总分</w:t>
            </w:r>
            <w:r>
              <w:rPr>
                <w:rStyle w:val="16"/>
                <w:rFonts w:hint="eastAsia" w:ascii="宋体" w:hAnsi="宋体" w:eastAsia="宋体" w:cs="宋体"/>
                <w:b w:val="0"/>
                <w:color w:val="auto"/>
                <w:sz w:val="21"/>
                <w:szCs w:val="21"/>
                <w:highlight w:val="none"/>
              </w:rPr>
              <w:br w:type="textWrapping"/>
            </w:r>
            <w:r>
              <w:rPr>
                <w:rStyle w:val="16"/>
                <w:rFonts w:hint="eastAsia" w:ascii="宋体" w:hAnsi="宋体" w:eastAsia="宋体" w:cs="宋体"/>
                <w:b w:val="0"/>
                <w:color w:val="auto"/>
                <w:sz w:val="21"/>
                <w:szCs w:val="21"/>
                <w:highlight w:val="none"/>
              </w:rPr>
              <w:t>100分）</w:t>
            </w:r>
          </w:p>
        </w:tc>
        <w:tc>
          <w:tcPr>
            <w:tcW w:w="7536" w:type="dxa"/>
            <w:shd w:val="clear" w:color="auto" w:fill="auto"/>
          </w:tcPr>
          <w:p w14:paraId="479D3EA4">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第一个信封（商务及技术文件）评分分值构成：</w:t>
            </w:r>
          </w:p>
          <w:p w14:paraId="51E3CED9">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技术建议书：</w:t>
            </w:r>
            <w:r>
              <w:rPr>
                <w:rStyle w:val="16"/>
                <w:rFonts w:hint="eastAsia" w:ascii="宋体" w:hAnsi="宋体" w:eastAsia="宋体" w:cs="宋体"/>
                <w:b w:val="0"/>
                <w:color w:val="auto"/>
                <w:sz w:val="21"/>
                <w:szCs w:val="21"/>
                <w:highlight w:val="none"/>
                <w:u w:val="single"/>
                <w:lang w:val="en-US" w:eastAsia="zh-CN"/>
              </w:rPr>
              <w:t>40</w:t>
            </w:r>
            <w:r>
              <w:rPr>
                <w:rStyle w:val="16"/>
                <w:rFonts w:hint="eastAsia" w:ascii="宋体" w:hAnsi="宋体" w:eastAsia="宋体" w:cs="宋体"/>
                <w:b w:val="0"/>
                <w:color w:val="auto"/>
                <w:sz w:val="21"/>
                <w:szCs w:val="21"/>
                <w:highlight w:val="none"/>
              </w:rPr>
              <w:t>分</w:t>
            </w:r>
          </w:p>
          <w:p w14:paraId="673E3217">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主要人员：</w:t>
            </w:r>
            <w:r>
              <w:rPr>
                <w:rStyle w:val="16"/>
                <w:rFonts w:hint="eastAsia" w:ascii="宋体" w:hAnsi="宋体" w:eastAsia="宋体" w:cs="宋体"/>
                <w:b w:val="0"/>
                <w:color w:val="auto"/>
                <w:sz w:val="21"/>
                <w:szCs w:val="21"/>
                <w:highlight w:val="none"/>
                <w:u w:val="single"/>
                <w:lang w:eastAsia="zh-CN"/>
              </w:rPr>
              <w:t>2</w:t>
            </w:r>
            <w:r>
              <w:rPr>
                <w:rStyle w:val="16"/>
                <w:rFonts w:hint="eastAsia" w:ascii="宋体" w:hAnsi="宋体" w:eastAsia="宋体" w:cs="宋体"/>
                <w:b w:val="0"/>
                <w:color w:val="auto"/>
                <w:sz w:val="21"/>
                <w:szCs w:val="21"/>
                <w:highlight w:val="none"/>
                <w:u w:val="single"/>
                <w:lang w:val="en-US" w:eastAsia="zh-CN"/>
              </w:rPr>
              <w:t>0</w:t>
            </w:r>
            <w:r>
              <w:rPr>
                <w:rStyle w:val="16"/>
                <w:rFonts w:hint="eastAsia" w:ascii="宋体" w:hAnsi="宋体" w:eastAsia="宋体" w:cs="宋体"/>
                <w:b w:val="0"/>
                <w:color w:val="auto"/>
                <w:sz w:val="21"/>
                <w:szCs w:val="21"/>
                <w:highlight w:val="none"/>
              </w:rPr>
              <w:t>分</w:t>
            </w:r>
          </w:p>
          <w:p w14:paraId="77BCBC6F">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业绩：</w:t>
            </w:r>
            <w:r>
              <w:rPr>
                <w:rStyle w:val="16"/>
                <w:rFonts w:hint="eastAsia" w:ascii="宋体" w:hAnsi="宋体" w:eastAsia="宋体" w:cs="宋体"/>
                <w:b w:val="0"/>
                <w:color w:val="auto"/>
                <w:sz w:val="21"/>
                <w:szCs w:val="21"/>
                <w:highlight w:val="none"/>
                <w:u w:val="single"/>
                <w:lang w:eastAsia="zh-CN"/>
              </w:rPr>
              <w:t>2</w:t>
            </w:r>
            <w:r>
              <w:rPr>
                <w:rStyle w:val="16"/>
                <w:rFonts w:hint="eastAsia" w:ascii="宋体" w:hAnsi="宋体" w:eastAsia="宋体" w:cs="宋体"/>
                <w:b w:val="0"/>
                <w:color w:val="auto"/>
                <w:sz w:val="21"/>
                <w:szCs w:val="21"/>
                <w:highlight w:val="none"/>
                <w:u w:val="single"/>
                <w:lang w:val="en-US" w:eastAsia="zh-CN"/>
              </w:rPr>
              <w:t>0</w:t>
            </w:r>
            <w:r>
              <w:rPr>
                <w:rStyle w:val="16"/>
                <w:rFonts w:hint="eastAsia" w:ascii="宋体" w:hAnsi="宋体" w:eastAsia="宋体" w:cs="宋体"/>
                <w:b w:val="0"/>
                <w:color w:val="auto"/>
                <w:sz w:val="21"/>
                <w:szCs w:val="21"/>
                <w:highlight w:val="none"/>
              </w:rPr>
              <w:t>分</w:t>
            </w:r>
          </w:p>
          <w:p w14:paraId="1E39144C">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履约信誉：</w:t>
            </w:r>
            <w:r>
              <w:rPr>
                <w:rStyle w:val="16"/>
                <w:rFonts w:hint="eastAsia" w:ascii="宋体" w:hAnsi="宋体" w:eastAsia="宋体" w:cs="宋体"/>
                <w:b w:val="0"/>
                <w:color w:val="auto"/>
                <w:sz w:val="21"/>
                <w:szCs w:val="21"/>
                <w:highlight w:val="none"/>
                <w:u w:val="single"/>
                <w:lang w:val="en-US" w:eastAsia="zh-CN"/>
              </w:rPr>
              <w:t>10</w:t>
            </w:r>
            <w:r>
              <w:rPr>
                <w:rStyle w:val="16"/>
                <w:rFonts w:hint="eastAsia" w:ascii="宋体" w:hAnsi="宋体" w:eastAsia="宋体" w:cs="宋体"/>
                <w:b w:val="0"/>
                <w:color w:val="auto"/>
                <w:sz w:val="21"/>
                <w:szCs w:val="21"/>
                <w:highlight w:val="none"/>
              </w:rPr>
              <w:t>分</w:t>
            </w:r>
          </w:p>
          <w:p w14:paraId="7D19761B">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bCs/>
                <w:sz w:val="21"/>
                <w:szCs w:val="21"/>
                <w:highlight w:val="none"/>
                <w:lang w:val="zh-TW" w:bidi="zh-TW"/>
              </w:rPr>
            </w:pPr>
            <w:r>
              <w:rPr>
                <w:rStyle w:val="16"/>
                <w:rFonts w:hint="eastAsia" w:ascii="宋体" w:hAnsi="宋体" w:eastAsia="宋体" w:cs="宋体"/>
                <w:b w:val="0"/>
                <w:color w:val="auto"/>
                <w:sz w:val="21"/>
                <w:szCs w:val="21"/>
                <w:highlight w:val="none"/>
              </w:rPr>
              <w:t>第二个信封（报价文件）评分分值构成：</w:t>
            </w:r>
          </w:p>
          <w:p w14:paraId="61EBED2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评标价</w:t>
            </w:r>
            <w:r>
              <w:rPr>
                <w:rStyle w:val="16"/>
                <w:rFonts w:hint="eastAsia" w:ascii="宋体" w:hAnsi="宋体" w:eastAsia="宋体" w:cs="宋体"/>
                <w:b w:val="0"/>
                <w:color w:val="auto"/>
                <w:sz w:val="21"/>
                <w:szCs w:val="21"/>
                <w:highlight w:val="none"/>
              </w:rPr>
              <w:t>：</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tc>
      </w:tr>
      <w:tr w14:paraId="32F4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0F56CD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73" w:type="dxa"/>
            <w:shd w:val="clear" w:color="auto" w:fill="auto"/>
            <w:vAlign w:val="center"/>
          </w:tcPr>
          <w:p w14:paraId="08C72A4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评标基准价计算方法</w:t>
            </w:r>
          </w:p>
        </w:tc>
        <w:tc>
          <w:tcPr>
            <w:tcW w:w="7536" w:type="dxa"/>
            <w:shd w:val="clear" w:color="auto" w:fill="auto"/>
          </w:tcPr>
          <w:p w14:paraId="1CF0250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评标基准价的计算：</w:t>
            </w:r>
          </w:p>
          <w:p w14:paraId="531A8B7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在开标现场，招标人将当场计算并宣布评标基准价。</w:t>
            </w:r>
          </w:p>
          <w:p w14:paraId="5C3FDA1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（1）评标价的确定：</w:t>
            </w:r>
          </w:p>
          <w:p w14:paraId="6A19A64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评标价=投标函文字报价</w:t>
            </w:r>
          </w:p>
          <w:p w14:paraId="7F3BC80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（2）评标价平均值的计算：</w:t>
            </w:r>
          </w:p>
          <w:p w14:paraId="2F35B11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除按第二章“投标人须知”第5.2.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项规定开标现场被宣布为</w:t>
            </w:r>
            <w:r>
              <w:rPr>
                <w:rFonts w:hint="eastAsia" w:ascii="宋体" w:hAnsi="宋体" w:eastAsia="宋体" w:cs="宋体"/>
                <w:color w:val="auto"/>
                <w:sz w:val="21"/>
                <w:szCs w:val="21"/>
                <w:highlight w:val="none"/>
              </w:rPr>
              <w:t>不参与评标基准价计算</w:t>
            </w:r>
            <w:r>
              <w:rPr>
                <w:rFonts w:hint="eastAsia" w:ascii="宋体" w:hAnsi="宋体" w:eastAsia="宋体" w:cs="宋体"/>
                <w:color w:val="auto"/>
                <w:sz w:val="21"/>
                <w:szCs w:val="21"/>
                <w:highlight w:val="none"/>
              </w:rPr>
              <w:t>的投标报价之外，</w:t>
            </w:r>
            <w:r>
              <w:rPr>
                <w:rFonts w:hint="eastAsia" w:ascii="宋体" w:hAnsi="宋体" w:eastAsia="宋体" w:cs="宋体"/>
                <w:color w:val="auto"/>
                <w:sz w:val="21"/>
                <w:szCs w:val="21"/>
                <w:highlight w:val="none"/>
              </w:rPr>
              <w:t>所有投标人的评标价去掉一个最高值和一个最低值后的算术平均值即为评标价平均值</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Pr>
              <w:t>如</w:t>
            </w:r>
            <w:r>
              <w:rPr>
                <w:rFonts w:hint="eastAsia" w:ascii="宋体" w:hAnsi="宋体" w:eastAsia="宋体" w:cs="宋体"/>
                <w:bCs/>
                <w:color w:val="auto"/>
                <w:sz w:val="21"/>
                <w:szCs w:val="21"/>
                <w:highlight w:val="none"/>
              </w:rPr>
              <w:t>果参与评标价平均值计算的有效投标人少于5家时</w:t>
            </w:r>
            <w:r>
              <w:rPr>
                <w:rFonts w:hint="eastAsia" w:ascii="宋体" w:hAnsi="宋体" w:eastAsia="宋体" w:cs="宋体"/>
                <w:bCs/>
                <w:color w:val="auto"/>
                <w:sz w:val="21"/>
                <w:szCs w:val="21"/>
                <w:highlight w:val="none"/>
              </w:rPr>
              <w:t>，则</w:t>
            </w:r>
            <w:r>
              <w:rPr>
                <w:rFonts w:hint="eastAsia" w:ascii="宋体" w:hAnsi="宋体" w:eastAsia="宋体" w:cs="宋体"/>
                <w:bCs/>
                <w:color w:val="auto"/>
                <w:sz w:val="21"/>
                <w:szCs w:val="21"/>
                <w:highlight w:val="none"/>
              </w:rPr>
              <w:t>计算评标价平均值时</w:t>
            </w:r>
            <w:r>
              <w:rPr>
                <w:rFonts w:hint="eastAsia" w:ascii="宋体" w:hAnsi="宋体" w:eastAsia="宋体" w:cs="宋体"/>
                <w:bCs/>
                <w:color w:val="auto"/>
                <w:sz w:val="21"/>
                <w:szCs w:val="21"/>
                <w:highlight w:val="none"/>
              </w:rPr>
              <w:t>不去掉</w:t>
            </w:r>
            <w:r>
              <w:rPr>
                <w:rFonts w:hint="eastAsia" w:ascii="宋体" w:hAnsi="宋体" w:eastAsia="宋体" w:cs="宋体"/>
                <w:bCs/>
                <w:color w:val="auto"/>
                <w:sz w:val="21"/>
                <w:szCs w:val="21"/>
                <w:highlight w:val="none"/>
              </w:rPr>
              <w:t>最高值和最低值），评标价平均值的计算保留整数，小数点后第1位“四舍五入”。</w:t>
            </w:r>
          </w:p>
          <w:p w14:paraId="1EB0D8B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（3）评标基准价的确定：</w:t>
            </w:r>
          </w:p>
          <w:p w14:paraId="692375C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将评标价平均值直接作为评标基准价。</w:t>
            </w:r>
          </w:p>
          <w:p w14:paraId="4B48912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kern w:val="20"/>
                <w:sz w:val="21"/>
                <w:szCs w:val="21"/>
                <w:highlight w:val="none"/>
              </w:rPr>
            </w:pPr>
            <w:r>
              <w:rPr>
                <w:rFonts w:hint="eastAsia" w:ascii="宋体" w:hAnsi="宋体" w:eastAsia="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3D4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08AB8E8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73" w:type="dxa"/>
            <w:shd w:val="clear" w:color="auto" w:fill="auto"/>
            <w:vAlign w:val="center"/>
          </w:tcPr>
          <w:p w14:paraId="4C3E8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评标价的偏差率计算公式</w:t>
            </w:r>
          </w:p>
        </w:tc>
        <w:tc>
          <w:tcPr>
            <w:tcW w:w="7536" w:type="dxa"/>
            <w:shd w:val="clear" w:color="auto" w:fill="auto"/>
            <w:vAlign w:val="center"/>
          </w:tcPr>
          <w:p w14:paraId="689055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偏差率=100%</w:t>
            </w:r>
            <w:r>
              <w:rPr>
                <w:rStyle w:val="17"/>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投标人评标价-评标基准价</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评标基准价</w:t>
            </w:r>
          </w:p>
          <w:p w14:paraId="7268FCF6">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both"/>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偏差率保留</w:t>
            </w:r>
            <w:r>
              <w:rPr>
                <w:rStyle w:val="15"/>
                <w:rFonts w:hint="eastAsia" w:ascii="宋体" w:hAnsi="宋体" w:eastAsia="宋体" w:cs="宋体"/>
                <w:color w:val="auto"/>
                <w:sz w:val="21"/>
                <w:szCs w:val="21"/>
                <w:highlight w:val="none"/>
                <w:shd w:val="clear" w:color="auto" w:fill="auto"/>
                <w:lang w:eastAsia="zh-CN"/>
              </w:rPr>
              <w:t>两</w:t>
            </w:r>
            <w:r>
              <w:rPr>
                <w:rStyle w:val="15"/>
                <w:rFonts w:hint="eastAsia" w:ascii="宋体" w:hAnsi="宋体" w:eastAsia="宋体" w:cs="宋体"/>
                <w:color w:val="auto"/>
                <w:sz w:val="21"/>
                <w:szCs w:val="21"/>
                <w:highlight w:val="none"/>
                <w:shd w:val="clear" w:color="auto" w:fill="auto"/>
              </w:rPr>
              <w:t>位小数</w:t>
            </w:r>
          </w:p>
        </w:tc>
      </w:tr>
    </w:tbl>
    <w:p w14:paraId="122BA9F1">
      <w:pPr>
        <w:keepLines w:val="0"/>
        <w:pageBreakBefore w:val="0"/>
        <w:kinsoku/>
        <w:wordWrap/>
        <w:overflowPunct/>
        <w:topLinePunct w:val="0"/>
        <w:bidi w:val="0"/>
        <w:spacing w:line="360" w:lineRule="exact"/>
        <w:ind w:right="420"/>
        <w:jc w:val="left"/>
        <w:rPr>
          <w:rFonts w:hint="eastAsia" w:ascii="宋体" w:hAnsi="宋体" w:eastAsia="宋体" w:cs="宋体"/>
          <w:kern w:val="20"/>
          <w:sz w:val="21"/>
          <w:szCs w:val="21"/>
          <w:highlight w:val="none"/>
        </w:rPr>
      </w:pPr>
    </w:p>
    <w:tbl>
      <w:tblPr>
        <w:tblStyle w:val="6"/>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73"/>
        <w:gridCol w:w="586"/>
        <w:gridCol w:w="1091"/>
        <w:gridCol w:w="1909"/>
        <w:gridCol w:w="723"/>
        <w:gridCol w:w="3822"/>
      </w:tblGrid>
      <w:tr w14:paraId="6787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59" w:type="dxa"/>
            <w:gridSpan w:val="6"/>
            <w:shd w:val="clear" w:color="auto" w:fill="auto"/>
            <w:vAlign w:val="center"/>
          </w:tcPr>
          <w:p w14:paraId="60DD5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3"/>
            </w:r>
          </w:p>
        </w:tc>
        <w:tc>
          <w:tcPr>
            <w:tcW w:w="3822" w:type="dxa"/>
            <w:vMerge w:val="restart"/>
            <w:shd w:val="clear" w:color="auto" w:fill="auto"/>
            <w:vAlign w:val="center"/>
          </w:tcPr>
          <w:p w14:paraId="518DB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4B96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7" w:type="dxa"/>
            <w:shd w:val="clear" w:color="auto" w:fill="auto"/>
            <w:vAlign w:val="center"/>
          </w:tcPr>
          <w:p w14:paraId="24878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159" w:type="dxa"/>
            <w:gridSpan w:val="2"/>
            <w:shd w:val="clear" w:color="auto" w:fill="auto"/>
            <w:vAlign w:val="center"/>
          </w:tcPr>
          <w:p w14:paraId="13EFD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1" w:type="dxa"/>
            <w:shd w:val="clear" w:color="auto" w:fill="auto"/>
            <w:vAlign w:val="center"/>
          </w:tcPr>
          <w:p w14:paraId="0B23D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1909" w:type="dxa"/>
            <w:shd w:val="clear" w:color="auto" w:fill="auto"/>
            <w:vAlign w:val="center"/>
          </w:tcPr>
          <w:p w14:paraId="57B62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723" w:type="dxa"/>
            <w:shd w:val="clear" w:color="auto" w:fill="auto"/>
            <w:vAlign w:val="center"/>
          </w:tcPr>
          <w:p w14:paraId="26F2F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822" w:type="dxa"/>
            <w:vMerge w:val="continue"/>
            <w:shd w:val="clear" w:color="auto" w:fill="auto"/>
          </w:tcPr>
          <w:p w14:paraId="40D6D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kern w:val="20"/>
                <w:sz w:val="21"/>
                <w:szCs w:val="21"/>
                <w:highlight w:val="none"/>
              </w:rPr>
            </w:pPr>
          </w:p>
        </w:tc>
      </w:tr>
      <w:tr w14:paraId="15E6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restart"/>
            <w:shd w:val="clear" w:color="auto" w:fill="auto"/>
            <w:vAlign w:val="center"/>
          </w:tcPr>
          <w:p w14:paraId="652214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(1)</w:t>
            </w:r>
          </w:p>
        </w:tc>
        <w:tc>
          <w:tcPr>
            <w:tcW w:w="1159" w:type="dxa"/>
            <w:gridSpan w:val="2"/>
            <w:vMerge w:val="restart"/>
            <w:shd w:val="clear" w:color="auto" w:fill="auto"/>
            <w:vAlign w:val="center"/>
          </w:tcPr>
          <w:p w14:paraId="7353BE6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技术</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建议书</w:t>
            </w:r>
          </w:p>
        </w:tc>
        <w:tc>
          <w:tcPr>
            <w:tcW w:w="1091" w:type="dxa"/>
            <w:vMerge w:val="restart"/>
            <w:shd w:val="clear" w:color="auto" w:fill="auto"/>
            <w:vAlign w:val="center"/>
          </w:tcPr>
          <w:p w14:paraId="5BAA8C2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lang w:val="en-US" w:eastAsia="zh-CN"/>
              </w:rPr>
              <w:t>40</w:t>
            </w:r>
            <w:r>
              <w:rPr>
                <w:rFonts w:hint="eastAsia" w:ascii="宋体" w:hAnsi="宋体" w:eastAsia="宋体" w:cs="宋体"/>
                <w:kern w:val="20"/>
                <w:sz w:val="21"/>
                <w:szCs w:val="21"/>
                <w:highlight w:val="none"/>
              </w:rPr>
              <w:t>分</w:t>
            </w:r>
          </w:p>
        </w:tc>
        <w:tc>
          <w:tcPr>
            <w:tcW w:w="1909" w:type="dxa"/>
            <w:shd w:val="clear" w:color="auto" w:fill="auto"/>
            <w:vAlign w:val="center"/>
          </w:tcPr>
          <w:p w14:paraId="34BE24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对招标项目的理解和总体设计思路</w:t>
            </w:r>
          </w:p>
        </w:tc>
        <w:tc>
          <w:tcPr>
            <w:tcW w:w="723" w:type="dxa"/>
            <w:shd w:val="clear" w:color="auto" w:fill="auto"/>
            <w:vAlign w:val="center"/>
          </w:tcPr>
          <w:p w14:paraId="6E312A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30231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113"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对招标项目的理解和总体设计思路基本正确得3分，理解深刻、认识全面、对设计思路把握准确，酌情加分，最高加2分。</w:t>
            </w:r>
          </w:p>
        </w:tc>
      </w:tr>
      <w:tr w14:paraId="4F5D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Merge w:val="continue"/>
            <w:shd w:val="clear" w:color="auto" w:fill="auto"/>
            <w:vAlign w:val="center"/>
          </w:tcPr>
          <w:p w14:paraId="741436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1159" w:type="dxa"/>
            <w:gridSpan w:val="2"/>
            <w:vMerge w:val="continue"/>
            <w:shd w:val="clear" w:color="auto" w:fill="auto"/>
            <w:vAlign w:val="center"/>
          </w:tcPr>
          <w:p w14:paraId="6AAABF4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1091" w:type="dxa"/>
            <w:vMerge w:val="continue"/>
            <w:shd w:val="clear" w:color="auto" w:fill="auto"/>
            <w:vAlign w:val="center"/>
          </w:tcPr>
          <w:p w14:paraId="3AA715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shd w:val="clear" w:color="auto" w:fill="auto"/>
            <w:vAlign w:val="center"/>
          </w:tcPr>
          <w:p w14:paraId="27A6CE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对招标项目勘察设计的特点、关键技术问题的认识及对策措施</w:t>
            </w:r>
          </w:p>
        </w:tc>
        <w:tc>
          <w:tcPr>
            <w:tcW w:w="723" w:type="dxa"/>
            <w:shd w:val="clear" w:color="auto" w:fill="auto"/>
            <w:vAlign w:val="center"/>
          </w:tcPr>
          <w:p w14:paraId="367AD7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rPr>
              <w:t>分</w:t>
            </w:r>
          </w:p>
        </w:tc>
        <w:tc>
          <w:tcPr>
            <w:tcW w:w="3822" w:type="dxa"/>
            <w:shd w:val="clear" w:color="auto" w:fill="auto"/>
            <w:vAlign w:val="center"/>
          </w:tcPr>
          <w:p w14:paraId="607DD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113"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对招标项目设计的特点及关键性技术问题把握基本准确，所提出的措施基本可行得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分，所提出的措施符合本项目的特点，针对性强，且具有可行性的，酌情加分，最高加</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7469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7" w:type="dxa"/>
            <w:vMerge w:val="continue"/>
            <w:shd w:val="clear" w:color="auto" w:fill="auto"/>
            <w:vAlign w:val="center"/>
          </w:tcPr>
          <w:p w14:paraId="173CADE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090FE3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79E1AA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909" w:type="dxa"/>
            <w:shd w:val="clear" w:color="auto" w:fill="auto"/>
            <w:vAlign w:val="center"/>
          </w:tcPr>
          <w:p w14:paraId="319651F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勘察设计工作量及计划安排</w:t>
            </w:r>
          </w:p>
        </w:tc>
        <w:tc>
          <w:tcPr>
            <w:tcW w:w="723" w:type="dxa"/>
            <w:shd w:val="clear" w:color="auto" w:fill="auto"/>
            <w:vAlign w:val="center"/>
          </w:tcPr>
          <w:p w14:paraId="20892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3B5D5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113"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设计工作计划安排基本可行得</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分，计划安排合理，酌情加分，最高加</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分。</w:t>
            </w:r>
          </w:p>
        </w:tc>
      </w:tr>
      <w:tr w14:paraId="46DF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7" w:type="dxa"/>
            <w:vMerge w:val="continue"/>
            <w:shd w:val="clear" w:color="auto" w:fill="auto"/>
            <w:vAlign w:val="center"/>
          </w:tcPr>
          <w:p w14:paraId="61EDF0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53443A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6FAFD50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909" w:type="dxa"/>
            <w:shd w:val="clear" w:color="auto" w:fill="auto"/>
            <w:vAlign w:val="center"/>
          </w:tcPr>
          <w:p w14:paraId="3968165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勘察设计的质量保证措施、进度保证措施、安全保证措施</w:t>
            </w:r>
          </w:p>
        </w:tc>
        <w:tc>
          <w:tcPr>
            <w:tcW w:w="723" w:type="dxa"/>
            <w:shd w:val="clear" w:color="auto" w:fill="auto"/>
            <w:vAlign w:val="center"/>
          </w:tcPr>
          <w:p w14:paraId="6827C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rPr>
              <w:t>分</w:t>
            </w:r>
          </w:p>
        </w:tc>
        <w:tc>
          <w:tcPr>
            <w:tcW w:w="3822" w:type="dxa"/>
            <w:shd w:val="clear" w:color="auto" w:fill="auto"/>
            <w:vAlign w:val="center"/>
          </w:tcPr>
          <w:p w14:paraId="14507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113"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设计的质量、进度、安全保证措施基本可行得6分，措施可行，所采用的措施能够提高设计质量、加快设计进度的酌情加分，最高加4分。</w:t>
            </w:r>
          </w:p>
        </w:tc>
      </w:tr>
      <w:tr w14:paraId="6D91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7" w:type="dxa"/>
            <w:vMerge w:val="continue"/>
            <w:shd w:val="clear" w:color="auto" w:fill="auto"/>
            <w:vAlign w:val="center"/>
          </w:tcPr>
          <w:p w14:paraId="55A7E70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2B4C80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3EE51E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909" w:type="dxa"/>
            <w:shd w:val="clear" w:color="auto" w:fill="auto"/>
            <w:vAlign w:val="center"/>
          </w:tcPr>
          <w:p w14:paraId="742E00F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后续服务的安排及保证措施</w:t>
            </w:r>
          </w:p>
        </w:tc>
        <w:tc>
          <w:tcPr>
            <w:tcW w:w="723" w:type="dxa"/>
            <w:shd w:val="clear" w:color="auto" w:fill="auto"/>
            <w:vAlign w:val="center"/>
          </w:tcPr>
          <w:p w14:paraId="31DD20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09B9B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113"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rPr>
              <w:t>后续服务的安排及保证措施基本可行得3分，可行且能够快速的协助发包人解决问题，酌情加分，最高加2分。</w:t>
            </w:r>
          </w:p>
        </w:tc>
      </w:tr>
      <w:tr w14:paraId="05E7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7" w:type="dxa"/>
            <w:shd w:val="clear" w:color="auto" w:fill="auto"/>
            <w:vAlign w:val="center"/>
          </w:tcPr>
          <w:p w14:paraId="15EFC2E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(2)</w:t>
            </w:r>
          </w:p>
        </w:tc>
        <w:tc>
          <w:tcPr>
            <w:tcW w:w="1159" w:type="dxa"/>
            <w:gridSpan w:val="2"/>
            <w:shd w:val="clear" w:color="auto" w:fill="auto"/>
            <w:vAlign w:val="center"/>
          </w:tcPr>
          <w:p w14:paraId="7C3761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主要人员</w:t>
            </w:r>
          </w:p>
        </w:tc>
        <w:tc>
          <w:tcPr>
            <w:tcW w:w="1091" w:type="dxa"/>
            <w:shd w:val="clear" w:color="auto" w:fill="auto"/>
            <w:vAlign w:val="center"/>
          </w:tcPr>
          <w:p w14:paraId="2FBA3EA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w:t>
            </w:r>
            <w:r>
              <w:rPr>
                <w:rFonts w:hint="eastAsia" w:ascii="宋体" w:hAnsi="宋体" w:eastAsia="宋体" w:cs="宋体"/>
                <w:kern w:val="20"/>
                <w:sz w:val="21"/>
                <w:szCs w:val="21"/>
                <w:highlight w:val="none"/>
                <w:u w:val="single"/>
                <w:lang w:val="en-US" w:eastAsia="zh-CN"/>
              </w:rPr>
              <w:t>0</w:t>
            </w:r>
            <w:r>
              <w:rPr>
                <w:rFonts w:hint="eastAsia" w:ascii="宋体" w:hAnsi="宋体" w:eastAsia="宋体" w:cs="宋体"/>
                <w:kern w:val="20"/>
                <w:sz w:val="21"/>
                <w:szCs w:val="21"/>
                <w:highlight w:val="none"/>
              </w:rPr>
              <w:t>分</w:t>
            </w:r>
          </w:p>
        </w:tc>
        <w:tc>
          <w:tcPr>
            <w:tcW w:w="1909" w:type="dxa"/>
            <w:shd w:val="clear" w:color="auto" w:fill="auto"/>
            <w:vAlign w:val="center"/>
          </w:tcPr>
          <w:p w14:paraId="2FAD42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项目负责人</w:t>
            </w:r>
          </w:p>
          <w:p w14:paraId="0D610A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任职资格与业绩</w:t>
            </w:r>
          </w:p>
        </w:tc>
        <w:tc>
          <w:tcPr>
            <w:tcW w:w="723" w:type="dxa"/>
            <w:shd w:val="clear" w:color="auto" w:fill="auto"/>
            <w:vAlign w:val="center"/>
          </w:tcPr>
          <w:p w14:paraId="62C0482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w:t>
            </w:r>
            <w:r>
              <w:rPr>
                <w:rFonts w:hint="eastAsia" w:ascii="宋体" w:hAnsi="宋体" w:eastAsia="宋体" w:cs="宋体"/>
                <w:kern w:val="20"/>
                <w:sz w:val="21"/>
                <w:szCs w:val="21"/>
                <w:highlight w:val="none"/>
                <w:u w:val="single"/>
                <w:lang w:val="en-US" w:eastAsia="zh-CN"/>
              </w:rPr>
              <w:t>0</w:t>
            </w:r>
            <w:r>
              <w:rPr>
                <w:rFonts w:hint="eastAsia" w:ascii="宋体" w:hAnsi="宋体" w:eastAsia="宋体" w:cs="宋体"/>
                <w:kern w:val="20"/>
                <w:sz w:val="21"/>
                <w:szCs w:val="21"/>
                <w:highlight w:val="none"/>
              </w:rPr>
              <w:t>分</w:t>
            </w:r>
          </w:p>
        </w:tc>
        <w:tc>
          <w:tcPr>
            <w:tcW w:w="3822" w:type="dxa"/>
            <w:shd w:val="clear" w:color="auto" w:fill="auto"/>
            <w:vAlign w:val="center"/>
          </w:tcPr>
          <w:p w14:paraId="2293A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113"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满足最低资格条件得1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lang w:val="en-US" w:eastAsia="zh-CN"/>
              </w:rPr>
              <w:t>增加</w:t>
            </w:r>
            <w:r>
              <w:rPr>
                <w:rFonts w:hint="eastAsia" w:ascii="宋体" w:hAnsi="宋体" w:eastAsia="宋体" w:cs="宋体"/>
                <w:color w:val="auto"/>
                <w:sz w:val="21"/>
                <w:szCs w:val="21"/>
                <w:highlight w:val="none"/>
                <w:lang w:val="en-US" w:eastAsia="zh-CN"/>
              </w:rPr>
              <w:t>一项</w:t>
            </w:r>
            <w:r>
              <w:rPr>
                <w:rFonts w:hint="eastAsia" w:ascii="宋体" w:hAnsi="宋体" w:eastAsia="宋体" w:cs="宋体"/>
                <w:color w:val="auto"/>
                <w:sz w:val="21"/>
                <w:szCs w:val="21"/>
                <w:highlight w:val="none"/>
                <w:lang w:val="en-US" w:eastAsia="zh-CN"/>
              </w:rPr>
              <w:t>公路</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lang w:val="en-US" w:eastAsia="zh-CN"/>
              </w:rPr>
              <w:t>项目负责人或分项负责人业绩加</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分，最多加8分。</w:t>
            </w:r>
          </w:p>
          <w:p w14:paraId="26E073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74BAD2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①</w:t>
            </w:r>
            <w:r>
              <w:rPr>
                <w:rFonts w:hint="eastAsia" w:ascii="宋体" w:hAnsi="宋体" w:eastAsia="宋体" w:cs="宋体"/>
                <w:color w:val="auto"/>
                <w:sz w:val="21"/>
                <w:szCs w:val="21"/>
                <w:highlight w:val="none"/>
              </w:rPr>
              <w:t>以上设计业绩应是交通运输部“全国公路建设市场监督管理系统”或省级交通运输主管部门“公路建设市场信用信息管理系统”已载明业绩。</w:t>
            </w:r>
          </w:p>
          <w:p w14:paraId="26D75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②同一项目包括初步设计和施工图设计的，当设计段落重复时</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项目负责人或分项负责人为同一人的视为一项业绩。</w:t>
            </w:r>
          </w:p>
        </w:tc>
      </w:tr>
      <w:tr w14:paraId="16F6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77" w:type="dxa"/>
            <w:shd w:val="clear" w:color="auto" w:fill="auto"/>
            <w:vAlign w:val="center"/>
          </w:tcPr>
          <w:p w14:paraId="0CFCEBF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(3)</w:t>
            </w:r>
          </w:p>
        </w:tc>
        <w:tc>
          <w:tcPr>
            <w:tcW w:w="1159" w:type="dxa"/>
            <w:gridSpan w:val="2"/>
            <w:shd w:val="clear" w:color="auto" w:fill="auto"/>
            <w:vAlign w:val="center"/>
          </w:tcPr>
          <w:p w14:paraId="3DE0FEE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评标价</w:t>
            </w:r>
          </w:p>
        </w:tc>
        <w:tc>
          <w:tcPr>
            <w:tcW w:w="1091" w:type="dxa"/>
            <w:shd w:val="clear" w:color="auto" w:fill="auto"/>
            <w:vAlign w:val="center"/>
          </w:tcPr>
          <w:p w14:paraId="50A6BE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6454" w:type="dxa"/>
            <w:gridSpan w:val="3"/>
            <w:shd w:val="clear" w:color="auto" w:fill="auto"/>
            <w:vAlign w:val="center"/>
          </w:tcPr>
          <w:p w14:paraId="45B2E2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评标价得分计算公式示例：</w:t>
            </w:r>
          </w:p>
          <w:p w14:paraId="1BAF9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（1）如果投标人的评标价＞评标基准价，则评标价得分=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-偏差率×100×</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w:t>
            </w:r>
          </w:p>
          <w:p w14:paraId="4B22593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kern w:val="20"/>
                <w:sz w:val="21"/>
                <w:szCs w:val="21"/>
                <w:highlight w:val="none"/>
              </w:rPr>
            </w:pPr>
            <w:r>
              <w:rPr>
                <w:rFonts w:hint="eastAsia" w:ascii="宋体" w:hAnsi="宋体" w:eastAsia="宋体" w:cs="宋体"/>
                <w:color w:val="auto"/>
                <w:sz w:val="21"/>
                <w:szCs w:val="21"/>
                <w:highlight w:val="none"/>
              </w:rPr>
              <w:t>（2）如果投标人的评标价≤评标基准价，则评标价得分=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+偏差率×100×</w:t>
            </w:r>
            <w:r>
              <w:rPr>
                <w:rFonts w:hint="eastAsia" w:ascii="宋体" w:hAnsi="宋体" w:eastAsia="宋体" w:cs="宋体"/>
                <w:color w:val="auto"/>
                <w:sz w:val="21"/>
                <w:szCs w:val="21"/>
                <w:highlight w:val="none"/>
                <w:lang w:val="en-US" w:eastAsia="zh-CN"/>
              </w:rPr>
              <w:t>0.05</w:t>
            </w:r>
            <w:r>
              <w:rPr>
                <w:rFonts w:hint="eastAsia" w:ascii="宋体" w:hAnsi="宋体" w:eastAsia="宋体" w:cs="宋体"/>
                <w:color w:val="auto"/>
                <w:sz w:val="21"/>
                <w:szCs w:val="21"/>
                <w:highlight w:val="none"/>
              </w:rPr>
              <w:t>；</w:t>
            </w:r>
          </w:p>
        </w:tc>
      </w:tr>
      <w:tr w14:paraId="2E5C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14:paraId="083EFC9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573" w:type="dxa"/>
            <w:vMerge w:val="restart"/>
            <w:shd w:val="clear" w:color="auto" w:fill="auto"/>
            <w:vAlign w:val="center"/>
          </w:tcPr>
          <w:p w14:paraId="0476EF2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其他因素</w:t>
            </w:r>
          </w:p>
        </w:tc>
        <w:tc>
          <w:tcPr>
            <w:tcW w:w="586" w:type="dxa"/>
            <w:shd w:val="clear" w:color="auto" w:fill="auto"/>
            <w:vAlign w:val="center"/>
          </w:tcPr>
          <w:p w14:paraId="12A964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1" w:type="dxa"/>
            <w:shd w:val="clear" w:color="auto" w:fill="auto"/>
            <w:vAlign w:val="center"/>
          </w:tcPr>
          <w:p w14:paraId="4A892E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kern w:val="20"/>
                <w:sz w:val="21"/>
                <w:szCs w:val="21"/>
                <w:highlight w:val="none"/>
                <w:u w:val="single"/>
              </w:rPr>
              <w:t>2</w:t>
            </w:r>
            <w:r>
              <w:rPr>
                <w:rFonts w:hint="eastAsia" w:ascii="宋体" w:hAnsi="宋体" w:eastAsia="宋体" w:cs="宋体"/>
                <w:kern w:val="20"/>
                <w:sz w:val="21"/>
                <w:szCs w:val="21"/>
                <w:highlight w:val="none"/>
                <w:u w:val="single"/>
                <w:lang w:val="en-US" w:eastAsia="zh-CN"/>
              </w:rPr>
              <w:t>0</w:t>
            </w:r>
            <w:r>
              <w:rPr>
                <w:rFonts w:hint="eastAsia" w:ascii="宋体" w:hAnsi="宋体" w:eastAsia="宋体" w:cs="宋体"/>
                <w:kern w:val="20"/>
                <w:sz w:val="21"/>
                <w:szCs w:val="21"/>
                <w:highlight w:val="none"/>
              </w:rPr>
              <w:t>分</w:t>
            </w:r>
          </w:p>
        </w:tc>
        <w:tc>
          <w:tcPr>
            <w:tcW w:w="1909" w:type="dxa"/>
            <w:shd w:val="clear" w:color="auto" w:fill="auto"/>
            <w:vAlign w:val="center"/>
          </w:tcPr>
          <w:p w14:paraId="41CFB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设计业绩</w:t>
            </w:r>
          </w:p>
        </w:tc>
        <w:tc>
          <w:tcPr>
            <w:tcW w:w="723" w:type="dxa"/>
            <w:shd w:val="clear" w:color="auto" w:fill="auto"/>
            <w:vAlign w:val="center"/>
          </w:tcPr>
          <w:p w14:paraId="249B21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w:t>
            </w:r>
            <w:r>
              <w:rPr>
                <w:rFonts w:hint="eastAsia" w:ascii="宋体" w:hAnsi="宋体" w:eastAsia="宋体" w:cs="宋体"/>
                <w:sz w:val="21"/>
                <w:szCs w:val="21"/>
                <w:highlight w:val="none"/>
                <w:u w:val="single"/>
                <w:lang w:val="en-US" w:eastAsia="zh-CN"/>
              </w:rPr>
              <w:t>0</w:t>
            </w:r>
            <w:r>
              <w:rPr>
                <w:rFonts w:hint="eastAsia" w:ascii="宋体" w:hAnsi="宋体" w:eastAsia="宋体" w:cs="宋体"/>
                <w:sz w:val="21"/>
                <w:szCs w:val="21"/>
                <w:highlight w:val="none"/>
              </w:rPr>
              <w:t>分</w:t>
            </w:r>
          </w:p>
        </w:tc>
        <w:tc>
          <w:tcPr>
            <w:tcW w:w="3822" w:type="dxa"/>
            <w:shd w:val="clear" w:color="auto" w:fill="auto"/>
            <w:vAlign w:val="center"/>
          </w:tcPr>
          <w:p w14:paraId="4ED0F9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420E3B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在满足最低资格条件基础上，增加</w:t>
            </w:r>
            <w:r>
              <w:rPr>
                <w:rFonts w:hint="eastAsia" w:ascii="宋体" w:hAnsi="宋体" w:eastAsia="宋体" w:cs="宋体"/>
                <w:b/>
                <w:sz w:val="21"/>
                <w:szCs w:val="21"/>
                <w:highlight w:val="none"/>
                <w:lang w:val="en-US" w:eastAsia="zh-CN"/>
              </w:rPr>
              <w:t>50</w:t>
            </w:r>
            <w:r>
              <w:rPr>
                <w:rFonts w:hint="eastAsia" w:ascii="宋体" w:hAnsi="宋体" w:eastAsia="宋体" w:cs="宋体"/>
                <w:sz w:val="21"/>
                <w:szCs w:val="21"/>
                <w:highlight w:val="none"/>
              </w:rPr>
              <w:t>公里</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最低资格条件要求的业绩（一级公路和高速公路业绩全幅按2倍长度计算、半幅按1倍长度计算）加</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50公里得分按照12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20分之间</w:t>
            </w:r>
            <w:r>
              <w:rPr>
                <w:rFonts w:hint="eastAsia" w:ascii="宋体" w:hAnsi="宋体" w:eastAsia="宋体" w:cs="宋体"/>
                <w:color w:val="auto"/>
                <w:sz w:val="21"/>
                <w:szCs w:val="21"/>
                <w:highlight w:val="none"/>
              </w:rPr>
              <w:t>内插计算（保留两位小数）。</w:t>
            </w:r>
          </w:p>
          <w:p w14:paraId="1BEC63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en-US" w:eastAsia="zh-CN"/>
              </w:rPr>
              <w:t>业绩的要求见第一章招标公告。</w:t>
            </w:r>
          </w:p>
        </w:tc>
      </w:tr>
      <w:tr w14:paraId="07C8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7ED83D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3DDB458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restart"/>
            <w:shd w:val="clear" w:color="auto" w:fill="auto"/>
            <w:vAlign w:val="center"/>
          </w:tcPr>
          <w:p w14:paraId="5CE60CD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5E18E4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1" w:type="dxa"/>
            <w:vMerge w:val="restart"/>
            <w:shd w:val="clear" w:color="auto" w:fill="auto"/>
            <w:vAlign w:val="center"/>
          </w:tcPr>
          <w:p w14:paraId="57A7764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1909" w:type="dxa"/>
            <w:vMerge w:val="restart"/>
            <w:shd w:val="clear" w:color="auto" w:fill="auto"/>
            <w:vAlign w:val="center"/>
          </w:tcPr>
          <w:p w14:paraId="4E861C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信用评价等级</w:t>
            </w:r>
          </w:p>
        </w:tc>
        <w:tc>
          <w:tcPr>
            <w:tcW w:w="723" w:type="dxa"/>
            <w:shd w:val="clear" w:color="auto" w:fill="auto"/>
            <w:vAlign w:val="center"/>
          </w:tcPr>
          <w:p w14:paraId="39C714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4CA5B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信用评价AA级</w:t>
            </w:r>
          </w:p>
        </w:tc>
      </w:tr>
      <w:tr w14:paraId="60A0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27B172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0CA32FD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60F5C3C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235DD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6B65D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p>
        </w:tc>
        <w:tc>
          <w:tcPr>
            <w:tcW w:w="723" w:type="dxa"/>
            <w:shd w:val="clear" w:color="auto" w:fill="auto"/>
            <w:vAlign w:val="center"/>
          </w:tcPr>
          <w:p w14:paraId="68A35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en-US" w:eastAsia="zh-CN"/>
              </w:rPr>
              <w:t>8</w:t>
            </w:r>
            <w:r>
              <w:rPr>
                <w:rFonts w:hint="eastAsia" w:ascii="宋体" w:hAnsi="宋体" w:eastAsia="宋体" w:cs="宋体"/>
                <w:sz w:val="21"/>
                <w:szCs w:val="21"/>
                <w:highlight w:val="none"/>
              </w:rPr>
              <w:t>分</w:t>
            </w:r>
          </w:p>
        </w:tc>
        <w:tc>
          <w:tcPr>
            <w:tcW w:w="3822" w:type="dxa"/>
            <w:shd w:val="clear" w:color="auto" w:fill="auto"/>
            <w:vAlign w:val="center"/>
          </w:tcPr>
          <w:p w14:paraId="0EA9FD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信用评价A级</w:t>
            </w:r>
          </w:p>
        </w:tc>
      </w:tr>
      <w:tr w14:paraId="0D7E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5F2105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4F8E4B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5AB31C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F4DE9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7AF38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p>
        </w:tc>
        <w:tc>
          <w:tcPr>
            <w:tcW w:w="723" w:type="dxa"/>
            <w:shd w:val="clear" w:color="auto" w:fill="auto"/>
            <w:vAlign w:val="center"/>
          </w:tcPr>
          <w:p w14:paraId="40E430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6</w:t>
            </w:r>
            <w:r>
              <w:rPr>
                <w:rFonts w:hint="eastAsia" w:ascii="宋体" w:hAnsi="宋体" w:eastAsia="宋体" w:cs="宋体"/>
                <w:sz w:val="21"/>
                <w:szCs w:val="21"/>
                <w:highlight w:val="none"/>
              </w:rPr>
              <w:t>分</w:t>
            </w:r>
          </w:p>
        </w:tc>
        <w:tc>
          <w:tcPr>
            <w:tcW w:w="3822" w:type="dxa"/>
            <w:shd w:val="clear" w:color="auto" w:fill="auto"/>
            <w:vAlign w:val="center"/>
          </w:tcPr>
          <w:p w14:paraId="6325A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信用评价B级</w:t>
            </w:r>
          </w:p>
        </w:tc>
      </w:tr>
      <w:tr w14:paraId="5C56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45DC8AF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3D45AC3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6C65F96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AAEB60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06DE45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p>
        </w:tc>
        <w:tc>
          <w:tcPr>
            <w:tcW w:w="723" w:type="dxa"/>
            <w:shd w:val="clear" w:color="auto" w:fill="auto"/>
            <w:vAlign w:val="center"/>
          </w:tcPr>
          <w:p w14:paraId="739A4E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4</w:t>
            </w:r>
            <w:r>
              <w:rPr>
                <w:rFonts w:hint="eastAsia" w:ascii="宋体" w:hAnsi="宋体" w:eastAsia="宋体" w:cs="宋体"/>
                <w:sz w:val="21"/>
                <w:szCs w:val="21"/>
                <w:highlight w:val="none"/>
              </w:rPr>
              <w:t>分</w:t>
            </w:r>
          </w:p>
        </w:tc>
        <w:tc>
          <w:tcPr>
            <w:tcW w:w="3822" w:type="dxa"/>
            <w:shd w:val="clear" w:color="auto" w:fill="auto"/>
            <w:vAlign w:val="center"/>
          </w:tcPr>
          <w:p w14:paraId="0A763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信用评价C级</w:t>
            </w:r>
          </w:p>
        </w:tc>
      </w:tr>
      <w:tr w14:paraId="562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5C8BE16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29CB43A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3809F75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778AB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785D4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p>
        </w:tc>
        <w:tc>
          <w:tcPr>
            <w:tcW w:w="723" w:type="dxa"/>
            <w:shd w:val="clear" w:color="auto" w:fill="auto"/>
            <w:vAlign w:val="center"/>
          </w:tcPr>
          <w:p w14:paraId="5529F7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分</w:t>
            </w:r>
          </w:p>
        </w:tc>
        <w:tc>
          <w:tcPr>
            <w:tcW w:w="3822" w:type="dxa"/>
            <w:shd w:val="clear" w:color="auto" w:fill="auto"/>
            <w:vAlign w:val="center"/>
          </w:tcPr>
          <w:p w14:paraId="3D0A2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信用评价D级</w:t>
            </w:r>
          </w:p>
        </w:tc>
      </w:tr>
      <w:tr w14:paraId="60F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0F6A729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5A5CC6B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21D51B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8E410B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6454" w:type="dxa"/>
            <w:gridSpan w:val="3"/>
            <w:shd w:val="clear" w:color="auto" w:fill="auto"/>
            <w:vAlign w:val="center"/>
          </w:tcPr>
          <w:p w14:paraId="681D1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投标人的信用评价等级按照以下优先顺序采用：</w:t>
            </w:r>
          </w:p>
          <w:p w14:paraId="018091C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采用吉林省交通运输厅发布的《关于发布吉林省2024年度公路建设市场省级信用评价结果的通告》中的设计企业</w:t>
            </w:r>
            <w:r>
              <w:rPr>
                <w:rFonts w:hint="eastAsia" w:ascii="宋体" w:hAnsi="宋体" w:eastAsia="宋体" w:cs="宋体"/>
                <w:color w:val="auto"/>
                <w:sz w:val="21"/>
                <w:szCs w:val="21"/>
                <w:highlight w:val="none"/>
                <w:lang w:val="en-US" w:eastAsia="zh-CN"/>
              </w:rPr>
              <w:t>信用</w:t>
            </w:r>
            <w:r>
              <w:rPr>
                <w:rFonts w:hint="eastAsia" w:ascii="宋体" w:hAnsi="宋体" w:eastAsia="宋体" w:cs="宋体"/>
                <w:color w:val="auto"/>
                <w:sz w:val="21"/>
                <w:szCs w:val="21"/>
                <w:highlight w:val="none"/>
              </w:rPr>
              <w:t>评价等级</w:t>
            </w:r>
            <w:r>
              <w:rPr>
                <w:rFonts w:hint="eastAsia" w:ascii="宋体" w:hAnsi="宋体" w:eastAsia="宋体" w:cs="宋体"/>
                <w:color w:val="auto"/>
                <w:sz w:val="21"/>
                <w:szCs w:val="21"/>
                <w:highlight w:val="none"/>
                <w:lang w:eastAsia="zh-CN"/>
              </w:rPr>
              <w:t>；</w:t>
            </w:r>
          </w:p>
          <w:p w14:paraId="596F74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采用</w:t>
            </w:r>
            <w:r>
              <w:rPr>
                <w:rFonts w:hint="eastAsia" w:ascii="宋体" w:hAnsi="宋体" w:eastAsia="宋体" w:cs="宋体"/>
                <w:color w:val="auto"/>
                <w:sz w:val="21"/>
                <w:szCs w:val="21"/>
                <w:highlight w:val="none"/>
              </w:rPr>
              <w:t>交通运输部“全国公路建设市场监督管理系统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全国公路从业单位信用评价结果”中投标人的2023年度</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企业信用评价等级；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在投标截止之日前，如果交通运输部发布了2024年度设计企业信用评价，则采用2024年度信用评价等级。</w:t>
            </w:r>
            <w:r>
              <w:rPr>
                <w:rFonts w:hint="eastAsia" w:ascii="宋体" w:hAnsi="宋体" w:eastAsia="宋体" w:cs="宋体"/>
                <w:color w:val="auto"/>
                <w:sz w:val="21"/>
                <w:szCs w:val="21"/>
                <w:highlight w:val="none"/>
                <w:lang w:eastAsia="zh-CN"/>
              </w:rPr>
              <w:t>）</w:t>
            </w:r>
          </w:p>
          <w:p w14:paraId="302A2E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投标人无以上信用评价时，若未列入交通运输部“全国公路建设市场监督管理系统”中“不良信用记录”的，按A级对待，否则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p>
          <w:p w14:paraId="2F445F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注：以联合体形式</w:t>
            </w:r>
            <w:r>
              <w:rPr>
                <w:rFonts w:hint="eastAsia" w:ascii="宋体" w:hAnsi="宋体" w:eastAsia="宋体" w:cs="宋体"/>
                <w:color w:val="auto"/>
                <w:sz w:val="21"/>
                <w:szCs w:val="21"/>
                <w:highlight w:val="none"/>
                <w:lang w:val="en-US" w:eastAsia="zh-CN"/>
              </w:rPr>
              <w:t>参与</w:t>
            </w:r>
            <w:r>
              <w:rPr>
                <w:rFonts w:hint="eastAsia" w:ascii="宋体" w:hAnsi="宋体" w:eastAsia="宋体" w:cs="宋体"/>
                <w:color w:val="auto"/>
                <w:sz w:val="21"/>
                <w:szCs w:val="21"/>
                <w:highlight w:val="none"/>
              </w:rPr>
              <w:t>投标的，</w:t>
            </w:r>
            <w:r>
              <w:rPr>
                <w:rFonts w:hint="eastAsia" w:ascii="宋体" w:hAnsi="宋体" w:eastAsia="宋体" w:cs="宋体"/>
                <w:color w:val="auto"/>
                <w:sz w:val="21"/>
                <w:szCs w:val="21"/>
                <w:highlight w:val="none"/>
                <w:lang w:val="en-US" w:eastAsia="zh-CN"/>
              </w:rPr>
              <w:t>其信用等级按照</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val="en-US" w:eastAsia="zh-CN"/>
              </w:rPr>
              <w:t>成员中承担设计工作的最低信用等级方认定</w:t>
            </w:r>
            <w:r>
              <w:rPr>
                <w:rFonts w:hint="eastAsia" w:ascii="宋体" w:hAnsi="宋体" w:eastAsia="宋体" w:cs="宋体"/>
                <w:color w:val="auto"/>
                <w:sz w:val="21"/>
                <w:szCs w:val="21"/>
                <w:highlight w:val="none"/>
              </w:rPr>
              <w:t>。</w:t>
            </w:r>
          </w:p>
        </w:tc>
      </w:tr>
      <w:tr w14:paraId="71A5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1" w:type="dxa"/>
            <w:gridSpan w:val="7"/>
            <w:shd w:val="clear" w:color="auto" w:fill="auto"/>
            <w:vAlign w:val="center"/>
          </w:tcPr>
          <w:p w14:paraId="69A20DE0">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420" w:leftChars="0" w:right="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color w:val="auto"/>
                <w:sz w:val="21"/>
                <w:szCs w:val="21"/>
                <w:highlight w:val="none"/>
                <w:lang w:val="en-US" w:eastAsia="zh-CN"/>
              </w:rPr>
              <w:t>投标文件的技术建议书部分采用“暗标”形式，如果技术建议书出现能识别投标人的内容，经评标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25B037AC">
      <w:pPr>
        <w:keepLines w:val="0"/>
        <w:pageBreakBefore w:val="0"/>
        <w:kinsoku/>
        <w:wordWrap/>
        <w:overflowPunct/>
        <w:topLinePunct w:val="0"/>
        <w:bidi w:val="0"/>
        <w:spacing w:line="360" w:lineRule="exact"/>
        <w:rPr>
          <w:rFonts w:hint="eastAsia" w:ascii="宋体" w:hAnsi="宋体" w:eastAsia="宋体" w:cs="宋体"/>
          <w:sz w:val="21"/>
          <w:szCs w:val="21"/>
        </w:rPr>
      </w:pPr>
    </w:p>
    <w:p w14:paraId="369A492C">
      <w:pPr>
        <w:keepLines w:val="0"/>
        <w:pageBreakBefore w:val="0"/>
        <w:kinsoku/>
        <w:wordWrap/>
        <w:overflowPunct/>
        <w:topLinePunct w:val="0"/>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6"/>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5460"/>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57F5F8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highlight w:val="none"/>
                <w:lang w:val="zh-CN"/>
              </w:rPr>
              <w:t>招 标 人：</w:t>
            </w:r>
            <w:r>
              <w:rPr>
                <w:rFonts w:hint="eastAsia" w:ascii="宋体" w:hAnsi="宋体" w:eastAsia="宋体" w:cs="宋体"/>
                <w:i w:val="0"/>
                <w:iCs w:val="0"/>
                <w:caps w:val="0"/>
                <w:color w:val="000000" w:themeColor="text1"/>
                <w:spacing w:val="0"/>
                <w:sz w:val="21"/>
                <w:szCs w:val="21"/>
                <w:highlight w:val="none"/>
                <w:u w:val="none"/>
                <w:shd w:val="clear" w:fill="FFFFFF"/>
                <w:lang w:val="en-US" w:eastAsia="zh-CN"/>
              </w:rPr>
              <w:t>集安市交通运输发展服务中心</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65074A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highlight w:val="none"/>
                <w:lang w:val="zh-CN"/>
              </w:rPr>
              <w:t>地    址：</w:t>
            </w:r>
            <w:r>
              <w:rPr>
                <w:rFonts w:hint="eastAsia" w:ascii="宋体" w:hAnsi="宋体" w:eastAsia="宋体" w:cs="宋体"/>
                <w:color w:val="000000" w:themeColor="text1"/>
                <w:sz w:val="21"/>
                <w:szCs w:val="21"/>
                <w:highlight w:val="none"/>
                <w:lang w:val="en-US" w:eastAsia="zh-CN"/>
              </w:rPr>
              <w:t>吉林省通化市集安市迎宾路1169号</w:t>
            </w:r>
          </w:p>
        </w:tc>
      </w:tr>
      <w:tr w14:paraId="66877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25486C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highlight w:val="none"/>
                <w:lang w:val="zh-CN"/>
              </w:rPr>
              <w:t>联 系 人：</w:t>
            </w:r>
            <w:r>
              <w:rPr>
                <w:rFonts w:hint="eastAsia" w:ascii="宋体" w:hAnsi="宋体" w:eastAsia="宋体" w:cs="宋体"/>
                <w:color w:val="000000" w:themeColor="text1"/>
                <w:sz w:val="21"/>
                <w:szCs w:val="21"/>
                <w:highlight w:val="none"/>
                <w:lang w:val="en-US" w:eastAsia="zh-CN"/>
              </w:rPr>
              <w:t>高超</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trPr>
        <w:tc>
          <w:tcPr>
            <w:tcW w:w="5460" w:type="dxa"/>
            <w:tcBorders>
              <w:top w:val="single" w:color="FFFFFF" w:sz="4" w:space="0"/>
              <w:left w:val="single" w:color="FFFFFF" w:sz="4" w:space="0"/>
              <w:bottom w:val="single" w:color="FFFFFF" w:sz="4" w:space="0"/>
              <w:right w:val="single" w:color="FFFFFF" w:sz="4" w:space="0"/>
            </w:tcBorders>
          </w:tcPr>
          <w:p w14:paraId="7632D70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highlight w:val="none"/>
                <w:lang w:val="zh-CN"/>
              </w:rPr>
              <w:t>电    话：</w:t>
            </w:r>
            <w:r>
              <w:rPr>
                <w:rFonts w:hint="eastAsia" w:ascii="宋体" w:hAnsi="宋体" w:eastAsia="宋体" w:cs="宋体"/>
                <w:color w:val="000000" w:themeColor="text1"/>
                <w:sz w:val="21"/>
                <w:szCs w:val="21"/>
                <w:highlight w:val="none"/>
                <w:lang w:val="en-US" w:eastAsia="zh-CN"/>
              </w:rPr>
              <w:t>0435-6222417</w:t>
            </w:r>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362443BE">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r w14:paraId="3C1E89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2BE19CC9">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bl>
    <w:p w14:paraId="65BF994A">
      <w:pPr>
        <w:rPr>
          <w:rFonts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5EEABCD">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51BB39AE">
      <w:pPr>
        <w:pStyle w:val="5"/>
      </w:pPr>
      <w:r>
        <w:rPr>
          <w:rStyle w:val="8"/>
        </w:rPr>
        <w:footnoteRef/>
      </w:r>
      <w:bookmarkStart w:id="18" w:name="OLE_LINK75"/>
      <w:bookmarkStart w:id="19" w:name="OLE_LINK74"/>
      <w:r>
        <w:rPr>
          <w:rFonts w:hint="eastAsia" w:ascii="BatangChe" w:hAnsi="BatangChe"/>
          <w:b/>
        </w:rPr>
        <w:t>“</w:t>
      </w:r>
      <w:r>
        <w:rPr>
          <w:rFonts w:hint="eastAsia" w:ascii="BatangChe" w:hAnsi="BatangChe"/>
          <w:b/>
          <w:spacing w:val="-6"/>
        </w:rPr>
        <w:t>投标人自有人员”</w:t>
      </w:r>
      <w:bookmarkEnd w:id="18"/>
      <w:bookmarkEnd w:id="19"/>
      <w:r>
        <w:rPr>
          <w:rFonts w:hint="eastAsia" w:ascii="BatangChe" w:hAnsi="BatangChe"/>
          <w:spacing w:val="-6"/>
        </w:rPr>
        <w:t>指</w:t>
      </w:r>
      <w:r>
        <w:rPr>
          <w:rFonts w:hint="eastAsia"/>
        </w:rP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如果投标人属事业法人单位，则应提供该人员是投标人单位职工的有效书面证明材料。</w:t>
      </w:r>
    </w:p>
  </w:footnote>
  <w:footnote w:id="2">
    <w:p w14:paraId="477B7387">
      <w:pPr>
        <w:pStyle w:val="5"/>
        <w:rPr>
          <w:color w:val="FF0000"/>
        </w:rPr>
      </w:pPr>
      <w:r>
        <w:rPr>
          <w:rStyle w:val="8"/>
          <w:rFonts w:ascii="黑体"/>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09EF5DD4">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w:t>
      </w:r>
      <w:bookmarkStart w:id="20" w:name="_Hlk143771950"/>
      <w:r>
        <w:rPr>
          <w:rFonts w:hint="eastAsia"/>
        </w:rPr>
        <w:t>（含7人）</w:t>
      </w:r>
      <w:bookmarkEnd w:id="20"/>
      <w:r>
        <w:rPr>
          <w:rFonts w:hint="eastAsia"/>
        </w:rPr>
        <w:t>时，该平均值以去掉一个最高分和一个最低分后计算。</w:t>
      </w:r>
      <w:r>
        <w:t>评标委员会成员对某一项评分因素的评分低于权重分值60%的</w:t>
      </w:r>
      <w:r>
        <w:rPr>
          <w:rFonts w:hint="eastAsia"/>
        </w:rPr>
        <w:t>，应在评标报告中做出说明。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0E754CDE"/>
    <w:rsid w:val="12BE7183"/>
    <w:rsid w:val="18203860"/>
    <w:rsid w:val="3DB2627F"/>
    <w:rsid w:val="3FCA46C3"/>
    <w:rsid w:val="5F213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character" w:customStyle="1" w:styleId="9">
    <w:name w:val="其他_"/>
    <w:link w:val="10"/>
    <w:qFormat/>
    <w:uiPriority w:val="0"/>
    <w:rPr>
      <w:rFonts w:ascii="宋体" w:hAnsi="宋体" w:cs="宋体"/>
      <w:shd w:val="clear" w:color="auto" w:fill="FFFFFF"/>
      <w:lang w:val="zh-CN" w:bidi="zh-CN"/>
    </w:rPr>
  </w:style>
  <w:style w:type="paragraph" w:customStyle="1" w:styleId="10">
    <w:name w:val="其他"/>
    <w:basedOn w:val="1"/>
    <w:link w:val="9"/>
    <w:qFormat/>
    <w:uiPriority w:val="0"/>
    <w:pPr>
      <w:shd w:val="clear" w:color="auto" w:fill="FFFFFF"/>
      <w:spacing w:line="430" w:lineRule="auto"/>
      <w:ind w:firstLine="400"/>
      <w:jc w:val="distribute"/>
    </w:pPr>
    <w:rPr>
      <w:rFonts w:ascii="宋体" w:hAnsi="宋体" w:cs="宋体"/>
      <w:lang w:val="zh-CN" w:bidi="zh-CN"/>
    </w:rPr>
  </w:style>
  <w:style w:type="character" w:customStyle="1" w:styleId="11">
    <w:name w:val="脚注文本 字符"/>
    <w:basedOn w:val="7"/>
    <w:link w:val="5"/>
    <w:qFormat/>
    <w:uiPriority w:val="99"/>
    <w:rPr>
      <w:rFonts w:ascii="Times New Roman" w:hAnsi="Times New Roman" w:eastAsia="宋体" w:cs="Times New Roman"/>
      <w:kern w:val="0"/>
      <w:sz w:val="18"/>
      <w:szCs w:val="18"/>
    </w:rPr>
  </w:style>
  <w:style w:type="character" w:customStyle="1" w:styleId="12">
    <w:name w:val="正文文本 (2)_"/>
    <w:link w:val="13"/>
    <w:qFormat/>
    <w:uiPriority w:val="0"/>
    <w:rPr>
      <w:rFonts w:ascii="宋体" w:hAnsi="宋体" w:cs="宋体"/>
      <w:sz w:val="22"/>
      <w:shd w:val="clear" w:color="auto" w:fill="FFFFFF"/>
    </w:rPr>
  </w:style>
  <w:style w:type="paragraph" w:customStyle="1" w:styleId="13">
    <w:name w:val="正文文本 (2)"/>
    <w:basedOn w:val="1"/>
    <w:link w:val="12"/>
    <w:qFormat/>
    <w:uiPriority w:val="0"/>
    <w:pPr>
      <w:shd w:val="clear" w:color="auto" w:fill="FFFFFF"/>
      <w:spacing w:before="300" w:line="439" w:lineRule="exact"/>
      <w:jc w:val="distribute"/>
    </w:pPr>
    <w:rPr>
      <w:rFonts w:ascii="宋体" w:hAnsi="宋体" w:cs="宋体"/>
      <w:sz w:val="22"/>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6">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7">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4654</Words>
  <Characters>4936</Characters>
  <Lines>42</Lines>
  <Paragraphs>12</Paragraphs>
  <TotalTime>1</TotalTime>
  <ScaleCrop>false</ScaleCrop>
  <LinksUpToDate>false</LinksUpToDate>
  <CharactersWithSpaces>4952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2026-01-29T01:54:58Z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eyJoZGlkIjoiZWEyZGQyZDIxYjdjNzVlYjVkM2EyZTg3MWQ0M2U4ODUiLCJ1c2VySWQiOiI0MzE5OTkyMDAifQ==</vt:lpwstr>
  </property>
  <property fmtid="{D5CDD505-2E9C-101B-9397-08002B2CF9AE}" pid="3" name="KSOProductBuildVer">
    <vt:lpwstr>2052-12.1.0.24657</vt:lpwstr>
  </property>
  <property fmtid="{D5CDD505-2E9C-101B-9397-08002B2CF9AE}" pid="4" name="ICV">
    <vt:lpwstr>D3FFF19BAB014F3AB6904F72D2573AD4_12</vt:lpwstr>
  </property>
</Properties>
</file>